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600" w:lineRule="exact"/>
        <w:jc w:val="both"/>
        <w:textAlignment w:val="auto"/>
        <w:rPr>
          <w:rFonts w:hint="eastAsia" w:ascii="Times New Roman" w:hAnsi="Times New Roman" w:eastAsia="方正黑体_GBK" w:cs="Times New Roman"/>
          <w:snapToGrid/>
          <w:kern w:val="2"/>
          <w:sz w:val="32"/>
          <w:szCs w:val="32"/>
          <w:lang w:val="en-US" w:eastAsia="zh-CN"/>
        </w:rPr>
      </w:pPr>
      <w:bookmarkStart w:id="0" w:name="_GoBack"/>
      <w:bookmarkEnd w:id="0"/>
      <w:r>
        <w:rPr>
          <w:rFonts w:hint="eastAsia" w:ascii="Times New Roman" w:hAnsi="Times New Roman" w:eastAsia="方正黑体_GBK" w:cs="Times New Roman"/>
          <w:snapToGrid/>
          <w:kern w:val="2"/>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12"/>
          <w:rFonts w:hint="eastAsia" w:ascii="Times New Roman" w:hAnsi="Times New Roman" w:eastAsia="方正仿宋_GBK" w:cs="方正小标宋_GBK"/>
          <w:b w:val="0"/>
          <w:bCs w:val="0"/>
          <w:snapToGrid/>
          <w:color w:val="auto"/>
          <w:kern w:val="2"/>
          <w:sz w:val="32"/>
          <w:szCs w:val="32"/>
          <w:lang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12"/>
          <w:rFonts w:hint="eastAsia" w:ascii="方正小标宋_GBK" w:hAnsi="方正小标宋_GBK" w:eastAsia="方正小标宋_GBK" w:cs="方正小标宋_GBK"/>
          <w:b w:val="0"/>
          <w:bCs w:val="0"/>
          <w:snapToGrid/>
          <w:color w:val="auto"/>
          <w:kern w:val="2"/>
          <w:sz w:val="44"/>
          <w:szCs w:val="44"/>
          <w:lang w:eastAsia="zh-CN"/>
        </w:rPr>
      </w:pPr>
      <w:r>
        <w:rPr>
          <w:rStyle w:val="12"/>
          <w:rFonts w:hint="eastAsia" w:ascii="方正小标宋_GBK" w:hAnsi="方正小标宋_GBK" w:eastAsia="方正小标宋_GBK" w:cs="方正小标宋_GBK"/>
          <w:b w:val="0"/>
          <w:bCs w:val="0"/>
          <w:snapToGrid/>
          <w:color w:val="auto"/>
          <w:kern w:val="2"/>
          <w:sz w:val="44"/>
          <w:szCs w:val="44"/>
          <w:lang w:eastAsia="zh-CN"/>
        </w:rPr>
        <w:t>湖南省专利优先审查推荐管理办法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12"/>
          <w:rFonts w:hint="eastAsia" w:ascii="方正小标宋_GBK" w:hAnsi="方正小标宋_GBK" w:eastAsia="方正小标宋_GBK" w:cs="方正小标宋_GBK"/>
          <w:b w:val="0"/>
          <w:bCs w:val="0"/>
          <w:snapToGrid/>
          <w:color w:val="auto"/>
          <w:kern w:val="2"/>
          <w:sz w:val="44"/>
          <w:szCs w:val="44"/>
          <w:lang w:eastAsia="zh-CN"/>
        </w:rPr>
      </w:pPr>
      <w:r>
        <w:rPr>
          <w:rStyle w:val="12"/>
          <w:rFonts w:hint="eastAsia" w:ascii="方正小标宋_GBK" w:hAnsi="方正小标宋_GBK" w:eastAsia="方正小标宋_GBK" w:cs="方正小标宋_GBK"/>
          <w:b w:val="0"/>
          <w:bCs w:val="0"/>
          <w:snapToGrid/>
          <w:color w:val="auto"/>
          <w:kern w:val="2"/>
          <w:sz w:val="44"/>
          <w:szCs w:val="44"/>
          <w:lang w:eastAsia="zh-CN"/>
        </w:rPr>
        <w:t>（</w:t>
      </w:r>
      <w:r>
        <w:rPr>
          <w:rStyle w:val="12"/>
          <w:rFonts w:hint="eastAsia" w:ascii="方正小标宋_GBK" w:hAnsi="方正小标宋_GBK" w:eastAsia="方正小标宋_GBK" w:cs="方正小标宋_GBK"/>
          <w:b w:val="0"/>
          <w:bCs w:val="0"/>
          <w:snapToGrid/>
          <w:color w:val="auto"/>
          <w:kern w:val="2"/>
          <w:sz w:val="44"/>
          <w:szCs w:val="44"/>
          <w:lang w:val="en-US" w:eastAsia="zh-CN"/>
        </w:rPr>
        <w:t>征求意见稿</w:t>
      </w:r>
      <w:r>
        <w:rPr>
          <w:rStyle w:val="12"/>
          <w:rFonts w:hint="eastAsia" w:ascii="方正小标宋_GBK" w:hAnsi="方正小标宋_GBK" w:eastAsia="方正小标宋_GBK" w:cs="方正小标宋_GBK"/>
          <w:b w:val="0"/>
          <w:bCs w:val="0"/>
          <w:snapToGrid/>
          <w:color w:val="auto"/>
          <w:kern w:val="2"/>
          <w:sz w:val="44"/>
          <w:szCs w:val="44"/>
          <w:lang w:eastAsia="zh-CN"/>
        </w:rPr>
        <w:t>）</w:t>
      </w:r>
    </w:p>
    <w:p>
      <w:pPr>
        <w:keepNext w:val="0"/>
        <w:keepLines w:val="0"/>
        <w:pageBreakBefore w:val="0"/>
        <w:widowControl w:val="0"/>
        <w:wordWrap/>
        <w:overflowPunct/>
        <w:topLinePunct w:val="0"/>
        <w:bidi w:val="0"/>
        <w:spacing w:line="332" w:lineRule="auto"/>
        <w:rPr>
          <w:rFonts w:ascii="Times New Roman" w:hAnsi="Times New Roman" w:eastAsia="方正仿宋_GBK"/>
          <w:color w:val="auto"/>
          <w:sz w:val="32"/>
          <w:szCs w:val="32"/>
        </w:rPr>
      </w:pPr>
    </w:p>
    <w:p>
      <w:pPr>
        <w:keepNext w:val="0"/>
        <w:keepLines w:val="0"/>
        <w:pageBreakBefore w:val="0"/>
        <w:widowControl w:val="0"/>
        <w:wordWrap/>
        <w:overflowPunct/>
        <w:topLinePunct w:val="0"/>
        <w:bidi w:val="0"/>
        <w:spacing w:line="332" w:lineRule="auto"/>
        <w:rPr>
          <w:rFonts w:ascii="Times New Roman" w:hAnsi="Times New Roman" w:eastAsia="方正仿宋_GBK"/>
          <w:color w:val="auto"/>
          <w:sz w:val="32"/>
          <w:szCs w:val="32"/>
        </w:rPr>
      </w:pPr>
    </w:p>
    <w:p>
      <w:pPr>
        <w:pStyle w:val="6"/>
        <w:keepNext w:val="0"/>
        <w:keepLines w:val="0"/>
        <w:pageBreakBefore w:val="0"/>
        <w:widowControl w:val="0"/>
        <w:wordWrap/>
        <w:overflowPunct/>
        <w:topLinePunct w:val="0"/>
        <w:bidi w:val="0"/>
        <w:spacing w:line="335" w:lineRule="auto"/>
        <w:ind w:left="0" w:leftChars="0" w:firstLine="0" w:firstLineChars="0"/>
        <w:jc w:val="center"/>
        <w:rPr>
          <w:rStyle w:val="12"/>
          <w:rFonts w:hint="eastAsia" w:ascii="黑体" w:hAnsi="黑体" w:eastAsia="黑体" w:cs="黑体"/>
          <w:b w:val="0"/>
          <w:bCs/>
          <w:snapToGrid/>
          <w:color w:val="auto"/>
          <w:kern w:val="2"/>
          <w:sz w:val="32"/>
          <w:szCs w:val="32"/>
          <w:lang w:val="en-US" w:eastAsia="zh-CN" w:bidi="ar-SA"/>
        </w:rPr>
      </w:pPr>
      <w:r>
        <w:rPr>
          <w:rStyle w:val="12"/>
          <w:rFonts w:hint="eastAsia" w:ascii="黑体" w:hAnsi="黑体" w:eastAsia="黑体" w:cs="黑体"/>
          <w:b w:val="0"/>
          <w:bCs/>
          <w:snapToGrid/>
          <w:color w:val="auto"/>
          <w:kern w:val="2"/>
          <w:sz w:val="32"/>
          <w:szCs w:val="32"/>
          <w:lang w:val="en-US" w:eastAsia="zh-CN" w:bidi="ar-SA"/>
        </w:rPr>
        <w:t>第一章 总则</w:t>
      </w:r>
    </w:p>
    <w:p>
      <w:pPr>
        <w:pStyle w:val="6"/>
        <w:keepNext w:val="0"/>
        <w:keepLines w:val="0"/>
        <w:pageBreakBefore w:val="0"/>
        <w:widowControl w:val="0"/>
        <w:wordWrap/>
        <w:overflowPunct/>
        <w:topLinePunct w:val="0"/>
        <w:bidi w:val="0"/>
        <w:spacing w:line="335" w:lineRule="auto"/>
        <w:ind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第一条 为深入贯彻高质量发展要求，进一步规范本省专利优先审查推荐管理工作，强化高价值专利培育导向，助力优化营商环境，支撑新质生产力发展，根据国家知识产权局《专利优先审查管理办法（局令第85号）》《规范申请专利行为的规定（局令第77号）》等文件规定，结合本省实际，制定本办法。</w:t>
      </w:r>
    </w:p>
    <w:p>
      <w:pPr>
        <w:pStyle w:val="6"/>
        <w:keepNext w:val="0"/>
        <w:keepLines w:val="0"/>
        <w:pageBreakBefore w:val="0"/>
        <w:widowControl w:val="0"/>
        <w:wordWrap/>
        <w:overflowPunct/>
        <w:topLinePunct w:val="0"/>
        <w:bidi w:val="0"/>
        <w:spacing w:line="333" w:lineRule="auto"/>
        <w:ind w:right="20" w:firstLine="620"/>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第二条 湖南省市场监督管理局（知识产权局）统筹负责全省专利优先审查推荐工作，湖南省知识产权公共服务中心（长沙专利代办处）（以下简称长沙代办处）负责全省专利优先审查申请的推荐及质量监控工作，各市州知识产权管理部门负责辖区内创新主体备案审核及重点鼓励产业优先审查推荐的核查工作。</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第三条 专利优先审</w:t>
      </w:r>
      <w:r>
        <w:rPr>
          <w:rStyle w:val="12"/>
          <w:rFonts w:hint="eastAsia" w:ascii="Times New Roman" w:hAnsi="Times New Roman" w:eastAsia="方正仿宋_GBK" w:cs="黑体"/>
          <w:b w:val="0"/>
          <w:bCs w:val="0"/>
          <w:snapToGrid/>
          <w:color w:val="auto"/>
          <w:kern w:val="2"/>
          <w:sz w:val="32"/>
          <w:szCs w:val="32"/>
          <w:highlight w:val="none"/>
          <w:lang w:val="en-US" w:eastAsia="zh-CN" w:bidi="ar-SA"/>
        </w:rPr>
        <w:t>查推荐工作遵循公平公正、公开透明、择优推荐的原则</w:t>
      </w:r>
      <w:r>
        <w:rPr>
          <w:rStyle w:val="12"/>
          <w:rFonts w:hint="eastAsia" w:ascii="Times New Roman" w:hAnsi="Times New Roman" w:eastAsia="方正仿宋_GBK" w:cs="黑体"/>
          <w:b w:val="0"/>
          <w:bCs w:val="0"/>
          <w:snapToGrid/>
          <w:color w:val="auto"/>
          <w:kern w:val="2"/>
          <w:sz w:val="32"/>
          <w:szCs w:val="32"/>
          <w:lang w:val="en-US" w:eastAsia="zh-CN" w:bidi="ar-SA"/>
        </w:rPr>
        <w:t>。</w:t>
      </w:r>
    </w:p>
    <w:p>
      <w:pPr>
        <w:pStyle w:val="6"/>
        <w:keepNext w:val="0"/>
        <w:keepLines w:val="0"/>
        <w:pageBreakBefore w:val="0"/>
        <w:widowControl w:val="0"/>
        <w:wordWrap/>
        <w:overflowPunct/>
        <w:topLinePunct w:val="0"/>
        <w:bidi w:val="0"/>
        <w:spacing w:line="335" w:lineRule="auto"/>
        <w:ind w:left="0" w:leftChars="0" w:firstLine="0" w:firstLineChars="0"/>
        <w:jc w:val="center"/>
        <w:rPr>
          <w:rStyle w:val="12"/>
          <w:rFonts w:hint="eastAsia" w:ascii="黑体" w:hAnsi="黑体" w:eastAsia="黑体" w:cs="黑体"/>
          <w:b w:val="0"/>
          <w:bCs/>
          <w:snapToGrid/>
          <w:color w:val="auto"/>
          <w:kern w:val="2"/>
          <w:sz w:val="32"/>
          <w:szCs w:val="32"/>
          <w:lang w:val="en-US" w:eastAsia="zh-CN" w:bidi="ar-SA"/>
        </w:rPr>
      </w:pPr>
    </w:p>
    <w:p>
      <w:pPr>
        <w:pStyle w:val="6"/>
        <w:keepNext w:val="0"/>
        <w:keepLines w:val="0"/>
        <w:pageBreakBefore w:val="0"/>
        <w:widowControl w:val="0"/>
        <w:wordWrap/>
        <w:overflowPunct/>
        <w:topLinePunct w:val="0"/>
        <w:bidi w:val="0"/>
        <w:spacing w:line="335" w:lineRule="auto"/>
        <w:ind w:left="0" w:leftChars="0" w:firstLine="0" w:firstLineChars="0"/>
        <w:jc w:val="center"/>
        <w:rPr>
          <w:rStyle w:val="12"/>
          <w:rFonts w:hint="eastAsia" w:ascii="黑体" w:hAnsi="黑体" w:eastAsia="黑体" w:cs="黑体"/>
          <w:b w:val="0"/>
          <w:bCs/>
          <w:snapToGrid/>
          <w:color w:val="auto"/>
          <w:kern w:val="2"/>
          <w:sz w:val="32"/>
          <w:szCs w:val="32"/>
          <w:lang w:val="en-US" w:eastAsia="zh-CN" w:bidi="ar-SA"/>
        </w:rPr>
      </w:pPr>
      <w:r>
        <w:rPr>
          <w:rStyle w:val="12"/>
          <w:rFonts w:hint="eastAsia" w:ascii="黑体" w:hAnsi="黑体" w:eastAsia="黑体" w:cs="黑体"/>
          <w:b w:val="0"/>
          <w:bCs/>
          <w:snapToGrid/>
          <w:color w:val="auto"/>
          <w:kern w:val="2"/>
          <w:sz w:val="32"/>
          <w:szCs w:val="32"/>
          <w:lang w:val="en-US" w:eastAsia="zh-CN" w:bidi="ar-SA"/>
        </w:rPr>
        <w:t>第二章 适用条件</w:t>
      </w:r>
    </w:p>
    <w:p>
      <w:pPr>
        <w:pStyle w:val="6"/>
        <w:keepNext w:val="0"/>
        <w:keepLines w:val="0"/>
        <w:pageBreakBefore w:val="0"/>
        <w:widowControl w:val="0"/>
        <w:wordWrap/>
        <w:overflowPunct/>
        <w:topLinePunct w:val="0"/>
        <w:bidi w:val="0"/>
        <w:spacing w:line="335" w:lineRule="auto"/>
        <w:ind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第四条 请求优先审查的专利第一申请人（或第一专利权人）（以下简称请求人）应当为本省行政区域内的企事业单位、机关团体，或具有本省户籍或者居住证的个人。</w:t>
      </w:r>
    </w:p>
    <w:p>
      <w:pPr>
        <w:pStyle w:val="6"/>
        <w:keepNext w:val="0"/>
        <w:keepLines w:val="0"/>
        <w:pageBreakBefore w:val="0"/>
        <w:widowControl w:val="0"/>
        <w:wordWrap/>
        <w:overflowPunct/>
        <w:topLinePunct w:val="0"/>
        <w:bidi w:val="0"/>
        <w:spacing w:line="335" w:lineRule="auto"/>
        <w:ind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在本省有经常居所或者营业所的外国专利申请人或我国港澳台地区专利申请人请求优先审查的，按国家知识产权局相关要求办理。</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第五条 下列专利申请或者案件的优先审查适用本办法：</w:t>
      </w:r>
    </w:p>
    <w:p>
      <w:pPr>
        <w:pStyle w:val="6"/>
        <w:keepNext w:val="0"/>
        <w:keepLines w:val="0"/>
        <w:pageBreakBefore w:val="0"/>
        <w:widowControl w:val="0"/>
        <w:wordWrap/>
        <w:overflowPunct/>
        <w:topLinePunct w:val="0"/>
        <w:bidi w:val="0"/>
        <w:spacing w:line="336" w:lineRule="auto"/>
        <w:ind w:right="4" w:firstLine="619"/>
        <w:jc w:val="both"/>
        <w:rPr>
          <w:rFonts w:hint="eastAsia" w:ascii="Times New Roman" w:hAnsi="Times New Roman" w:eastAsia="方正仿宋_GBK" w:cs="黑体"/>
          <w:color w:val="auto"/>
          <w:spacing w:val="-2"/>
          <w:sz w:val="32"/>
          <w:szCs w:val="32"/>
        </w:rPr>
      </w:pPr>
      <w:r>
        <w:rPr>
          <w:rStyle w:val="12"/>
          <w:rFonts w:hint="eastAsia" w:ascii="Times New Roman" w:hAnsi="Times New Roman" w:eastAsia="方正仿宋_GBK" w:cs="黑体"/>
          <w:b w:val="0"/>
          <w:bCs w:val="0"/>
          <w:snapToGrid/>
          <w:color w:val="auto"/>
          <w:kern w:val="2"/>
          <w:sz w:val="32"/>
          <w:szCs w:val="32"/>
          <w:lang w:val="en-US" w:eastAsia="zh-CN" w:bidi="ar-SA"/>
        </w:rPr>
        <w:t>（一）处于实质审查阶段且未作出首次处理的发明专利申请，首次处理是指审查员已开始审查并发出通知书；</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（二）已缴纳申请费，并具有分类号的实用新型和外观设计专利申请（以下简称专利申请）；</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（三）已缴纳复审费的发明、实用新型和外观设计专利申请的复审案件（以下简称复审案件）；</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（四）已缴纳无效宣告请求费的发明、实用新型和外观设计专利的无效宣告案件（以下简称无效宣告案件）。</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依据国家知识产权局与其他国家或者地区专利审查机构签订的双边或者多边协议开展优先审查的，或者经国家级知识产权保护中心、快速维权中心预审合格后开展快速审查的，按照有关规定处理，不适用本办法。</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en-US" w:bidi="ar-SA"/>
        </w:rPr>
        <w:t>第</w:t>
      </w:r>
      <w:r>
        <w:rPr>
          <w:rStyle w:val="12"/>
          <w:rFonts w:hint="eastAsia" w:ascii="Times New Roman" w:hAnsi="Times New Roman" w:eastAsia="方正仿宋_GBK" w:cs="黑体"/>
          <w:b w:val="0"/>
          <w:bCs w:val="0"/>
          <w:snapToGrid/>
          <w:color w:val="auto"/>
          <w:kern w:val="2"/>
          <w:sz w:val="32"/>
          <w:szCs w:val="32"/>
          <w:lang w:val="en-US" w:eastAsia="zh-CN" w:bidi="ar-SA"/>
        </w:rPr>
        <w:t>六</w:t>
      </w:r>
      <w:r>
        <w:rPr>
          <w:rStyle w:val="12"/>
          <w:rFonts w:hint="eastAsia" w:ascii="Times New Roman" w:hAnsi="Times New Roman" w:eastAsia="方正仿宋_GBK" w:cs="黑体"/>
          <w:b w:val="0"/>
          <w:bCs w:val="0"/>
          <w:snapToGrid/>
          <w:color w:val="auto"/>
          <w:kern w:val="2"/>
          <w:sz w:val="32"/>
          <w:szCs w:val="32"/>
          <w:lang w:val="en-US" w:eastAsia="en-US" w:bidi="ar-SA"/>
        </w:rPr>
        <w:t xml:space="preserve">条 </w:t>
      </w:r>
      <w:r>
        <w:rPr>
          <w:rStyle w:val="12"/>
          <w:rFonts w:hint="eastAsia" w:ascii="Times New Roman" w:hAnsi="Times New Roman" w:eastAsia="方正仿宋_GBK" w:cs="黑体"/>
          <w:b w:val="0"/>
          <w:bCs w:val="0"/>
          <w:snapToGrid/>
          <w:color w:val="auto"/>
          <w:kern w:val="2"/>
          <w:sz w:val="32"/>
          <w:szCs w:val="32"/>
          <w:lang w:val="en-US" w:eastAsia="zh-CN" w:bidi="ar-SA"/>
        </w:rPr>
        <w:t>根据《专利优先审查管理办法》第五条、第六条规定，结合案件创新价值、转化运用前景、产业化实施情况开展逐案研判，统筹调配有限优先审查资源。</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第七条 符合下列情形之一的，予以优先推荐：</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（一）涉及新兴产业、未来产业及本省重点产业的核心专利，以及承担国家、省级重大科技专项、关键核心技术攻关任务产出的核心专利；</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（二）已经样机试制、中试、量产销售，具备现实产业化条件，可提供佐证材料的专利申请，或已开展质押融资、许可转让，已产生知识产权运营效益的专利申请；</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（三）开展海外专利布局、参与国际竞争，需加快确权的首次中国申请；</w:t>
      </w:r>
    </w:p>
    <w:p>
      <w:pPr>
        <w:pStyle w:val="6"/>
        <w:keepNext w:val="0"/>
        <w:keepLines w:val="0"/>
        <w:pageBreakBefore w:val="0"/>
        <w:widowControl w:val="0"/>
        <w:wordWrap/>
        <w:overflowPunct/>
        <w:topLinePunct w:val="0"/>
        <w:bidi w:val="0"/>
        <w:spacing w:line="336" w:lineRule="auto"/>
        <w:ind w:right="4" w:firstLine="619"/>
        <w:jc w:val="both"/>
        <w:rPr>
          <w:rStyle w:val="12"/>
          <w:rFonts w:hint="default"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（四）涉及国家利益或者公共利益，具有重大意义的其他情形。</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第八条 存在下列情形之一的，暂缓推荐：</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（一）仅有理论研究，无实施、中试、产业化相关佐证材料，转化前景无法核实的；</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（二）代理机构存在涉嫌非正常专利申请相关通报记录尚未完成核查整改的；</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（三）请求人近三年获得优先审查推荐的专利申请或案件，因自身原因导致优先审查被终止的；</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（四）本省优先审查推荐数量已达上限。</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第九条 存在下列情形之一的，不予受理、推荐：</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（一）专利申请为分案申请，其原申请已被准予加快审查；</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（二）发明专利申请，其申请人在同日对同样的发明创造又申请实用新型专利；</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（三）专利申请、复审案件或者无效宣告案件，在各自的审查程序内已经被予以优先审查或者其他形式的加快审查；</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（四）依据《专利优先审查管理办法》第五条第（四）项请求优先审查的专利申请，有证据表明其明显不具备授权前景；</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（五）存在违反诚实信用原则行为的请求人或代理机构，自相关行为被认定起一年内，不予以受理其提交的优先审查请求；</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（六）存在《规范申请专利行为的规定》第三条情形的；</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（七）为获取本省优先审查推荐名额而变更专利申请人或者地址的；</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（八）申请材料存在缺陷，已一次性告知需补正的全部内容，但请求人补正两次后仍不符合要求的；</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（九）存在其他不符合相关法规、政策规定的不予推荐情形的。</w:t>
      </w:r>
    </w:p>
    <w:p>
      <w:pPr>
        <w:pStyle w:val="6"/>
        <w:keepNext w:val="0"/>
        <w:keepLines w:val="0"/>
        <w:pageBreakBefore w:val="0"/>
        <w:widowControl w:val="0"/>
        <w:wordWrap/>
        <w:overflowPunct/>
        <w:topLinePunct w:val="0"/>
        <w:bidi w:val="0"/>
        <w:spacing w:line="335" w:lineRule="auto"/>
        <w:ind w:left="0" w:leftChars="0" w:firstLine="0" w:firstLineChars="0"/>
        <w:jc w:val="center"/>
        <w:rPr>
          <w:rStyle w:val="12"/>
          <w:rFonts w:hint="eastAsia" w:ascii="黑体" w:hAnsi="黑体" w:eastAsia="黑体" w:cs="黑体"/>
          <w:b w:val="0"/>
          <w:bCs/>
          <w:snapToGrid/>
          <w:color w:val="auto"/>
          <w:kern w:val="2"/>
          <w:sz w:val="32"/>
          <w:szCs w:val="32"/>
          <w:lang w:val="en-US" w:eastAsia="zh-CN" w:bidi="ar-SA"/>
        </w:rPr>
      </w:pPr>
      <w:r>
        <w:rPr>
          <w:rStyle w:val="12"/>
          <w:rFonts w:hint="eastAsia" w:ascii="黑体" w:hAnsi="黑体" w:eastAsia="黑体" w:cs="黑体"/>
          <w:b w:val="0"/>
          <w:bCs/>
          <w:snapToGrid/>
          <w:color w:val="auto"/>
          <w:kern w:val="2"/>
          <w:sz w:val="32"/>
          <w:szCs w:val="32"/>
          <w:lang w:val="en-US" w:eastAsia="zh-CN" w:bidi="ar-SA"/>
        </w:rPr>
        <w:t>第三章 申报方式及材料</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 xml:space="preserve">第十条 </w:t>
      </w:r>
      <w:r>
        <w:rPr>
          <w:rStyle w:val="12"/>
          <w:rFonts w:hint="eastAsia" w:ascii="Times New Roman" w:hAnsi="Times New Roman" w:eastAsia="方正仿宋_GBK" w:cs="黑体"/>
          <w:b w:val="0"/>
          <w:bCs w:val="0"/>
          <w:snapToGrid/>
          <w:color w:val="auto"/>
          <w:kern w:val="2"/>
          <w:sz w:val="32"/>
          <w:szCs w:val="32"/>
          <w:lang w:val="en-US" w:eastAsia="en-US" w:bidi="ar-SA"/>
        </w:rPr>
        <w:t>请求优先审查的专利申请或案件应当采用</w:t>
      </w:r>
      <w:r>
        <w:rPr>
          <w:rStyle w:val="12"/>
          <w:rFonts w:hint="eastAsia" w:ascii="Times New Roman" w:hAnsi="Times New Roman" w:eastAsia="方正仿宋_GBK" w:cs="黑体"/>
          <w:b w:val="0"/>
          <w:bCs w:val="0"/>
          <w:snapToGrid/>
          <w:color w:val="auto"/>
          <w:kern w:val="2"/>
          <w:sz w:val="32"/>
          <w:szCs w:val="32"/>
          <w:lang w:val="en-US" w:eastAsia="zh-CN" w:bidi="ar-SA"/>
        </w:rPr>
        <w:t>符合要求的</w:t>
      </w:r>
      <w:r>
        <w:rPr>
          <w:rStyle w:val="12"/>
          <w:rFonts w:hint="eastAsia" w:ascii="Times New Roman" w:hAnsi="Times New Roman" w:eastAsia="方正仿宋_GBK" w:cs="黑体"/>
          <w:b w:val="0"/>
          <w:bCs w:val="0"/>
          <w:snapToGrid/>
          <w:color w:val="auto"/>
          <w:kern w:val="2"/>
          <w:sz w:val="32"/>
          <w:szCs w:val="32"/>
          <w:lang w:val="en-US" w:eastAsia="en-US" w:bidi="ar-SA"/>
        </w:rPr>
        <w:t>电子申请方式</w:t>
      </w:r>
      <w:r>
        <w:rPr>
          <w:rStyle w:val="12"/>
          <w:rFonts w:hint="eastAsia" w:ascii="Times New Roman" w:hAnsi="Times New Roman" w:eastAsia="方正仿宋_GBK" w:cs="黑体"/>
          <w:b w:val="0"/>
          <w:bCs w:val="0"/>
          <w:snapToGrid/>
          <w:color w:val="auto"/>
          <w:kern w:val="2"/>
          <w:sz w:val="32"/>
          <w:szCs w:val="32"/>
          <w:lang w:val="en-US" w:eastAsia="zh-CN" w:bidi="ar-SA"/>
        </w:rPr>
        <w:t>，请求人应当登录国家知识产权局“专利业务办理系统”在线提交申请。申请提交的文件应当符合《专利优先审查管理办法》第十一条规定。</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第十一条 申报材料</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en-US" w:bidi="ar-SA"/>
        </w:rPr>
        <w:t>（一）</w:t>
      </w:r>
      <w:r>
        <w:rPr>
          <w:rStyle w:val="12"/>
          <w:rFonts w:hint="eastAsia" w:ascii="Times New Roman" w:hAnsi="Times New Roman" w:eastAsia="方正仿宋_GBK" w:cs="黑体"/>
          <w:b w:val="0"/>
          <w:bCs w:val="0"/>
          <w:snapToGrid/>
          <w:color w:val="auto"/>
          <w:kern w:val="2"/>
          <w:sz w:val="32"/>
          <w:szCs w:val="32"/>
          <w:highlight w:val="none"/>
          <w:lang w:val="en-US" w:eastAsia="en-US" w:bidi="ar-SA"/>
        </w:rPr>
        <w:t>专利申请</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en-US" w:bidi="ar-SA"/>
        </w:rPr>
      </w:pPr>
      <w:r>
        <w:rPr>
          <w:rStyle w:val="12"/>
          <w:rFonts w:hint="eastAsia" w:ascii="Times New Roman" w:hAnsi="Times New Roman" w:eastAsia="方正仿宋_GBK" w:cs="黑体"/>
          <w:b w:val="0"/>
          <w:bCs w:val="0"/>
          <w:snapToGrid/>
          <w:color w:val="auto"/>
          <w:kern w:val="2"/>
          <w:sz w:val="32"/>
          <w:szCs w:val="32"/>
          <w:lang w:val="en-US" w:eastAsia="zh-CN" w:bidi="ar-SA"/>
        </w:rPr>
        <w:t xml:space="preserve">1. </w:t>
      </w:r>
      <w:r>
        <w:rPr>
          <w:rStyle w:val="12"/>
          <w:rFonts w:hint="eastAsia" w:ascii="Times New Roman" w:hAnsi="Times New Roman" w:eastAsia="方正仿宋_GBK" w:cs="黑体"/>
          <w:b w:val="0"/>
          <w:bCs w:val="0"/>
          <w:snapToGrid/>
          <w:color w:val="auto"/>
          <w:kern w:val="2"/>
          <w:sz w:val="32"/>
          <w:szCs w:val="32"/>
          <w:lang w:val="en-US" w:eastAsia="en-US" w:bidi="ar-SA"/>
        </w:rPr>
        <w:t>全体</w:t>
      </w:r>
      <w:r>
        <w:rPr>
          <w:rStyle w:val="12"/>
          <w:rFonts w:hint="eastAsia" w:ascii="Times New Roman" w:hAnsi="Times New Roman" w:eastAsia="方正仿宋_GBK" w:cs="黑体"/>
          <w:b w:val="0"/>
          <w:bCs w:val="0"/>
          <w:snapToGrid/>
          <w:color w:val="auto"/>
          <w:kern w:val="2"/>
          <w:sz w:val="32"/>
          <w:szCs w:val="32"/>
          <w:lang w:val="en-US" w:eastAsia="zh-CN" w:bidi="ar-SA"/>
        </w:rPr>
        <w:t>专利</w:t>
      </w:r>
      <w:r>
        <w:rPr>
          <w:rStyle w:val="12"/>
          <w:rFonts w:hint="eastAsia" w:ascii="Times New Roman" w:hAnsi="Times New Roman" w:eastAsia="方正仿宋_GBK" w:cs="黑体"/>
          <w:b w:val="0"/>
          <w:bCs w:val="0"/>
          <w:snapToGrid/>
          <w:color w:val="auto"/>
          <w:kern w:val="2"/>
          <w:sz w:val="32"/>
          <w:szCs w:val="32"/>
          <w:lang w:val="en-US" w:eastAsia="en-US" w:bidi="ar-SA"/>
        </w:rPr>
        <w:t>申请人同意优先审查的声明及证明文件说明；</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en-US" w:bidi="ar-SA"/>
        </w:rPr>
      </w:pPr>
      <w:r>
        <w:rPr>
          <w:rStyle w:val="12"/>
          <w:rFonts w:hint="eastAsia" w:ascii="Times New Roman" w:hAnsi="Times New Roman" w:eastAsia="方正仿宋_GBK" w:cs="黑体"/>
          <w:b w:val="0"/>
          <w:bCs w:val="0"/>
          <w:snapToGrid/>
          <w:color w:val="auto"/>
          <w:kern w:val="2"/>
          <w:sz w:val="32"/>
          <w:szCs w:val="32"/>
          <w:lang w:val="en-US" w:eastAsia="zh-CN" w:bidi="ar-SA"/>
        </w:rPr>
        <w:t>2. 自</w:t>
      </w:r>
      <w:r>
        <w:rPr>
          <w:rStyle w:val="12"/>
          <w:rFonts w:hint="eastAsia" w:ascii="Times New Roman" w:hAnsi="Times New Roman" w:eastAsia="方正仿宋_GBK" w:cs="黑体"/>
          <w:b w:val="0"/>
          <w:bCs w:val="0"/>
          <w:snapToGrid/>
          <w:color w:val="auto"/>
          <w:kern w:val="2"/>
          <w:sz w:val="32"/>
          <w:szCs w:val="32"/>
          <w:lang w:val="en-US" w:eastAsia="en-US" w:bidi="ar-SA"/>
        </w:rPr>
        <w:t>然人申请</w:t>
      </w:r>
      <w:r>
        <w:rPr>
          <w:rStyle w:val="12"/>
          <w:rFonts w:hint="eastAsia" w:ascii="Times New Roman" w:hAnsi="Times New Roman" w:eastAsia="方正仿宋_GBK" w:cs="黑体"/>
          <w:b w:val="0"/>
          <w:bCs w:val="0"/>
          <w:snapToGrid/>
          <w:color w:val="auto"/>
          <w:kern w:val="2"/>
          <w:sz w:val="32"/>
          <w:szCs w:val="32"/>
          <w:lang w:val="en-US" w:eastAsia="zh-CN" w:bidi="ar-SA"/>
        </w:rPr>
        <w:t>需提交</w:t>
      </w:r>
      <w:r>
        <w:rPr>
          <w:rStyle w:val="12"/>
          <w:rFonts w:hint="eastAsia" w:ascii="Times New Roman" w:hAnsi="Times New Roman" w:eastAsia="方正仿宋_GBK" w:cs="黑体"/>
          <w:b w:val="0"/>
          <w:bCs w:val="0"/>
          <w:snapToGrid/>
          <w:color w:val="auto"/>
          <w:kern w:val="2"/>
          <w:sz w:val="32"/>
          <w:szCs w:val="32"/>
          <w:lang w:val="en-US" w:eastAsia="en-US" w:bidi="ar-SA"/>
        </w:rPr>
        <w:t>研发、转化能力</w:t>
      </w:r>
      <w:r>
        <w:rPr>
          <w:rStyle w:val="12"/>
          <w:rFonts w:hint="eastAsia" w:ascii="Times New Roman" w:hAnsi="Times New Roman" w:eastAsia="方正仿宋_GBK" w:cs="黑体"/>
          <w:b w:val="0"/>
          <w:bCs w:val="0"/>
          <w:snapToGrid/>
          <w:color w:val="auto"/>
          <w:kern w:val="2"/>
          <w:sz w:val="32"/>
          <w:szCs w:val="32"/>
          <w:lang w:val="en-US" w:eastAsia="zh-CN" w:bidi="ar-SA"/>
        </w:rPr>
        <w:t>的</w:t>
      </w:r>
      <w:r>
        <w:rPr>
          <w:rStyle w:val="12"/>
          <w:rFonts w:hint="eastAsia" w:ascii="Times New Roman" w:hAnsi="Times New Roman" w:eastAsia="方正仿宋_GBK" w:cs="黑体"/>
          <w:b w:val="0"/>
          <w:bCs w:val="0"/>
          <w:snapToGrid/>
          <w:color w:val="auto"/>
          <w:kern w:val="2"/>
          <w:sz w:val="32"/>
          <w:szCs w:val="32"/>
          <w:lang w:val="en-US" w:eastAsia="en-US" w:bidi="ar-SA"/>
        </w:rPr>
        <w:t>相关证明；</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3. 委托代理机构提交优先审查请求的，需上传专利优先审查请求书，并加盖全体专利申请人签章；</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en-US" w:bidi="ar-SA"/>
        </w:rPr>
      </w:pPr>
      <w:r>
        <w:rPr>
          <w:rStyle w:val="12"/>
          <w:rFonts w:hint="eastAsia" w:ascii="Times New Roman" w:hAnsi="Times New Roman" w:eastAsia="方正仿宋_GBK" w:cs="黑体"/>
          <w:b w:val="0"/>
          <w:bCs w:val="0"/>
          <w:snapToGrid/>
          <w:color w:val="auto"/>
          <w:kern w:val="2"/>
          <w:sz w:val="32"/>
          <w:szCs w:val="32"/>
          <w:lang w:val="en-US" w:eastAsia="zh-CN" w:bidi="ar-SA"/>
        </w:rPr>
        <w:t>4. 优先审查委托代理机构与专利申请代理机构不一致的，需</w:t>
      </w:r>
      <w:r>
        <w:rPr>
          <w:rStyle w:val="12"/>
          <w:rFonts w:hint="eastAsia" w:ascii="Times New Roman" w:hAnsi="Times New Roman" w:eastAsia="方正仿宋_GBK" w:cs="黑体"/>
          <w:b w:val="0"/>
          <w:bCs w:val="0"/>
          <w:snapToGrid/>
          <w:color w:val="auto"/>
          <w:kern w:val="2"/>
          <w:sz w:val="32"/>
          <w:szCs w:val="32"/>
          <w:lang w:val="en-US" w:eastAsia="en-US" w:bidi="ar-SA"/>
        </w:rPr>
        <w:t>提交</w:t>
      </w:r>
      <w:r>
        <w:rPr>
          <w:rStyle w:val="12"/>
          <w:rFonts w:hint="eastAsia" w:ascii="Times New Roman" w:hAnsi="Times New Roman" w:eastAsia="方正仿宋_GBK" w:cs="黑体"/>
          <w:b w:val="0"/>
          <w:bCs w:val="0"/>
          <w:snapToGrid/>
          <w:color w:val="auto"/>
          <w:kern w:val="2"/>
          <w:sz w:val="32"/>
          <w:szCs w:val="32"/>
          <w:lang w:val="en-US" w:eastAsia="zh-CN" w:bidi="ar-SA"/>
        </w:rPr>
        <w:t>专利优先审查</w:t>
      </w:r>
      <w:r>
        <w:rPr>
          <w:rStyle w:val="12"/>
          <w:rFonts w:hint="eastAsia" w:ascii="Times New Roman" w:hAnsi="Times New Roman" w:eastAsia="方正仿宋_GBK" w:cs="黑体"/>
          <w:b w:val="0"/>
          <w:bCs w:val="0"/>
          <w:snapToGrid/>
          <w:color w:val="auto"/>
          <w:kern w:val="2"/>
          <w:sz w:val="32"/>
          <w:szCs w:val="32"/>
          <w:lang w:val="en-US" w:eastAsia="en-US" w:bidi="ar-SA"/>
        </w:rPr>
        <w:t>代理委托书</w:t>
      </w:r>
      <w:r>
        <w:rPr>
          <w:rStyle w:val="12"/>
          <w:rFonts w:hint="eastAsia" w:ascii="Times New Roman" w:hAnsi="Times New Roman" w:eastAsia="方正仿宋_GBK" w:cs="黑体"/>
          <w:b w:val="0"/>
          <w:bCs w:val="0"/>
          <w:snapToGrid/>
          <w:color w:val="auto"/>
          <w:kern w:val="2"/>
          <w:sz w:val="32"/>
          <w:szCs w:val="32"/>
          <w:lang w:val="en-US" w:eastAsia="zh-CN" w:bidi="ar-SA"/>
        </w:rPr>
        <w:t>及</w:t>
      </w:r>
      <w:r>
        <w:rPr>
          <w:rStyle w:val="12"/>
          <w:rFonts w:hint="eastAsia" w:ascii="Times New Roman" w:hAnsi="Times New Roman" w:eastAsia="方正仿宋_GBK" w:cs="黑体"/>
          <w:b w:val="0"/>
          <w:bCs w:val="0"/>
          <w:snapToGrid/>
          <w:color w:val="auto"/>
          <w:kern w:val="2"/>
          <w:sz w:val="32"/>
          <w:szCs w:val="32"/>
          <w:lang w:val="en-US" w:eastAsia="en-US" w:bidi="ar-SA"/>
        </w:rPr>
        <w:t>原案代理机构知情书</w:t>
      </w:r>
      <w:r>
        <w:rPr>
          <w:rStyle w:val="12"/>
          <w:rFonts w:hint="eastAsia" w:ascii="Times New Roman" w:hAnsi="Times New Roman" w:eastAsia="方正仿宋_GBK" w:cs="黑体"/>
          <w:b w:val="0"/>
          <w:bCs w:val="0"/>
          <w:snapToGrid/>
          <w:color w:val="auto"/>
          <w:kern w:val="2"/>
          <w:sz w:val="32"/>
          <w:szCs w:val="32"/>
          <w:lang w:val="en-US" w:eastAsia="zh-CN" w:bidi="ar-SA"/>
        </w:rPr>
        <w:t>；</w:t>
      </w:r>
    </w:p>
    <w:p>
      <w:pPr>
        <w:pStyle w:val="6"/>
        <w:keepNext w:val="0"/>
        <w:keepLines w:val="0"/>
        <w:pageBreakBefore w:val="0"/>
        <w:widowControl w:val="0"/>
        <w:numPr>
          <w:ilvl w:val="0"/>
          <w:numId w:val="0"/>
        </w:numPr>
        <w:wordWrap/>
        <w:overflowPunct/>
        <w:topLinePunct w:val="0"/>
        <w:bidi w:val="0"/>
        <w:spacing w:line="336" w:lineRule="auto"/>
        <w:ind w:right="4" w:rightChars="0" w:firstLine="640" w:firstLineChars="200"/>
        <w:jc w:val="both"/>
        <w:rPr>
          <w:rStyle w:val="12"/>
          <w:rFonts w:hint="eastAsia" w:ascii="Times New Roman" w:hAnsi="Times New Roman" w:eastAsia="方正仿宋_GBK" w:cs="黑体"/>
          <w:b w:val="0"/>
          <w:bCs w:val="0"/>
          <w:snapToGrid/>
          <w:color w:val="auto"/>
          <w:kern w:val="2"/>
          <w:sz w:val="32"/>
          <w:szCs w:val="32"/>
          <w:lang w:val="en-US" w:eastAsia="en-US" w:bidi="ar-SA"/>
        </w:rPr>
      </w:pPr>
      <w:r>
        <w:rPr>
          <w:rStyle w:val="12"/>
          <w:rFonts w:hint="eastAsia" w:ascii="Times New Roman" w:hAnsi="Times New Roman" w:eastAsia="方正仿宋_GBK" w:cs="黑体"/>
          <w:b w:val="0"/>
          <w:bCs w:val="0"/>
          <w:snapToGrid/>
          <w:color w:val="auto"/>
          <w:kern w:val="2"/>
          <w:sz w:val="32"/>
          <w:szCs w:val="32"/>
          <w:lang w:val="en-US" w:eastAsia="zh-CN" w:bidi="ar-SA"/>
        </w:rPr>
        <w:t>5. 全体专利申请人身份证明及</w:t>
      </w:r>
      <w:r>
        <w:rPr>
          <w:rStyle w:val="12"/>
          <w:rFonts w:hint="eastAsia" w:ascii="Times New Roman" w:hAnsi="Times New Roman" w:eastAsia="方正仿宋_GBK" w:cs="黑体"/>
          <w:b w:val="0"/>
          <w:bCs w:val="0"/>
          <w:snapToGrid/>
          <w:color w:val="auto"/>
          <w:kern w:val="2"/>
          <w:sz w:val="32"/>
          <w:szCs w:val="32"/>
          <w:lang w:val="en-US" w:eastAsia="en-US" w:bidi="ar-SA"/>
        </w:rPr>
        <w:t>其他相关</w:t>
      </w:r>
      <w:r>
        <w:rPr>
          <w:rStyle w:val="12"/>
          <w:rFonts w:hint="eastAsia" w:ascii="Times New Roman" w:hAnsi="Times New Roman" w:eastAsia="方正仿宋_GBK" w:cs="黑体"/>
          <w:b w:val="0"/>
          <w:bCs w:val="0"/>
          <w:snapToGrid/>
          <w:color w:val="auto"/>
          <w:kern w:val="2"/>
          <w:sz w:val="32"/>
          <w:szCs w:val="32"/>
          <w:lang w:val="en-US" w:eastAsia="zh-CN" w:bidi="ar-SA"/>
        </w:rPr>
        <w:t>佐证</w:t>
      </w:r>
      <w:r>
        <w:rPr>
          <w:rStyle w:val="12"/>
          <w:rFonts w:hint="eastAsia" w:ascii="Times New Roman" w:hAnsi="Times New Roman" w:eastAsia="方正仿宋_GBK" w:cs="黑体"/>
          <w:b w:val="0"/>
          <w:bCs w:val="0"/>
          <w:snapToGrid/>
          <w:color w:val="auto"/>
          <w:kern w:val="2"/>
          <w:sz w:val="32"/>
          <w:szCs w:val="32"/>
          <w:lang w:val="en-US" w:eastAsia="en-US" w:bidi="ar-SA"/>
        </w:rPr>
        <w:t>材料。</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en-US" w:bidi="ar-SA"/>
        </w:rPr>
        <w:t>（二）专利复审、无效宣告</w:t>
      </w:r>
      <w:r>
        <w:rPr>
          <w:rStyle w:val="12"/>
          <w:rFonts w:hint="eastAsia" w:ascii="Times New Roman" w:hAnsi="Times New Roman" w:eastAsia="方正仿宋_GBK" w:cs="黑体"/>
          <w:b w:val="0"/>
          <w:bCs w:val="0"/>
          <w:snapToGrid/>
          <w:color w:val="auto"/>
          <w:kern w:val="2"/>
          <w:sz w:val="32"/>
          <w:szCs w:val="32"/>
          <w:lang w:val="en-US" w:eastAsia="zh-CN" w:bidi="ar-SA"/>
        </w:rPr>
        <w:t>案件</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1. 《复审、无效宣告优先审查请求书》；</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 xml:space="preserve">2. </w:t>
      </w:r>
      <w:r>
        <w:rPr>
          <w:rStyle w:val="12"/>
          <w:rFonts w:hint="eastAsia" w:ascii="Times New Roman" w:hAnsi="Times New Roman" w:eastAsia="方正仿宋_GBK" w:cs="黑体"/>
          <w:b w:val="0"/>
          <w:bCs w:val="0"/>
          <w:snapToGrid/>
          <w:color w:val="auto"/>
          <w:kern w:val="2"/>
          <w:sz w:val="32"/>
          <w:szCs w:val="32"/>
          <w:lang w:val="en-US" w:eastAsia="en-US" w:bidi="ar-SA"/>
        </w:rPr>
        <w:t>复审、无效宣告</w:t>
      </w:r>
      <w:r>
        <w:rPr>
          <w:rStyle w:val="12"/>
          <w:rFonts w:hint="eastAsia" w:ascii="Times New Roman" w:hAnsi="Times New Roman" w:eastAsia="方正仿宋_GBK" w:cs="黑体"/>
          <w:b w:val="0"/>
          <w:bCs w:val="0"/>
          <w:snapToGrid/>
          <w:color w:val="auto"/>
          <w:kern w:val="2"/>
          <w:sz w:val="32"/>
          <w:szCs w:val="32"/>
          <w:lang w:val="en-US" w:eastAsia="zh-CN" w:bidi="ar-SA"/>
        </w:rPr>
        <w:t>案件请求人</w:t>
      </w:r>
      <w:r>
        <w:rPr>
          <w:rStyle w:val="12"/>
          <w:rFonts w:hint="eastAsia" w:ascii="Times New Roman" w:hAnsi="Times New Roman" w:eastAsia="方正仿宋_GBK" w:cs="黑体"/>
          <w:b w:val="0"/>
          <w:bCs w:val="0"/>
          <w:snapToGrid/>
          <w:color w:val="auto"/>
          <w:kern w:val="2"/>
          <w:sz w:val="32"/>
          <w:szCs w:val="32"/>
          <w:lang w:val="en-US" w:eastAsia="en-US" w:bidi="ar-SA"/>
        </w:rPr>
        <w:t>同意优先审查的声明及证明文件说明；</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3. 专利无效案件需提供侵权纠纷相关立案、起诉、应诉等佐证材料；</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4. 复审、无效受理通知书及其他相关佐证材料。</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en-US" w:bidi="ar-SA"/>
        </w:rPr>
      </w:pPr>
      <w:r>
        <w:rPr>
          <w:rStyle w:val="12"/>
          <w:rFonts w:hint="eastAsia" w:ascii="Times New Roman" w:hAnsi="Times New Roman" w:eastAsia="方正仿宋_GBK" w:cs="黑体"/>
          <w:b w:val="0"/>
          <w:bCs w:val="0"/>
          <w:snapToGrid/>
          <w:color w:val="auto"/>
          <w:kern w:val="2"/>
          <w:sz w:val="32"/>
          <w:szCs w:val="32"/>
          <w:highlight w:val="none"/>
          <w:lang w:val="en-US" w:eastAsia="zh-CN" w:bidi="ar-SA"/>
        </w:rPr>
        <w:t>第十二条 以“涉及省级或者设区的市级人民政府重点鼓励的产业”提出优先审查请求的，请求人应当提交</w:t>
      </w:r>
      <w:r>
        <w:rPr>
          <w:rStyle w:val="12"/>
          <w:rFonts w:hint="eastAsia" w:ascii="Times New Roman" w:hAnsi="Times New Roman" w:eastAsia="方正仿宋_GBK" w:cs="黑体"/>
          <w:b w:val="0"/>
          <w:bCs w:val="0"/>
          <w:snapToGrid/>
          <w:color w:val="auto"/>
          <w:kern w:val="2"/>
          <w:sz w:val="32"/>
          <w:szCs w:val="32"/>
          <w:lang w:val="en-US" w:eastAsia="en-US" w:bidi="ar-SA"/>
        </w:rPr>
        <w:t>优先审查证明文件</w:t>
      </w:r>
      <w:r>
        <w:rPr>
          <w:rStyle w:val="12"/>
          <w:rFonts w:hint="eastAsia" w:ascii="Times New Roman" w:hAnsi="Times New Roman" w:eastAsia="方正仿宋_GBK" w:cs="黑体"/>
          <w:b w:val="0"/>
          <w:bCs w:val="0"/>
          <w:snapToGrid/>
          <w:color w:val="auto"/>
          <w:kern w:val="2"/>
          <w:sz w:val="32"/>
          <w:szCs w:val="32"/>
          <w:lang w:val="en-US" w:eastAsia="zh-CN" w:bidi="ar-SA"/>
        </w:rPr>
        <w:t>及相关</w:t>
      </w:r>
      <w:r>
        <w:rPr>
          <w:rStyle w:val="12"/>
          <w:rFonts w:hint="eastAsia" w:ascii="Times New Roman" w:hAnsi="Times New Roman" w:eastAsia="方正仿宋_GBK" w:cs="黑体"/>
          <w:b w:val="0"/>
          <w:bCs w:val="0"/>
          <w:snapToGrid/>
          <w:color w:val="auto"/>
          <w:kern w:val="2"/>
          <w:sz w:val="32"/>
          <w:szCs w:val="32"/>
          <w:highlight w:val="none"/>
          <w:lang w:val="en-US" w:eastAsia="zh-CN" w:bidi="ar-SA"/>
        </w:rPr>
        <w:t>政策文件，报市州知识产权管理部门核实，并出具核实意见后，上传至专利业务办理系统。</w:t>
      </w:r>
    </w:p>
    <w:p>
      <w:pPr>
        <w:pStyle w:val="6"/>
        <w:keepNext w:val="0"/>
        <w:keepLines w:val="0"/>
        <w:pageBreakBefore w:val="0"/>
        <w:widowControl w:val="0"/>
        <w:wordWrap/>
        <w:overflowPunct/>
        <w:topLinePunct w:val="0"/>
        <w:bidi w:val="0"/>
        <w:spacing w:line="335" w:lineRule="auto"/>
        <w:ind w:left="0" w:leftChars="0" w:firstLine="0" w:firstLineChars="0"/>
        <w:jc w:val="center"/>
        <w:rPr>
          <w:rStyle w:val="12"/>
          <w:rFonts w:hint="eastAsia" w:ascii="黑体" w:hAnsi="黑体" w:eastAsia="黑体" w:cs="黑体"/>
          <w:b w:val="0"/>
          <w:bCs/>
          <w:snapToGrid/>
          <w:color w:val="auto"/>
          <w:kern w:val="2"/>
          <w:sz w:val="32"/>
          <w:szCs w:val="32"/>
          <w:lang w:val="en-US" w:eastAsia="zh-CN" w:bidi="ar-SA"/>
        </w:rPr>
      </w:pPr>
      <w:r>
        <w:rPr>
          <w:rStyle w:val="12"/>
          <w:rFonts w:hint="eastAsia" w:ascii="黑体" w:hAnsi="黑体" w:eastAsia="黑体" w:cs="黑体"/>
          <w:b w:val="0"/>
          <w:bCs/>
          <w:snapToGrid/>
          <w:color w:val="auto"/>
          <w:kern w:val="2"/>
          <w:sz w:val="32"/>
          <w:szCs w:val="32"/>
          <w:lang w:val="en-US" w:eastAsia="zh-CN" w:bidi="ar-SA"/>
        </w:rPr>
        <w:t>第四章 管理规范与监督跟踪</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highlight w:val="none"/>
          <w:lang w:val="en-US" w:eastAsia="zh-CN" w:bidi="ar-SA"/>
        </w:rPr>
      </w:pPr>
      <w:r>
        <w:rPr>
          <w:rStyle w:val="12"/>
          <w:rFonts w:hint="eastAsia" w:ascii="Times New Roman" w:hAnsi="Times New Roman" w:eastAsia="方正仿宋_GBK" w:cs="黑体"/>
          <w:b w:val="0"/>
          <w:bCs w:val="0"/>
          <w:snapToGrid/>
          <w:color w:val="auto"/>
          <w:kern w:val="2"/>
          <w:sz w:val="32"/>
          <w:szCs w:val="32"/>
          <w:highlight w:val="none"/>
          <w:lang w:val="en-US" w:eastAsia="zh-CN" w:bidi="ar-SA"/>
        </w:rPr>
        <w:t>第十三条 建立全省创新主体备案信息库，根据创新主体信用状况对备案名单</w:t>
      </w:r>
      <w:r>
        <w:rPr>
          <w:rStyle w:val="12"/>
          <w:rFonts w:hint="default" w:ascii="Times New Roman" w:hAnsi="Times New Roman" w:eastAsia="方正仿宋_GBK" w:cs="黑体"/>
          <w:b w:val="0"/>
          <w:bCs w:val="0"/>
          <w:snapToGrid/>
          <w:color w:val="auto"/>
          <w:kern w:val="2"/>
          <w:sz w:val="32"/>
          <w:szCs w:val="32"/>
          <w:highlight w:val="none"/>
          <w:lang w:val="en-US" w:eastAsia="zh-CN" w:bidi="ar-SA"/>
        </w:rPr>
        <w:t>实行动态管理</w:t>
      </w:r>
      <w:r>
        <w:rPr>
          <w:rStyle w:val="12"/>
          <w:rFonts w:hint="eastAsia" w:ascii="Times New Roman" w:hAnsi="Times New Roman" w:eastAsia="方正仿宋_GBK" w:cs="黑体"/>
          <w:b w:val="0"/>
          <w:bCs w:val="0"/>
          <w:snapToGrid/>
          <w:color w:val="auto"/>
          <w:kern w:val="2"/>
          <w:sz w:val="32"/>
          <w:szCs w:val="32"/>
          <w:highlight w:val="none"/>
          <w:lang w:val="en-US" w:eastAsia="zh-CN" w:bidi="ar-SA"/>
        </w:rPr>
        <w:t>。</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highlight w:val="none"/>
          <w:lang w:val="en-US" w:eastAsia="zh-CN" w:bidi="ar-SA"/>
        </w:rPr>
      </w:pPr>
      <w:r>
        <w:rPr>
          <w:rStyle w:val="12"/>
          <w:rFonts w:hint="eastAsia" w:ascii="Times New Roman" w:hAnsi="Times New Roman" w:eastAsia="方正仿宋_GBK" w:cs="黑体"/>
          <w:b w:val="0"/>
          <w:bCs w:val="0"/>
          <w:snapToGrid/>
          <w:color w:val="auto"/>
          <w:kern w:val="2"/>
          <w:sz w:val="32"/>
          <w:szCs w:val="32"/>
          <w:highlight w:val="none"/>
          <w:lang w:val="en-US" w:eastAsia="zh-CN" w:bidi="ar-SA"/>
        </w:rPr>
        <w:t>第十四条 创新主体备案信息库实行定期更新和依申请更新双轨制。定期更新，是指各市州知识产权管理部门按年度统一上报；依申请更新，是指申请主体向所在地市州知识产权管理部门提交主体备案申请，市州审核后报长沙代办处核准，纳入全省优先审查创新主体备案库。</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highlight w:val="none"/>
          <w:lang w:val="en-US" w:eastAsia="zh-CN" w:bidi="ar-SA"/>
        </w:rPr>
      </w:pPr>
      <w:r>
        <w:rPr>
          <w:rStyle w:val="12"/>
          <w:rFonts w:hint="eastAsia" w:ascii="Times New Roman" w:hAnsi="Times New Roman" w:eastAsia="方正仿宋_GBK" w:cs="黑体"/>
          <w:b w:val="0"/>
          <w:bCs w:val="0"/>
          <w:snapToGrid/>
          <w:color w:val="auto"/>
          <w:kern w:val="2"/>
          <w:sz w:val="32"/>
          <w:szCs w:val="32"/>
          <w:highlight w:val="none"/>
          <w:lang w:val="en-US" w:eastAsia="zh-CN" w:bidi="ar-SA"/>
        </w:rPr>
        <w:t>第十五条 创新主体申请备案时，请求人需提交入库申请表、单位或者自然人身份证明、产业认定证明等材料；请求人为自然人的，还需提交研发能力证明。</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第十六条 建立优先审查申请质量跟踪管理机制，以案件质量、授权率及转化成效为核心，对创新主体、代理机构、各市州专利申请质量开展常态化全流程监管。对存在备案信息不实、材料造假、隐瞒事实、恶意提交申请等违反诚实信用原则行为，或利用优先审查开展不当业务、谋取不当利益等行为的请求人及代理机构，列入优先审查推荐重点监管名单，视情况予以约谈、暂停推荐，经整改通过后方可恢复优先审查申请资格。</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第十七条 省局负责对优先审查案件授权率持续偏低、存在不以保护创新为目的申请行为的请求人及代理机构，依法依规开展督导并督促整改。长沙代办处根据全省年度优先审查案件授权率，开展质量评价。</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第十八条 建立优先审查廉洁监督机制。专利优先审查各环节应强化规范管控和权力制约，防范廉政风险。请求人及代理机构应当严格遵守相关法律法规，规范从业行为，严禁以任何形式实施贿赂、利益输送等干扰审查工作的行为。对违反规定的，一经查实，依法依规追究责任。</w:t>
      </w:r>
    </w:p>
    <w:p>
      <w:pPr>
        <w:pStyle w:val="6"/>
        <w:keepNext w:val="0"/>
        <w:keepLines w:val="0"/>
        <w:pageBreakBefore w:val="0"/>
        <w:widowControl w:val="0"/>
        <w:wordWrap/>
        <w:overflowPunct/>
        <w:topLinePunct w:val="0"/>
        <w:bidi w:val="0"/>
        <w:spacing w:line="335" w:lineRule="auto"/>
        <w:ind w:left="0" w:leftChars="0" w:firstLine="0" w:firstLineChars="0"/>
        <w:jc w:val="center"/>
        <w:rPr>
          <w:rStyle w:val="12"/>
          <w:rFonts w:hint="eastAsia" w:ascii="黑体" w:hAnsi="黑体" w:eastAsia="黑体" w:cs="黑体"/>
          <w:b w:val="0"/>
          <w:bCs/>
          <w:snapToGrid/>
          <w:color w:val="auto"/>
          <w:kern w:val="2"/>
          <w:sz w:val="32"/>
          <w:szCs w:val="32"/>
          <w:lang w:val="en-US" w:eastAsia="zh-CN" w:bidi="ar-SA"/>
        </w:rPr>
      </w:pPr>
      <w:r>
        <w:rPr>
          <w:rStyle w:val="12"/>
          <w:rFonts w:hint="eastAsia" w:ascii="黑体" w:hAnsi="黑体" w:eastAsia="黑体" w:cs="黑体"/>
          <w:b w:val="0"/>
          <w:bCs/>
          <w:snapToGrid/>
          <w:color w:val="auto"/>
          <w:kern w:val="2"/>
          <w:sz w:val="32"/>
          <w:szCs w:val="32"/>
          <w:lang w:val="en-US" w:eastAsia="zh-CN" w:bidi="ar-SA"/>
        </w:rPr>
        <w:t>第五章 附则</w:t>
      </w:r>
    </w:p>
    <w:p>
      <w:pPr>
        <w:pStyle w:val="6"/>
        <w:keepNext w:val="0"/>
        <w:keepLines w:val="0"/>
        <w:pageBreakBefore w:val="0"/>
        <w:widowControl w:val="0"/>
        <w:wordWrap/>
        <w:overflowPunct/>
        <w:topLinePunct w:val="0"/>
        <w:bidi w:val="0"/>
        <w:spacing w:line="336" w:lineRule="auto"/>
        <w:ind w:right="4" w:firstLine="619"/>
        <w:jc w:val="both"/>
        <w:rPr>
          <w:rStyle w:val="12"/>
          <w:rFonts w:hint="eastAsia" w:ascii="Times New Roman" w:hAnsi="Times New Roman" w:eastAsia="方正仿宋_GBK" w:cs="黑体"/>
          <w:b w:val="0"/>
          <w:bCs w:val="0"/>
          <w:snapToGrid/>
          <w:color w:val="auto"/>
          <w:kern w:val="2"/>
          <w:sz w:val="32"/>
          <w:szCs w:val="32"/>
          <w:lang w:val="en-US" w:eastAsia="zh-CN" w:bidi="ar-SA"/>
        </w:rPr>
      </w:pPr>
      <w:r>
        <w:rPr>
          <w:rStyle w:val="12"/>
          <w:rFonts w:hint="eastAsia" w:ascii="Times New Roman" w:hAnsi="Times New Roman" w:eastAsia="方正仿宋_GBK" w:cs="黑体"/>
          <w:b w:val="0"/>
          <w:bCs w:val="0"/>
          <w:snapToGrid/>
          <w:color w:val="auto"/>
          <w:kern w:val="2"/>
          <w:sz w:val="32"/>
          <w:szCs w:val="32"/>
          <w:lang w:val="en-US" w:eastAsia="zh-CN" w:bidi="ar-SA"/>
        </w:rPr>
        <w:t>第十九条 本办法由湖南省市场监督管理局（知识产权局）负责解释。按照《专利优先审查管理办法》及相关配套规定执行，后续国家知识产权局如出台相关政策、规定，按新规定执行。</w:t>
      </w:r>
    </w:p>
    <w:p>
      <w:pPr>
        <w:pStyle w:val="6"/>
        <w:keepNext w:val="0"/>
        <w:keepLines w:val="0"/>
        <w:pageBreakBefore w:val="0"/>
        <w:widowControl w:val="0"/>
        <w:wordWrap/>
        <w:overflowPunct/>
        <w:topLinePunct w:val="0"/>
        <w:bidi w:val="0"/>
        <w:spacing w:line="336" w:lineRule="auto"/>
        <w:ind w:right="4" w:firstLine="619"/>
        <w:jc w:val="both"/>
        <w:rPr>
          <w:rFonts w:hint="eastAsia" w:ascii="Times New Roman" w:hAnsi="Times New Roman" w:eastAsia="方正仿宋_GBK" w:cs="黑体"/>
          <w:color w:val="auto"/>
          <w:sz w:val="32"/>
          <w:szCs w:val="32"/>
        </w:rPr>
      </w:pPr>
      <w:r>
        <w:rPr>
          <w:rStyle w:val="12"/>
          <w:rFonts w:hint="eastAsia" w:ascii="Times New Roman" w:hAnsi="Times New Roman" w:eastAsia="方正仿宋_GBK" w:cs="黑体"/>
          <w:b w:val="0"/>
          <w:bCs w:val="0"/>
          <w:snapToGrid/>
          <w:color w:val="auto"/>
          <w:kern w:val="2"/>
          <w:sz w:val="32"/>
          <w:szCs w:val="32"/>
          <w:lang w:val="en-US" w:eastAsia="zh-CN" w:bidi="ar-SA"/>
        </w:rPr>
        <w:t>第二十条 本办法自公布之日起施行。</w:t>
      </w:r>
    </w:p>
    <w:p>
      <w:pPr>
        <w:pStyle w:val="6"/>
        <w:keepNext w:val="0"/>
        <w:keepLines w:val="0"/>
        <w:pageBreakBefore w:val="0"/>
        <w:widowControl w:val="0"/>
        <w:wordWrap/>
        <w:overflowPunct/>
        <w:topLinePunct w:val="0"/>
        <w:bidi w:val="0"/>
        <w:spacing w:line="336" w:lineRule="auto"/>
        <w:ind w:right="4" w:firstLine="619"/>
        <w:jc w:val="both"/>
        <w:rPr>
          <w:rFonts w:hint="eastAsia" w:ascii="Times New Roman" w:hAnsi="Times New Roman" w:eastAsia="方正仿宋_GBK" w:cs="黑体"/>
          <w:color w:val="auto"/>
          <w:sz w:val="32"/>
          <w:szCs w:val="32"/>
        </w:rPr>
      </w:pPr>
    </w:p>
    <w:sectPr>
      <w:headerReference r:id="rId5" w:type="default"/>
      <w:footerReference r:id="rId6" w:type="default"/>
      <w:pgSz w:w="11900" w:h="16830"/>
      <w:pgMar w:top="1984" w:right="1474" w:bottom="1474" w:left="1474" w:header="0" w:footer="969"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黑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ind w:left="0"/>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AalSs7WAAAABgEAAA8AAAAAAAAAAQAgAAAAOAAAAGRycy9kb3ducmV2&#10;LnhtbFBLAQIUABQAAAAIAIdO4kDPvJvBIQIAADMEAAAOAAAAAAAAAAEAIAAAADsBAABkcnMvZTJv&#10;RG9jLnhtbFBLBQYAAAAABgAGAFkBAADOBQAAAAA=&#10;">
              <v:fill on="f" focussize="0,0"/>
              <v:stroke on="f" weight="0.5pt"/>
              <v:imagedata o:title=""/>
              <o:lock v:ext="edit" aspectratio="f"/>
              <v:textbox inset="16pt,0mm,16pt,0mm" style="mso-fit-shape-to-text:t;">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TrueTypeFonts/>
  <w:saveSubsetFonts/>
  <w:bordersDoNotSurroundHeader w:val="false"/>
  <w:bordersDoNotSurroundFooter w:val="false"/>
  <w:trackRevisions w:val="true"/>
  <w:documentProtection w:enforcement="0"/>
  <w:displayHorizontalDrawingGridEvery w:val="1"/>
  <w:displayVerticalDrawingGridEvery w:val="1"/>
  <w:noPunctuationKerning w:val="true"/>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58F53E4"/>
    <w:rsid w:val="160D3141"/>
    <w:rsid w:val="1ABF57FF"/>
    <w:rsid w:val="1C8E7BC6"/>
    <w:rsid w:val="2035444C"/>
    <w:rsid w:val="25565941"/>
    <w:rsid w:val="28BA0933"/>
    <w:rsid w:val="2BD61589"/>
    <w:rsid w:val="2EEF2350"/>
    <w:rsid w:val="2FED0C50"/>
    <w:rsid w:val="2FFD3A9B"/>
    <w:rsid w:val="339D184B"/>
    <w:rsid w:val="33A15BB1"/>
    <w:rsid w:val="37486DBC"/>
    <w:rsid w:val="3BFF4D39"/>
    <w:rsid w:val="3DECC73C"/>
    <w:rsid w:val="3DF70EE4"/>
    <w:rsid w:val="3FF356DA"/>
    <w:rsid w:val="3FFBBE54"/>
    <w:rsid w:val="42070C38"/>
    <w:rsid w:val="463351B6"/>
    <w:rsid w:val="47F6784A"/>
    <w:rsid w:val="4EBE7F2F"/>
    <w:rsid w:val="4F7573F1"/>
    <w:rsid w:val="50F5401E"/>
    <w:rsid w:val="54DE1710"/>
    <w:rsid w:val="57FDF5C3"/>
    <w:rsid w:val="5B6E42E3"/>
    <w:rsid w:val="5BBE913F"/>
    <w:rsid w:val="5F5367FB"/>
    <w:rsid w:val="63FB5745"/>
    <w:rsid w:val="63FF3ECA"/>
    <w:rsid w:val="67F78297"/>
    <w:rsid w:val="6E71C400"/>
    <w:rsid w:val="6F541B76"/>
    <w:rsid w:val="6FFFA67B"/>
    <w:rsid w:val="72EDA309"/>
    <w:rsid w:val="735D2207"/>
    <w:rsid w:val="7477FF93"/>
    <w:rsid w:val="756DF43F"/>
    <w:rsid w:val="75ED212E"/>
    <w:rsid w:val="765C3F23"/>
    <w:rsid w:val="76D015B7"/>
    <w:rsid w:val="77BFD3E9"/>
    <w:rsid w:val="77FFA7C9"/>
    <w:rsid w:val="78FA0A29"/>
    <w:rsid w:val="7AF1296F"/>
    <w:rsid w:val="7AF8BF24"/>
    <w:rsid w:val="7BFFD038"/>
    <w:rsid w:val="7C6D6C6D"/>
    <w:rsid w:val="7E29ECE8"/>
    <w:rsid w:val="7EFD81FD"/>
    <w:rsid w:val="7F1DA517"/>
    <w:rsid w:val="7F5F3CCA"/>
    <w:rsid w:val="7F9E61F6"/>
    <w:rsid w:val="7FE7DDEA"/>
    <w:rsid w:val="7FFAF280"/>
    <w:rsid w:val="7FFF5C14"/>
    <w:rsid w:val="7FFF748C"/>
    <w:rsid w:val="7FFFCED4"/>
    <w:rsid w:val="869FE7DF"/>
    <w:rsid w:val="AA9D8E81"/>
    <w:rsid w:val="AF269D8C"/>
    <w:rsid w:val="B79E8734"/>
    <w:rsid w:val="BD7BCFCD"/>
    <w:rsid w:val="BF0920B3"/>
    <w:rsid w:val="BF7CEE87"/>
    <w:rsid w:val="BFBBDF66"/>
    <w:rsid w:val="BFFFD25D"/>
    <w:rsid w:val="CDDFB2B2"/>
    <w:rsid w:val="D7AE3884"/>
    <w:rsid w:val="DBEF8F6A"/>
    <w:rsid w:val="DEAD5F68"/>
    <w:rsid w:val="DEBB8D1F"/>
    <w:rsid w:val="DF5E12C5"/>
    <w:rsid w:val="DFF33DA2"/>
    <w:rsid w:val="E26FB801"/>
    <w:rsid w:val="E7BB1ADD"/>
    <w:rsid w:val="EB9B1667"/>
    <w:rsid w:val="EBDF4B03"/>
    <w:rsid w:val="ECEF48B7"/>
    <w:rsid w:val="EF7F2C1E"/>
    <w:rsid w:val="EFBF0E9A"/>
    <w:rsid w:val="F5CC599F"/>
    <w:rsid w:val="F77EB940"/>
    <w:rsid w:val="F8EAC4E8"/>
    <w:rsid w:val="FA7F0877"/>
    <w:rsid w:val="FA99D9D8"/>
    <w:rsid w:val="FB9E7A75"/>
    <w:rsid w:val="FBDD4FBC"/>
    <w:rsid w:val="FBFE8E9F"/>
    <w:rsid w:val="FC0F057C"/>
    <w:rsid w:val="FC27A0BD"/>
    <w:rsid w:val="FDEBB27C"/>
    <w:rsid w:val="FDF7C40E"/>
    <w:rsid w:val="FDFEEF71"/>
    <w:rsid w:val="FDFFF3C4"/>
    <w:rsid w:val="FEDFB3C1"/>
    <w:rsid w:val="FF29E0EF"/>
    <w:rsid w:val="FF7B86DF"/>
    <w:rsid w:val="FF8EBEB1"/>
    <w:rsid w:val="FFA569B2"/>
    <w:rsid w:val="FFBFF45B"/>
    <w:rsid w:val="FFDE0202"/>
    <w:rsid w:val="FFDEEED6"/>
    <w:rsid w:val="FFE96CE2"/>
    <w:rsid w:val="FFEB75C6"/>
    <w:rsid w:val="FFFBD384"/>
    <w:rsid w:val="FFFD3455"/>
    <w:rsid w:val="FFFF15E8"/>
    <w:rsid w:val="FFFFF8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UserStyle_0"/>
    <w:basedOn w:val="3"/>
    <w:next w:val="1"/>
    <w:qFormat/>
    <w:uiPriority w:val="0"/>
    <w:pPr>
      <w:widowControl/>
      <w:spacing w:after="160" w:line="240" w:lineRule="exact"/>
      <w:jc w:val="left"/>
    </w:pPr>
    <w:rPr>
      <w:kern w:val="0"/>
    </w:rPr>
  </w:style>
  <w:style w:type="paragraph" w:customStyle="1" w:styleId="3">
    <w:name w:val="正文 New New New New New New New New New New New New New New New New New New New New New New New New New New New New New New New New"/>
    <w:next w:val="4"/>
    <w:qFormat/>
    <w:uiPriority w:val="0"/>
    <w:pPr>
      <w:widowControl w:val="0"/>
      <w:jc w:val="both"/>
    </w:pPr>
    <w:rPr>
      <w:rFonts w:ascii="Calibri" w:hAnsi="Calibri" w:eastAsia="宋体" w:cs="宋体"/>
      <w:kern w:val="2"/>
      <w:sz w:val="21"/>
      <w:szCs w:val="24"/>
      <w:lang w:val="en-US" w:eastAsia="zh-CN" w:bidi="ar-SA"/>
    </w:rPr>
  </w:style>
  <w:style w:type="paragraph" w:customStyle="1" w:styleId="4">
    <w:name w:val="正文文本 New New New New New New New New New"/>
    <w:basedOn w:val="3"/>
    <w:next w:val="5"/>
    <w:qFormat/>
    <w:uiPriority w:val="0"/>
  </w:style>
  <w:style w:type="paragraph" w:customStyle="1" w:styleId="5">
    <w:name w:val="正文首行缩进 New New New New New New New New"/>
    <w:basedOn w:val="4"/>
    <w:qFormat/>
    <w:uiPriority w:val="0"/>
    <w:pPr>
      <w:ind w:firstLine="420" w:firstLineChars="100"/>
    </w:pPr>
  </w:style>
  <w:style w:type="paragraph" w:styleId="6">
    <w:name w:val="Body Text"/>
    <w:basedOn w:val="1"/>
    <w:semiHidden/>
    <w:qFormat/>
    <w:uiPriority w:val="0"/>
    <w:rPr>
      <w:rFonts w:ascii="仿宋" w:hAnsi="仿宋" w:eastAsia="仿宋" w:cs="仿宋"/>
      <w:sz w:val="32"/>
      <w:szCs w:val="3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22"/>
    <w:rPr>
      <w:b/>
      <w:bCs/>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2713</Words>
  <Characters>2724</Characters>
  <TotalTime>0</TotalTime>
  <ScaleCrop>false</ScaleCrop>
  <LinksUpToDate>false</LinksUpToDate>
  <CharactersWithSpaces>2757</CharactersWithSpaces>
  <Application>WPS Office_11.8.2.9864_F1E327BC-269C-435d-A152-05C5408002CA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2026-09-11T16:17:00Z</dcterms:created>
  <dc:creator>kylin</dc:creator>
  <cp:lastModifiedBy>kylim</cp:lastModifiedBy>
  <cp:lastPrinted>2026-09-17T09:51:00Z</cp:lastPrinted>
  <dcterms:modified xsi:type="dcterms:W3CDTF">2026-09-28T08:43:27Z</dcterms:modified>
  <dc:title>附件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2026-09-07T16:17:37Z</vt:filetime>
  </property>
  <property fmtid="{D5CDD505-2E9C-101B-9397-08002B2CF9AE}" pid="4" name="UsrData">
    <vt:lpwstr>6a9e731e712a3f001f09922dwl</vt:lpwstr>
  </property>
  <property fmtid="{D5CDD505-2E9C-101B-9397-08002B2CF9AE}" pid="5" name="KSOProductBuildVer">
    <vt:lpwstr>2052-11.8.2.9864</vt:lpwstr>
  </property>
  <property fmtid="{D5CDD505-2E9C-101B-9397-08002B2CF9AE}" pid="6" name="ICV">
    <vt:lpwstr>C10A1986277E4B9B806CF420FA8529D4</vt:lpwstr>
  </property>
  <property fmtid="{D5CDD505-2E9C-101B-9397-08002B2CF9AE}" pid="7" name="KSOTemplateDocerSaveRecord">
    <vt:lpwstr>eyJoZGlkIjoiOGE1MGYxZGUzMTA1NzA1MDQ2YmRiYjJkODMxODI4YWEiLCJ1c2VySWQiOiIxNzIxODYxMzIyIn0=</vt:lpwstr>
  </property>
</Properties>
</file>