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9746F">
      <w:pPr>
        <w:spacing w:line="600" w:lineRule="exact"/>
        <w:rPr>
          <w:rFonts w:hint="default" w:ascii="Times New Roman" w:hAnsi="Times New Roman" w:eastAsia="方正黑体简体" w:cs="Times New Roman"/>
          <w:color w:val="000000"/>
          <w:sz w:val="36"/>
          <w:szCs w:val="36"/>
        </w:rPr>
      </w:pPr>
      <w:r>
        <w:rPr>
          <w:rFonts w:hint="default" w:ascii="Times New Roman" w:hAnsi="Times New Roman" w:eastAsia="方正黑体简体" w:cs="Times New Roman"/>
          <w:color w:val="000000"/>
          <w:sz w:val="32"/>
          <w:szCs w:val="32"/>
        </w:rPr>
        <w:t>附件1</w:t>
      </w:r>
    </w:p>
    <w:p w14:paraId="22A96C14">
      <w:pPr>
        <w:spacing w:line="600" w:lineRule="exact"/>
        <w:jc w:val="center"/>
        <w:rPr>
          <w:rFonts w:hint="default" w:ascii="Times New Roman" w:hAnsi="Times New Roman" w:eastAsia="方正小标宋简体" w:cs="Times New Roman"/>
          <w:color w:val="000000"/>
          <w:sz w:val="40"/>
          <w:szCs w:val="40"/>
        </w:rPr>
      </w:pPr>
      <w:r>
        <w:rPr>
          <w:rFonts w:hint="default" w:ascii="Times New Roman" w:hAnsi="Times New Roman" w:eastAsia="方正小标宋简体" w:cs="Times New Roman"/>
          <w:color w:val="000000"/>
          <w:sz w:val="40"/>
          <w:szCs w:val="40"/>
        </w:rPr>
        <w:t>202</w:t>
      </w:r>
      <w:r>
        <w:rPr>
          <w:rFonts w:hint="eastAsia" w:ascii="Times New Roman" w:hAnsi="Times New Roman" w:eastAsia="方正小标宋简体" w:cs="Times New Roman"/>
          <w:color w:val="000000"/>
          <w:sz w:val="40"/>
          <w:szCs w:val="40"/>
          <w:lang w:val="en-US" w:eastAsia="zh-CN"/>
        </w:rPr>
        <w:t>6</w:t>
      </w:r>
      <w:r>
        <w:rPr>
          <w:rFonts w:hint="default" w:ascii="Times New Roman" w:hAnsi="Times New Roman" w:eastAsia="方正小标宋简体" w:cs="Times New Roman"/>
          <w:color w:val="000000"/>
          <w:sz w:val="40"/>
          <w:szCs w:val="40"/>
        </w:rPr>
        <w:t>年湖南省</w:t>
      </w:r>
      <w:r>
        <w:rPr>
          <w:rFonts w:hint="default" w:ascii="Times New Roman" w:hAnsi="Times New Roman" w:eastAsia="方正小标宋简体" w:cs="Times New Roman"/>
          <w:color w:val="000000"/>
          <w:sz w:val="40"/>
          <w:szCs w:val="40"/>
          <w:lang w:eastAsia="zh-CN"/>
        </w:rPr>
        <w:t>先进制造业高地</w:t>
      </w:r>
      <w:r>
        <w:rPr>
          <w:rFonts w:hint="eastAsia" w:ascii="Times New Roman" w:hAnsi="Times New Roman" w:eastAsia="方正小标宋简体" w:cs="Times New Roman"/>
          <w:color w:val="000000"/>
          <w:sz w:val="40"/>
          <w:szCs w:val="40"/>
          <w:lang w:eastAsia="zh-CN"/>
        </w:rPr>
        <w:t>建设</w:t>
      </w:r>
      <w:r>
        <w:rPr>
          <w:rFonts w:hint="default" w:ascii="Times New Roman" w:hAnsi="Times New Roman" w:eastAsia="方正小标宋简体" w:cs="Times New Roman"/>
          <w:color w:val="000000"/>
          <w:spacing w:val="0"/>
          <w:sz w:val="40"/>
          <w:szCs w:val="40"/>
          <w:lang w:val="en-US" w:eastAsia="zh-CN"/>
        </w:rPr>
        <w:t>和中小企业发展专项</w:t>
      </w:r>
      <w:r>
        <w:rPr>
          <w:rFonts w:hint="default" w:ascii="Times New Roman" w:hAnsi="Times New Roman" w:eastAsia="方正小标宋简体" w:cs="Times New Roman"/>
          <w:color w:val="000000"/>
          <w:sz w:val="40"/>
          <w:szCs w:val="40"/>
        </w:rPr>
        <w:t>申报指南</w:t>
      </w:r>
    </w:p>
    <w:tbl>
      <w:tblPr>
        <w:tblStyle w:val="4"/>
        <w:tblW w:w="15677" w:type="dxa"/>
        <w:jc w:val="center"/>
        <w:tblLayout w:type="fixed"/>
        <w:tblCellMar>
          <w:top w:w="0" w:type="dxa"/>
          <w:left w:w="108" w:type="dxa"/>
          <w:bottom w:w="0" w:type="dxa"/>
          <w:right w:w="108" w:type="dxa"/>
        </w:tblCellMar>
      </w:tblPr>
      <w:tblGrid>
        <w:gridCol w:w="1215"/>
        <w:gridCol w:w="4836"/>
        <w:gridCol w:w="7052"/>
        <w:gridCol w:w="806"/>
        <w:gridCol w:w="1768"/>
      </w:tblGrid>
      <w:tr w14:paraId="0169372F">
        <w:tblPrEx>
          <w:tblCellMar>
            <w:top w:w="0" w:type="dxa"/>
            <w:left w:w="108" w:type="dxa"/>
            <w:bottom w:w="0" w:type="dxa"/>
            <w:right w:w="108" w:type="dxa"/>
          </w:tblCellMar>
        </w:tblPrEx>
        <w:trPr>
          <w:trHeight w:val="425" w:hRule="atLeast"/>
          <w:tblHeader/>
          <w:jc w:val="center"/>
        </w:trPr>
        <w:tc>
          <w:tcPr>
            <w:tcW w:w="1215" w:type="dxa"/>
            <w:tcBorders>
              <w:top w:val="single" w:color="auto" w:sz="4" w:space="0"/>
              <w:left w:val="single" w:color="auto" w:sz="4" w:space="0"/>
              <w:bottom w:val="single" w:color="auto" w:sz="4" w:space="0"/>
              <w:right w:val="single" w:color="auto" w:sz="4" w:space="0"/>
            </w:tcBorders>
            <w:noWrap w:val="0"/>
            <w:vAlign w:val="center"/>
          </w:tcPr>
          <w:p w14:paraId="40435365">
            <w:pPr>
              <w:keepNext w:val="0"/>
              <w:keepLines w:val="0"/>
              <w:pageBreakBefore w:val="0"/>
              <w:widowControl/>
              <w:kinsoku/>
              <w:wordWrap/>
              <w:overflowPunct/>
              <w:topLinePunct w:val="0"/>
              <w:autoSpaceDE/>
              <w:autoSpaceDN/>
              <w:bidi w:val="0"/>
              <w:adjustRightInd/>
              <w:spacing w:line="32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支持事项</w:t>
            </w:r>
          </w:p>
        </w:tc>
        <w:tc>
          <w:tcPr>
            <w:tcW w:w="4836" w:type="dxa"/>
            <w:tcBorders>
              <w:top w:val="single" w:color="auto" w:sz="4" w:space="0"/>
              <w:left w:val="nil"/>
              <w:bottom w:val="single" w:color="auto" w:sz="4" w:space="0"/>
              <w:right w:val="single" w:color="auto" w:sz="4" w:space="0"/>
            </w:tcBorders>
            <w:noWrap w:val="0"/>
            <w:vAlign w:val="center"/>
          </w:tcPr>
          <w:p w14:paraId="5CDF8C3D">
            <w:pPr>
              <w:keepNext w:val="0"/>
              <w:keepLines w:val="0"/>
              <w:pageBreakBefore w:val="0"/>
              <w:widowControl/>
              <w:kinsoku/>
              <w:wordWrap/>
              <w:overflowPunct/>
              <w:topLinePunct w:val="0"/>
              <w:autoSpaceDE/>
              <w:autoSpaceDN/>
              <w:bidi w:val="0"/>
              <w:adjustRightInd/>
              <w:spacing w:line="320" w:lineRule="exact"/>
              <w:jc w:val="center"/>
              <w:rPr>
                <w:rFonts w:hint="default" w:ascii="Times New Roman" w:hAnsi="Times New Roman" w:eastAsia="方正黑体简体" w:cs="Times New Roman"/>
                <w:color w:val="000000"/>
                <w:kern w:val="0"/>
                <w:sz w:val="24"/>
                <w:szCs w:val="24"/>
              </w:rPr>
            </w:pPr>
            <w:r>
              <w:rPr>
                <w:rFonts w:hint="default" w:ascii="Times New Roman" w:hAnsi="Times New Roman" w:eastAsia="方正黑体简体" w:cs="Times New Roman"/>
                <w:color w:val="000000"/>
                <w:kern w:val="0"/>
                <w:sz w:val="24"/>
                <w:szCs w:val="24"/>
              </w:rPr>
              <w:t>具体方向</w:t>
            </w:r>
          </w:p>
        </w:tc>
        <w:tc>
          <w:tcPr>
            <w:tcW w:w="7052" w:type="dxa"/>
            <w:tcBorders>
              <w:top w:val="single" w:color="auto" w:sz="4" w:space="0"/>
              <w:left w:val="nil"/>
              <w:bottom w:val="single" w:color="auto" w:sz="4" w:space="0"/>
              <w:right w:val="single" w:color="auto" w:sz="4" w:space="0"/>
            </w:tcBorders>
            <w:noWrap w:val="0"/>
            <w:vAlign w:val="center"/>
          </w:tcPr>
          <w:p w14:paraId="5FEBD556">
            <w:pPr>
              <w:keepNext w:val="0"/>
              <w:keepLines w:val="0"/>
              <w:pageBreakBefore w:val="0"/>
              <w:widowControl/>
              <w:kinsoku/>
              <w:wordWrap/>
              <w:overflowPunct/>
              <w:topLinePunct w:val="0"/>
              <w:autoSpaceDE/>
              <w:autoSpaceDN/>
              <w:bidi w:val="0"/>
              <w:adjustRightInd/>
              <w:spacing w:line="320" w:lineRule="exact"/>
              <w:jc w:val="center"/>
              <w:rPr>
                <w:rFonts w:hint="default" w:ascii="Times New Roman" w:hAnsi="Times New Roman" w:eastAsia="方正黑体简体" w:cs="Times New Roman"/>
                <w:color w:val="000000"/>
                <w:kern w:val="0"/>
                <w:sz w:val="24"/>
                <w:szCs w:val="24"/>
              </w:rPr>
            </w:pPr>
            <w:r>
              <w:rPr>
                <w:rFonts w:hint="default" w:ascii="Times New Roman" w:hAnsi="Times New Roman" w:eastAsia="方正黑体简体" w:cs="Times New Roman"/>
                <w:color w:val="000000"/>
                <w:kern w:val="0"/>
                <w:sz w:val="24"/>
                <w:szCs w:val="24"/>
              </w:rPr>
              <w:t>申报条件</w:t>
            </w:r>
          </w:p>
        </w:tc>
        <w:tc>
          <w:tcPr>
            <w:tcW w:w="806" w:type="dxa"/>
            <w:tcBorders>
              <w:top w:val="single" w:color="auto" w:sz="4" w:space="0"/>
              <w:left w:val="nil"/>
              <w:bottom w:val="single" w:color="auto" w:sz="4" w:space="0"/>
              <w:right w:val="single" w:color="auto" w:sz="4" w:space="0"/>
            </w:tcBorders>
            <w:noWrap w:val="0"/>
            <w:vAlign w:val="center"/>
          </w:tcPr>
          <w:p w14:paraId="14B165AD">
            <w:pPr>
              <w:keepNext w:val="0"/>
              <w:keepLines w:val="0"/>
              <w:pageBreakBefore w:val="0"/>
              <w:widowControl/>
              <w:kinsoku/>
              <w:wordWrap/>
              <w:overflowPunct/>
              <w:topLinePunct w:val="0"/>
              <w:autoSpaceDE/>
              <w:autoSpaceDN/>
              <w:bidi w:val="0"/>
              <w:adjustRightInd/>
              <w:spacing w:line="320" w:lineRule="exact"/>
              <w:jc w:val="center"/>
              <w:rPr>
                <w:rFonts w:hint="default" w:ascii="Times New Roman" w:hAnsi="Times New Roman" w:eastAsia="方正仿宋简体" w:cs="Times New Roman"/>
                <w:color w:val="000000"/>
                <w:kern w:val="0"/>
                <w:sz w:val="24"/>
                <w:szCs w:val="24"/>
              </w:rPr>
            </w:pPr>
            <w:r>
              <w:rPr>
                <w:rFonts w:hint="default" w:ascii="Times New Roman" w:hAnsi="Times New Roman" w:eastAsia="方正黑体简体" w:cs="Times New Roman"/>
                <w:color w:val="000000"/>
                <w:kern w:val="0"/>
                <w:sz w:val="24"/>
                <w:szCs w:val="24"/>
              </w:rPr>
              <w:t>支持方式</w:t>
            </w:r>
          </w:p>
        </w:tc>
        <w:tc>
          <w:tcPr>
            <w:tcW w:w="1768" w:type="dxa"/>
            <w:tcBorders>
              <w:top w:val="single" w:color="auto" w:sz="4" w:space="0"/>
              <w:left w:val="nil"/>
              <w:bottom w:val="single" w:color="auto" w:sz="4" w:space="0"/>
              <w:right w:val="single" w:color="auto" w:sz="4" w:space="0"/>
            </w:tcBorders>
            <w:noWrap w:val="0"/>
            <w:vAlign w:val="center"/>
          </w:tcPr>
          <w:p w14:paraId="0062FC3F">
            <w:pPr>
              <w:keepNext w:val="0"/>
              <w:keepLines w:val="0"/>
              <w:pageBreakBefore w:val="0"/>
              <w:widowControl/>
              <w:kinsoku/>
              <w:wordWrap/>
              <w:overflowPunct/>
              <w:topLinePunct w:val="0"/>
              <w:autoSpaceDE/>
              <w:autoSpaceDN/>
              <w:bidi w:val="0"/>
              <w:adjustRightInd/>
              <w:spacing w:line="320" w:lineRule="exact"/>
              <w:jc w:val="center"/>
              <w:rPr>
                <w:rFonts w:hint="default" w:ascii="Times New Roman" w:hAnsi="Times New Roman" w:eastAsia="方正黑体简体" w:cs="Times New Roman"/>
                <w:color w:val="000000"/>
                <w:kern w:val="0"/>
                <w:sz w:val="24"/>
                <w:szCs w:val="24"/>
              </w:rPr>
            </w:pPr>
            <w:r>
              <w:rPr>
                <w:rFonts w:hint="default" w:ascii="Times New Roman" w:hAnsi="Times New Roman" w:eastAsia="方正黑体简体" w:cs="Times New Roman"/>
                <w:color w:val="000000"/>
                <w:kern w:val="0"/>
                <w:sz w:val="24"/>
                <w:szCs w:val="24"/>
              </w:rPr>
              <w:t>联系人</w:t>
            </w:r>
          </w:p>
        </w:tc>
      </w:tr>
      <w:tr w14:paraId="05C224A8">
        <w:tblPrEx>
          <w:tblCellMar>
            <w:top w:w="0" w:type="dxa"/>
            <w:left w:w="108" w:type="dxa"/>
            <w:bottom w:w="0" w:type="dxa"/>
            <w:right w:w="108" w:type="dxa"/>
          </w:tblCellMar>
        </w:tblPrEx>
        <w:trPr>
          <w:trHeight w:val="7235" w:hRule="atLeast"/>
          <w:jc w:val="center"/>
        </w:trPr>
        <w:tc>
          <w:tcPr>
            <w:tcW w:w="1215" w:type="dxa"/>
            <w:tcBorders>
              <w:top w:val="single" w:color="auto" w:sz="4" w:space="0"/>
              <w:left w:val="single" w:color="auto" w:sz="4" w:space="0"/>
              <w:bottom w:val="single" w:color="auto" w:sz="4" w:space="0"/>
              <w:right w:val="single" w:color="auto" w:sz="4" w:space="0"/>
            </w:tcBorders>
            <w:noWrap w:val="0"/>
            <w:vAlign w:val="center"/>
          </w:tcPr>
          <w:p w14:paraId="3A4A7F43">
            <w:pPr>
              <w:keepNext w:val="0"/>
              <w:keepLines w:val="0"/>
              <w:pageBreakBefore w:val="0"/>
              <w:widowControl/>
              <w:numPr>
                <w:ilvl w:val="0"/>
                <w:numId w:val="0"/>
              </w:numPr>
              <w:kinsoku/>
              <w:wordWrap/>
              <w:overflowPunct/>
              <w:topLinePunct w:val="0"/>
              <w:autoSpaceDE/>
              <w:autoSpaceDN/>
              <w:bidi w:val="0"/>
              <w:adjustRightInd/>
              <w:spacing w:line="320" w:lineRule="exact"/>
              <w:jc w:val="left"/>
              <w:rPr>
                <w:rFonts w:hint="default" w:ascii="Times New Roman" w:hAnsi="Times New Roman" w:eastAsia="黑体" w:cs="Times New Roman"/>
                <w:color w:val="000000"/>
                <w:sz w:val="21"/>
                <w:szCs w:val="21"/>
              </w:rPr>
            </w:pPr>
            <w:r>
              <w:rPr>
                <w:rFonts w:hint="eastAsia" w:ascii="Times New Roman" w:hAnsi="Times New Roman" w:eastAsia="黑体" w:cs="Times New Roman"/>
                <w:color w:val="000000"/>
                <w:kern w:val="0"/>
                <w:sz w:val="24"/>
                <w:szCs w:val="24"/>
                <w:lang w:eastAsia="zh-CN"/>
              </w:rPr>
              <w:t>一、</w:t>
            </w:r>
            <w:r>
              <w:rPr>
                <w:rFonts w:hint="default" w:ascii="Times New Roman" w:hAnsi="Times New Roman" w:eastAsia="黑体" w:cs="Times New Roman"/>
                <w:color w:val="000000"/>
                <w:kern w:val="0"/>
                <w:sz w:val="24"/>
                <w:szCs w:val="24"/>
              </w:rPr>
              <w:t>重点产业项目</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2C3EF037">
            <w:pPr>
              <w:keepNext w:val="0"/>
              <w:keepLines w:val="0"/>
              <w:pageBreakBefore w:val="0"/>
              <w:kinsoku/>
              <w:wordWrap/>
              <w:overflowPunct/>
              <w:topLinePunct w:val="0"/>
              <w:autoSpaceDE/>
              <w:autoSpaceDN/>
              <w:bidi w:val="0"/>
              <w:adjustRightInd/>
              <w:spacing w:line="320" w:lineRule="exact"/>
              <w:ind w:firstLine="0" w:firstLineChars="0"/>
              <w:rPr>
                <w:rFonts w:hint="default" w:ascii="Times New Roman" w:hAnsi="Times New Roman" w:eastAsia="仿宋_GB2312" w:cs="Times New Roman"/>
                <w:color w:val="000000"/>
                <w:sz w:val="20"/>
                <w:szCs w:val="22"/>
                <w:lang w:val="en-US" w:eastAsia="zh-CN"/>
              </w:rPr>
            </w:pPr>
            <w:r>
              <w:rPr>
                <w:rFonts w:hint="default" w:ascii="Times New Roman" w:hAnsi="Times New Roman" w:eastAsia="仿宋_GB2312" w:cs="Times New Roman"/>
                <w:color w:val="000000"/>
                <w:sz w:val="24"/>
                <w:szCs w:val="24"/>
                <w:lang w:val="en-US" w:eastAsia="zh-CN"/>
              </w:rPr>
              <w:t>详见《2026年省先进制造业高地建设和中小企业发展专项重点产业项目申报指导目录》，本年度支持项目不超过400个。</w:t>
            </w:r>
          </w:p>
        </w:tc>
        <w:tc>
          <w:tcPr>
            <w:tcW w:w="7052" w:type="dxa"/>
            <w:tcBorders>
              <w:top w:val="single" w:color="auto" w:sz="4" w:space="0"/>
              <w:left w:val="single" w:color="auto" w:sz="4" w:space="0"/>
              <w:bottom w:val="single" w:color="auto" w:sz="4" w:space="0"/>
              <w:right w:val="single" w:color="auto" w:sz="4" w:space="0"/>
            </w:tcBorders>
            <w:noWrap w:val="0"/>
            <w:vAlign w:val="center"/>
          </w:tcPr>
          <w:p w14:paraId="23EEBDE9">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1.申报项目应为在建项目，或者2026年1月1日以后完工的项目。</w:t>
            </w:r>
          </w:p>
          <w:p w14:paraId="77ACB175">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2.项目实施条件完善。</w:t>
            </w:r>
          </w:p>
          <w:p w14:paraId="592A3E1E">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①项目设备投资额占项目总投资比例不低于40%</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lang w:val="en-US" w:eastAsia="zh-CN"/>
              </w:rPr>
              <w:t>提供</w:t>
            </w:r>
            <w:r>
              <w:rPr>
                <w:rFonts w:hint="default" w:ascii="Times New Roman" w:hAnsi="Times New Roman" w:eastAsia="仿宋_GB2312" w:cs="Times New Roman"/>
                <w:color w:val="000000"/>
                <w:sz w:val="24"/>
                <w:szCs w:val="24"/>
                <w:lang w:eastAsia="zh-CN"/>
              </w:rPr>
              <w:t>项目建设计划投资明细表）</w:t>
            </w:r>
            <w:r>
              <w:rPr>
                <w:rFonts w:hint="default" w:ascii="Times New Roman" w:hAnsi="Times New Roman" w:eastAsia="仿宋_GB2312" w:cs="Times New Roman"/>
                <w:color w:val="000000"/>
                <w:sz w:val="24"/>
                <w:szCs w:val="24"/>
                <w:lang w:val="en-US" w:eastAsia="zh-CN"/>
              </w:rPr>
              <w:t>。</w:t>
            </w:r>
          </w:p>
          <w:p w14:paraId="19E10CE5">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②项目已完成设备投资占项目设备总投资比例不低于40%</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lang w:val="en-US" w:eastAsia="zh-CN"/>
              </w:rPr>
              <w:t>提供</w:t>
            </w:r>
            <w:r>
              <w:rPr>
                <w:rFonts w:hint="default" w:ascii="Times New Roman" w:hAnsi="Times New Roman" w:eastAsia="仿宋_GB2312" w:cs="Times New Roman"/>
                <w:color w:val="000000"/>
                <w:sz w:val="24"/>
                <w:szCs w:val="24"/>
              </w:rPr>
              <w:t>设备</w:t>
            </w:r>
            <w:r>
              <w:rPr>
                <w:rFonts w:hint="default" w:ascii="Times New Roman" w:hAnsi="Times New Roman" w:eastAsia="仿宋_GB2312" w:cs="Times New Roman"/>
                <w:color w:val="000000"/>
                <w:sz w:val="24"/>
                <w:szCs w:val="24"/>
                <w:lang w:val="en-US" w:eastAsia="zh-CN"/>
              </w:rPr>
              <w:t>投资列表及相对应的发票、银行付款凭证和合同，</w:t>
            </w:r>
            <w:r>
              <w:rPr>
                <w:rFonts w:hint="default" w:ascii="Times New Roman" w:hAnsi="Times New Roman" w:eastAsia="仿宋_GB2312" w:cs="Times New Roman"/>
                <w:color w:val="000000"/>
                <w:sz w:val="24"/>
                <w:szCs w:val="24"/>
                <w:lang w:val="en-US" w:eastAsia="zh-Hans"/>
              </w:rPr>
              <w:t>购置设备</w:t>
            </w:r>
            <w:r>
              <w:rPr>
                <w:rFonts w:hint="default" w:ascii="Times New Roman" w:hAnsi="Times New Roman" w:eastAsia="仿宋_GB2312" w:cs="Times New Roman"/>
                <w:color w:val="000000"/>
                <w:sz w:val="24"/>
                <w:szCs w:val="24"/>
                <w:lang w:val="en-US" w:eastAsia="zh-CN"/>
              </w:rPr>
              <w:t>付款时间应在</w:t>
            </w:r>
            <w:r>
              <w:rPr>
                <w:rFonts w:hint="default" w:ascii="Times New Roman" w:hAnsi="Times New Roman" w:eastAsia="仿宋_GB2312" w:cs="Times New Roman"/>
                <w:color w:val="000000"/>
                <w:sz w:val="24"/>
                <w:szCs w:val="24"/>
                <w:lang w:eastAsia="zh-Hans"/>
              </w:rPr>
              <w:t>202</w:t>
            </w:r>
            <w:r>
              <w:rPr>
                <w:rFonts w:hint="default" w:ascii="Times New Roman" w:hAnsi="Times New Roman" w:eastAsia="仿宋_GB2312" w:cs="Times New Roman"/>
                <w:color w:val="000000"/>
                <w:sz w:val="24"/>
                <w:szCs w:val="24"/>
                <w:lang w:val="en-US" w:eastAsia="zh-CN"/>
              </w:rPr>
              <w:t>4</w:t>
            </w:r>
            <w:r>
              <w:rPr>
                <w:rFonts w:hint="default" w:ascii="Times New Roman" w:hAnsi="Times New Roman" w:eastAsia="仿宋_GB2312" w:cs="Times New Roman"/>
                <w:color w:val="000000"/>
                <w:sz w:val="24"/>
                <w:szCs w:val="24"/>
                <w:lang w:val="en-US" w:eastAsia="zh-Hans"/>
              </w:rPr>
              <w:t>年</w:t>
            </w:r>
            <w:r>
              <w:rPr>
                <w:rFonts w:hint="default" w:ascii="Times New Roman" w:hAnsi="Times New Roman" w:eastAsia="仿宋_GB2312" w:cs="Times New Roman"/>
                <w:color w:val="000000"/>
                <w:sz w:val="24"/>
                <w:szCs w:val="24"/>
                <w:lang w:eastAsia="zh-Hans"/>
              </w:rPr>
              <w:t>1</w:t>
            </w:r>
            <w:r>
              <w:rPr>
                <w:rFonts w:hint="default" w:ascii="Times New Roman" w:hAnsi="Times New Roman" w:eastAsia="仿宋_GB2312" w:cs="Times New Roman"/>
                <w:color w:val="000000"/>
                <w:sz w:val="24"/>
                <w:szCs w:val="24"/>
                <w:lang w:val="en-US" w:eastAsia="zh-Hans"/>
              </w:rPr>
              <w:t>月</w:t>
            </w:r>
            <w:r>
              <w:rPr>
                <w:rFonts w:hint="default" w:ascii="Times New Roman" w:hAnsi="Times New Roman" w:eastAsia="仿宋_GB2312" w:cs="Times New Roman"/>
                <w:color w:val="000000"/>
                <w:sz w:val="24"/>
                <w:szCs w:val="24"/>
                <w:lang w:eastAsia="zh-Hans"/>
              </w:rPr>
              <w:t>1</w:t>
            </w:r>
            <w:r>
              <w:rPr>
                <w:rFonts w:hint="default" w:ascii="Times New Roman" w:hAnsi="Times New Roman" w:eastAsia="仿宋_GB2312" w:cs="Times New Roman"/>
                <w:color w:val="000000"/>
                <w:sz w:val="24"/>
                <w:szCs w:val="24"/>
                <w:lang w:val="en-US" w:eastAsia="zh-Hans"/>
              </w:rPr>
              <w:t>日</w:t>
            </w:r>
            <w:r>
              <w:rPr>
                <w:rFonts w:hint="default" w:ascii="Times New Roman" w:hAnsi="Times New Roman" w:eastAsia="仿宋_GB2312" w:cs="Times New Roman"/>
                <w:color w:val="000000"/>
                <w:sz w:val="24"/>
                <w:szCs w:val="24"/>
                <w:lang w:val="en-US" w:eastAsia="zh-CN"/>
              </w:rPr>
              <w:t>之后</w:t>
            </w:r>
            <w:r>
              <w:rPr>
                <w:rFonts w:hint="default" w:ascii="Times New Roman" w:hAnsi="Times New Roman" w:eastAsia="仿宋_GB2312" w:cs="Times New Roman"/>
                <w:color w:val="000000"/>
                <w:sz w:val="24"/>
                <w:szCs w:val="24"/>
                <w:lang w:eastAsia="zh-CN"/>
              </w:rPr>
              <w:t>）。</w:t>
            </w:r>
          </w:p>
          <w:p w14:paraId="138A678C">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③申报单位财务状况良好，具备健全的财务管理制度，项目资金来源合法合规，自有资金、已到位的银行贷款、银行授信或融资承诺资金总和大于或等于项目总投资，资金筹措方案可行，无重大资金风险。其中，除银行发放的贷款外，项目实施主体须具备一定额度的自有资金，湘西州、张家界市、怀化市和乡村振兴重点帮扶县项目实施主体自有资金不低于500万元，其余地区不低于1000万元（以项目储备通知发出至正式申报通知截止期间任意时间节点企业账户余额为准，需由银行出具佐证资料并加盖银行公章）。</w:t>
            </w:r>
          </w:p>
          <w:p w14:paraId="062EE95E">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szCs w:val="24"/>
                <w:highlight w:val="none"/>
                <w:lang w:val="en-US" w:eastAsia="zh-CN"/>
              </w:rPr>
              <w:t>3.</w:t>
            </w:r>
            <w:r>
              <w:rPr>
                <w:rFonts w:hint="default" w:ascii="Times New Roman" w:hAnsi="Times New Roman" w:eastAsia="仿宋_GB2312" w:cs="Times New Roman"/>
                <w:color w:val="000000"/>
                <w:sz w:val="24"/>
                <w:highlight w:val="none"/>
              </w:rPr>
              <w:t>项目聚焦</w:t>
            </w:r>
            <w:r>
              <w:rPr>
                <w:rFonts w:hint="default" w:ascii="Times New Roman" w:hAnsi="Times New Roman" w:eastAsia="仿宋_GB2312" w:cs="Times New Roman"/>
                <w:color w:val="000000"/>
                <w:sz w:val="24"/>
                <w:highlight w:val="none"/>
                <w:lang w:val="en-US" w:eastAsia="zh-CN"/>
              </w:rPr>
              <w:t>12条重点</w:t>
            </w:r>
            <w:r>
              <w:rPr>
                <w:rFonts w:hint="default" w:ascii="Times New Roman" w:hAnsi="Times New Roman" w:eastAsia="仿宋_GB2312" w:cs="Times New Roman"/>
                <w:color w:val="000000"/>
                <w:sz w:val="24"/>
                <w:highlight w:val="none"/>
              </w:rPr>
              <w:t>产业链补短板、强弱项、填空白，主攻关键核心技术国产化替代，拥有自主知识产权，依托发明专利、实用新型专利等自主科技成果作为支撑。 </w:t>
            </w:r>
          </w:p>
          <w:p w14:paraId="4A263216">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highlight w:val="none"/>
                <w:lang w:val="en-US" w:eastAsia="zh-CN"/>
              </w:rPr>
              <w:t>4.</w:t>
            </w:r>
            <w:r>
              <w:rPr>
                <w:rFonts w:hint="default" w:ascii="Times New Roman" w:hAnsi="Times New Roman" w:eastAsia="仿宋_GB2312" w:cs="Times New Roman"/>
                <w:color w:val="000000"/>
                <w:sz w:val="24"/>
                <w:szCs w:val="24"/>
                <w:lang w:val="en-US" w:eastAsia="zh-CN"/>
              </w:rPr>
              <w:t>项目申请报告中的《申报材料真实性承诺》《项目建设投资计划明细表》均需法定代表人签字或盖章，并加盖项目单位公章。由委托授权人签名的，应提供企业法人代表出具的相关授权文书。</w:t>
            </w:r>
          </w:p>
          <w:p w14:paraId="224BFF5C">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仿宋_GB2312" w:cs="Times New Roman"/>
                <w:color w:val="000000"/>
                <w:sz w:val="20"/>
                <w:szCs w:val="22"/>
                <w:lang w:val="en-US" w:eastAsia="zh-CN"/>
              </w:rPr>
            </w:pPr>
            <w:r>
              <w:rPr>
                <w:rFonts w:hint="default" w:ascii="Times New Roman" w:hAnsi="Times New Roman" w:eastAsia="仿宋_GB2312" w:cs="Times New Roman"/>
                <w:color w:val="000000"/>
                <w:sz w:val="24"/>
                <w:szCs w:val="24"/>
                <w:lang w:val="en-US" w:eastAsia="zh-CN"/>
              </w:rPr>
              <w:t>5.2026年省政府十大产业项目不受具体方向、申报条件的限制。</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1D63D03B">
            <w:pPr>
              <w:keepNext w:val="0"/>
              <w:keepLines w:val="0"/>
              <w:pageBreakBefore w:val="0"/>
              <w:widowControl/>
              <w:kinsoku/>
              <w:wordWrap/>
              <w:overflowPunct/>
              <w:topLinePunct w:val="0"/>
              <w:autoSpaceDE/>
              <w:autoSpaceDN/>
              <w:bidi w:val="0"/>
              <w:adjustRightInd/>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无偿</w:t>
            </w:r>
          </w:p>
          <w:p w14:paraId="56E9E75F">
            <w:pPr>
              <w:keepNext w:val="0"/>
              <w:keepLines w:val="0"/>
              <w:pageBreakBefore w:val="0"/>
              <w:widowControl/>
              <w:kinsoku/>
              <w:wordWrap/>
              <w:overflowPunct/>
              <w:topLinePunct w:val="0"/>
              <w:autoSpaceDE/>
              <w:autoSpaceDN/>
              <w:bidi w:val="0"/>
              <w:adjustRightInd/>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补助</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511AF4B1">
            <w:pPr>
              <w:keepNext w:val="0"/>
              <w:keepLines w:val="0"/>
              <w:pageBreakBefore w:val="0"/>
              <w:kinsoku/>
              <w:wordWrap/>
              <w:overflowPunct/>
              <w:topLinePunct w:val="0"/>
              <w:autoSpaceDE/>
              <w:autoSpaceDN/>
              <w:bidi w:val="0"/>
              <w:adjustRightInd/>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投资规划处</w:t>
            </w:r>
          </w:p>
          <w:p w14:paraId="0936C8B5">
            <w:pPr>
              <w:keepNext w:val="0"/>
              <w:keepLines w:val="0"/>
              <w:pageBreakBefore w:val="0"/>
              <w:kinsoku/>
              <w:wordWrap/>
              <w:overflowPunct/>
              <w:topLinePunct w:val="0"/>
              <w:autoSpaceDE/>
              <w:autoSpaceDN/>
              <w:bidi w:val="0"/>
              <w:adjustRightInd/>
              <w:spacing w:line="320" w:lineRule="exact"/>
              <w:jc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eastAsia="zh-CN"/>
              </w:rPr>
              <w:t>皮忱玄</w:t>
            </w:r>
            <w:r>
              <w:rPr>
                <w:rFonts w:hint="default" w:ascii="Times New Roman" w:hAnsi="Times New Roman" w:eastAsia="仿宋_GB2312" w:cs="Times New Roman"/>
                <w:color w:val="000000"/>
                <w:sz w:val="24"/>
                <w:szCs w:val="24"/>
              </w:rPr>
              <w:t>0731-88955</w:t>
            </w:r>
            <w:r>
              <w:rPr>
                <w:rFonts w:hint="default" w:ascii="Times New Roman" w:hAnsi="Times New Roman" w:eastAsia="仿宋_GB2312" w:cs="Times New Roman"/>
                <w:color w:val="000000"/>
                <w:sz w:val="24"/>
                <w:szCs w:val="24"/>
                <w:lang w:val="en-US" w:eastAsia="zh-CN"/>
              </w:rPr>
              <w:t>499</w:t>
            </w:r>
          </w:p>
        </w:tc>
      </w:tr>
      <w:tr w14:paraId="53205CFD">
        <w:tblPrEx>
          <w:tblCellMar>
            <w:top w:w="0" w:type="dxa"/>
            <w:left w:w="108" w:type="dxa"/>
            <w:bottom w:w="0" w:type="dxa"/>
            <w:right w:w="108" w:type="dxa"/>
          </w:tblCellMar>
        </w:tblPrEx>
        <w:trPr>
          <w:trHeight w:val="1757" w:hRule="atLeast"/>
          <w:jc w:val="center"/>
        </w:trPr>
        <w:tc>
          <w:tcPr>
            <w:tcW w:w="1215" w:type="dxa"/>
            <w:tcBorders>
              <w:top w:val="single" w:color="auto" w:sz="4" w:space="0"/>
              <w:left w:val="single" w:color="auto" w:sz="4" w:space="0"/>
              <w:bottom w:val="single" w:color="auto" w:sz="4" w:space="0"/>
              <w:right w:val="single" w:color="auto" w:sz="4" w:space="0"/>
            </w:tcBorders>
            <w:noWrap w:val="0"/>
            <w:vAlign w:val="center"/>
          </w:tcPr>
          <w:p w14:paraId="52DD4C38">
            <w:pPr>
              <w:keepNext w:val="0"/>
              <w:keepLines w:val="0"/>
              <w:pageBreakBefore w:val="0"/>
              <w:widowControl/>
              <w:numPr>
                <w:ilvl w:val="0"/>
                <w:numId w:val="0"/>
              </w:numPr>
              <w:kinsoku/>
              <w:wordWrap/>
              <w:overflowPunct/>
              <w:topLinePunct w:val="0"/>
              <w:autoSpaceDE/>
              <w:autoSpaceDN/>
              <w:bidi w:val="0"/>
              <w:adjustRightInd/>
              <w:spacing w:line="320" w:lineRule="exact"/>
              <w:ind w:left="0" w:leftChars="0" w:firstLine="0" w:firstLineChars="0"/>
              <w:jc w:val="left"/>
              <w:rPr>
                <w:rFonts w:hint="eastAsia" w:ascii="Times New Roman" w:hAnsi="Times New Roman" w:eastAsia="黑体" w:cs="Times New Roman"/>
                <w:color w:val="000000"/>
                <w:sz w:val="24"/>
                <w:szCs w:val="24"/>
                <w:lang w:eastAsia="zh-CN"/>
              </w:rPr>
            </w:pPr>
            <w:r>
              <w:rPr>
                <w:rFonts w:hint="default" w:ascii="Times New Roman" w:hAnsi="Times New Roman" w:eastAsia="黑体" w:cs="Times New Roman"/>
                <w:color w:val="000000"/>
                <w:kern w:val="0"/>
                <w:sz w:val="24"/>
                <w:szCs w:val="24"/>
                <w:lang w:eastAsia="zh-CN"/>
              </w:rPr>
              <w:t>二、</w:t>
            </w:r>
            <w:r>
              <w:rPr>
                <w:rFonts w:hint="default" w:ascii="Times New Roman" w:hAnsi="Times New Roman" w:eastAsia="黑体" w:cs="Times New Roman"/>
                <w:color w:val="000000"/>
                <w:kern w:val="0"/>
                <w:sz w:val="24"/>
                <w:szCs w:val="24"/>
              </w:rPr>
              <w:t>中小企业创新发展项目</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14E9759C">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支持中小企业进行数字化、网络化、智能化建设，购置仪器设备，更新改造设施，引进技术及服务，增强研发创新能力，改进产品质量，提高生产技术水平和生产效率，加快专精特新发展。</w:t>
            </w:r>
          </w:p>
        </w:tc>
        <w:tc>
          <w:tcPr>
            <w:tcW w:w="7052" w:type="dxa"/>
            <w:tcBorders>
              <w:top w:val="single" w:color="auto" w:sz="4" w:space="0"/>
              <w:left w:val="single" w:color="auto" w:sz="4" w:space="0"/>
              <w:bottom w:val="single" w:color="auto" w:sz="4" w:space="0"/>
              <w:right w:val="single" w:color="auto" w:sz="4" w:space="0"/>
            </w:tcBorders>
            <w:noWrap w:val="0"/>
            <w:vAlign w:val="center"/>
          </w:tcPr>
          <w:p w14:paraId="47896E4B">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1.重点支持省级专精特新中小企业。</w:t>
            </w:r>
          </w:p>
          <w:p w14:paraId="11CDDDD2">
            <w:r>
              <w:rPr>
                <w:rFonts w:hint="default" w:ascii="Times New Roman" w:hAnsi="Times New Roman" w:eastAsia="仿宋_GB2312" w:cs="Times New Roman"/>
                <w:color w:val="000000"/>
                <w:sz w:val="24"/>
                <w:szCs w:val="24"/>
                <w:lang w:val="en-US" w:eastAsia="zh-CN"/>
              </w:rPr>
              <w:t>2.项目主要建设内容在2025年期间实施，主要投入发生在2025年，经济社会生态效益良好。</w:t>
            </w:r>
          </w:p>
          <w:p w14:paraId="396660CC">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000000"/>
                <w:sz w:val="24"/>
                <w:szCs w:val="24"/>
                <w:lang w:val="en-US" w:eastAsia="zh-CN"/>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55C712C9">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无偿</w:t>
            </w:r>
          </w:p>
          <w:p w14:paraId="2DB5E4ED">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val="en-US" w:eastAsia="zh-CN"/>
              </w:rPr>
              <w:t>补助</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2FA14F2F">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中小发展处</w:t>
            </w:r>
          </w:p>
          <w:p w14:paraId="33B6A890">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李季</w:t>
            </w:r>
          </w:p>
          <w:p w14:paraId="50CCD8A5">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0731-88955420</w:t>
            </w:r>
          </w:p>
        </w:tc>
      </w:tr>
      <w:tr w14:paraId="28661B64">
        <w:tblPrEx>
          <w:tblCellMar>
            <w:top w:w="0" w:type="dxa"/>
            <w:left w:w="108" w:type="dxa"/>
            <w:bottom w:w="0" w:type="dxa"/>
            <w:right w:w="108" w:type="dxa"/>
          </w:tblCellMar>
        </w:tblPrEx>
        <w:trPr>
          <w:trHeight w:val="2180" w:hRule="atLeast"/>
          <w:jc w:val="center"/>
        </w:trPr>
        <w:tc>
          <w:tcPr>
            <w:tcW w:w="1215" w:type="dxa"/>
            <w:tcBorders>
              <w:top w:val="single" w:color="auto" w:sz="4" w:space="0"/>
              <w:left w:val="single" w:color="auto" w:sz="4" w:space="0"/>
              <w:bottom w:val="single" w:color="auto" w:sz="4" w:space="0"/>
              <w:right w:val="single" w:color="auto" w:sz="4" w:space="0"/>
            </w:tcBorders>
            <w:noWrap w:val="0"/>
            <w:vAlign w:val="center"/>
          </w:tcPr>
          <w:p w14:paraId="141AFAD0">
            <w:pPr>
              <w:keepNext w:val="0"/>
              <w:keepLines w:val="0"/>
              <w:pageBreakBefore w:val="0"/>
              <w:widowControl/>
              <w:numPr>
                <w:ilvl w:val="0"/>
                <w:numId w:val="0"/>
              </w:numPr>
              <w:kinsoku/>
              <w:wordWrap/>
              <w:overflowPunct/>
              <w:topLinePunct w:val="0"/>
              <w:autoSpaceDE/>
              <w:autoSpaceDN/>
              <w:bidi w:val="0"/>
              <w:adjustRightInd/>
              <w:spacing w:line="320" w:lineRule="exact"/>
              <w:ind w:left="0" w:leftChars="0" w:firstLine="0" w:firstLineChars="0"/>
              <w:jc w:val="left"/>
              <w:rPr>
                <w:rFonts w:hint="eastAsia" w:ascii="Times New Roman" w:hAnsi="Times New Roman" w:eastAsia="黑体" w:cs="Times New Roman"/>
                <w:color w:val="000000"/>
                <w:sz w:val="24"/>
                <w:szCs w:val="24"/>
                <w:lang w:eastAsia="zh-CN"/>
              </w:rPr>
            </w:pPr>
            <w:r>
              <w:rPr>
                <w:rFonts w:hint="default" w:ascii="Times New Roman" w:hAnsi="Times New Roman" w:eastAsia="黑体" w:cs="Times New Roman"/>
                <w:color w:val="000000"/>
                <w:kern w:val="0"/>
                <w:sz w:val="24"/>
                <w:szCs w:val="24"/>
                <w:lang w:eastAsia="zh-CN"/>
              </w:rPr>
              <w:t>三、</w:t>
            </w:r>
            <w:r>
              <w:rPr>
                <w:rFonts w:hint="default" w:ascii="Times New Roman" w:hAnsi="Times New Roman" w:eastAsia="黑体" w:cs="Times New Roman"/>
                <w:color w:val="000000"/>
                <w:kern w:val="0"/>
                <w:sz w:val="24"/>
                <w:szCs w:val="24"/>
              </w:rPr>
              <w:t>服务业务补助项目</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533F0DC5">
            <w:pPr>
              <w:keepNext w:val="0"/>
              <w:keepLines w:val="0"/>
              <w:pageBreakBefore w:val="0"/>
              <w:kinsoku/>
              <w:wordWrap/>
              <w:overflowPunct/>
              <w:topLinePunct w:val="0"/>
              <w:autoSpaceDE/>
              <w:autoSpaceDN/>
              <w:bidi w:val="0"/>
              <w:adjustRightInd/>
              <w:spacing w:line="320" w:lineRule="exact"/>
              <w:ind w:firstLine="0" w:firstLineChars="0"/>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w:t>
            </w:r>
            <w:r>
              <w:rPr>
                <w:rFonts w:hint="default" w:ascii="Times New Roman" w:hAnsi="Times New Roman" w:eastAsia="仿宋_GB2312" w:cs="Times New Roman"/>
                <w:color w:val="000000"/>
                <w:sz w:val="24"/>
                <w:szCs w:val="24"/>
                <w:lang w:val="en-US" w:eastAsia="zh-CN"/>
              </w:rPr>
              <w:t>正常运营的中小企业公共服务平台。</w:t>
            </w:r>
          </w:p>
          <w:p w14:paraId="13008B60">
            <w:pPr>
              <w:keepNext w:val="0"/>
              <w:keepLines w:val="0"/>
              <w:pageBreakBefore w:val="0"/>
              <w:kinsoku/>
              <w:wordWrap/>
              <w:overflowPunct/>
              <w:topLinePunct w:val="0"/>
              <w:autoSpaceDE/>
              <w:autoSpaceDN/>
              <w:bidi w:val="0"/>
              <w:adjustRightInd/>
              <w:spacing w:line="320" w:lineRule="exact"/>
              <w:ind w:firstLine="0" w:firstLineChars="0"/>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w:t>
            </w:r>
            <w:r>
              <w:rPr>
                <w:rFonts w:hint="default" w:ascii="Times New Roman" w:hAnsi="Times New Roman" w:eastAsia="仿宋_GB2312" w:cs="Times New Roman"/>
                <w:color w:val="000000"/>
                <w:sz w:val="24"/>
                <w:szCs w:val="24"/>
                <w:lang w:val="en-US" w:eastAsia="zh-CN"/>
              </w:rPr>
              <w:t>有效期内的中小微企业核心服务机构。</w:t>
            </w:r>
          </w:p>
        </w:tc>
        <w:tc>
          <w:tcPr>
            <w:tcW w:w="7052" w:type="dxa"/>
            <w:tcBorders>
              <w:top w:val="single" w:color="auto" w:sz="4" w:space="0"/>
              <w:left w:val="single" w:color="auto" w:sz="4" w:space="0"/>
              <w:bottom w:val="single" w:color="auto" w:sz="4" w:space="0"/>
              <w:right w:val="single" w:color="auto" w:sz="4" w:space="0"/>
            </w:tcBorders>
            <w:noWrap w:val="0"/>
            <w:vAlign w:val="center"/>
          </w:tcPr>
          <w:p w14:paraId="37F8F8CF">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聚焦中小企业发展难题，提供公共性、公益性服务或低收费服务，包括开展“一起益企”中小企业服务、大学生创新创业服务、中小企业出海、“一月一链”中小企业融资促进等活动，推进中小企业商业价值信用贷款改革试点工作等，年服务企业数量不少于200家次，年开展线下专题服务活动10次以上，其中公益性服务活动不少于2次。</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22F28A0F">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无偿</w:t>
            </w:r>
          </w:p>
          <w:p w14:paraId="57D71ACC">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val="en-US" w:eastAsia="zh-CN"/>
              </w:rPr>
              <w:t>补助</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4E70A729">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中小企业服务指导处</w:t>
            </w:r>
          </w:p>
          <w:p w14:paraId="06413A16">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黄轶凡</w:t>
            </w:r>
          </w:p>
          <w:p w14:paraId="502BF4CF">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0731-88955535</w:t>
            </w:r>
          </w:p>
        </w:tc>
      </w:tr>
      <w:tr w14:paraId="47AD3444">
        <w:tblPrEx>
          <w:tblCellMar>
            <w:top w:w="0" w:type="dxa"/>
            <w:left w:w="108" w:type="dxa"/>
            <w:bottom w:w="0" w:type="dxa"/>
            <w:right w:w="108" w:type="dxa"/>
          </w:tblCellMar>
        </w:tblPrEx>
        <w:trPr>
          <w:trHeight w:val="1757" w:hRule="atLeast"/>
          <w:jc w:val="center"/>
        </w:trPr>
        <w:tc>
          <w:tcPr>
            <w:tcW w:w="1215" w:type="dxa"/>
            <w:tcBorders>
              <w:top w:val="single" w:color="auto" w:sz="4" w:space="0"/>
              <w:left w:val="single" w:color="auto" w:sz="4" w:space="0"/>
              <w:bottom w:val="single" w:color="auto" w:sz="4" w:space="0"/>
              <w:right w:val="single" w:color="auto" w:sz="4" w:space="0"/>
            </w:tcBorders>
            <w:noWrap w:val="0"/>
            <w:vAlign w:val="center"/>
          </w:tcPr>
          <w:p w14:paraId="0101ED67">
            <w:pPr>
              <w:keepNext w:val="0"/>
              <w:keepLines w:val="0"/>
              <w:pageBreakBefore w:val="0"/>
              <w:widowControl/>
              <w:kinsoku/>
              <w:wordWrap/>
              <w:overflowPunct/>
              <w:topLinePunct w:val="0"/>
              <w:autoSpaceDE/>
              <w:autoSpaceDN/>
              <w:bidi w:val="0"/>
              <w:adjustRightInd/>
              <w:spacing w:line="320" w:lineRule="exact"/>
              <w:jc w:val="center"/>
              <w:rPr>
                <w:rFonts w:hint="eastAsia" w:ascii="Times New Roman" w:hAnsi="Times New Roman" w:eastAsia="黑体" w:cs="Times New Roman"/>
                <w:color w:val="000000"/>
                <w:sz w:val="21"/>
                <w:szCs w:val="21"/>
                <w:lang w:val="en-US" w:eastAsia="zh-CN"/>
              </w:rPr>
            </w:pPr>
            <w:r>
              <w:rPr>
                <w:rFonts w:hint="default" w:ascii="Times New Roman" w:hAnsi="Times New Roman" w:eastAsia="黑体" w:cs="Times New Roman"/>
                <w:color w:val="000000"/>
                <w:kern w:val="0"/>
                <w:sz w:val="24"/>
                <w:szCs w:val="24"/>
                <w:lang w:val="en-US" w:eastAsia="zh-CN"/>
              </w:rPr>
              <w:t>四、</w:t>
            </w:r>
            <w:r>
              <w:rPr>
                <w:rFonts w:hint="default" w:ascii="Times New Roman" w:hAnsi="Times New Roman" w:eastAsia="黑体" w:cs="Times New Roman"/>
                <w:color w:val="000000"/>
                <w:kern w:val="0"/>
                <w:sz w:val="24"/>
                <w:szCs w:val="24"/>
                <w:lang w:eastAsia="zh-CN"/>
              </w:rPr>
              <w:t>制造业中试平台</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BE8EF80">
            <w:pPr>
              <w:keepNext w:val="0"/>
              <w:keepLines w:val="0"/>
              <w:pageBreakBefore w:val="0"/>
              <w:widowControl w:val="0"/>
              <w:kinsoku/>
              <w:wordWrap/>
              <w:overflowPunct/>
              <w:topLinePunct w:val="0"/>
              <w:autoSpaceDE/>
              <w:autoSpaceDN/>
              <w:bidi w:val="0"/>
              <w:adjustRightInd/>
              <w:spacing w:line="320" w:lineRule="exact"/>
              <w:jc w:val="left"/>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对依托省内高校及科研院所等建设的湖南省新材料中试平台，依据平台支撑全省产业创新的综合成效和贡献度，择优给予支持。</w:t>
            </w:r>
          </w:p>
        </w:tc>
        <w:tc>
          <w:tcPr>
            <w:tcW w:w="7052" w:type="dxa"/>
            <w:tcBorders>
              <w:top w:val="single" w:color="auto" w:sz="4" w:space="0"/>
              <w:left w:val="single" w:color="auto" w:sz="4" w:space="0"/>
              <w:bottom w:val="single" w:color="auto" w:sz="4" w:space="0"/>
              <w:right w:val="single" w:color="auto" w:sz="4" w:space="0"/>
            </w:tcBorders>
            <w:noWrap w:val="0"/>
            <w:vAlign w:val="center"/>
          </w:tcPr>
          <w:p w14:paraId="645396DF">
            <w:pPr>
              <w:keepNext w:val="0"/>
              <w:keepLines w:val="0"/>
              <w:pageBreakBefore w:val="0"/>
              <w:widowControl w:val="0"/>
              <w:kinsoku/>
              <w:wordWrap/>
              <w:overflowPunct/>
              <w:topLinePunct w:val="0"/>
              <w:autoSpaceDE/>
              <w:autoSpaceDN/>
              <w:bidi w:val="0"/>
              <w:adjustRightInd/>
              <w:spacing w:line="320" w:lineRule="exact"/>
              <w:jc w:val="left"/>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1.平台依托省内高校及科研院所等建设。</w:t>
            </w:r>
          </w:p>
          <w:p w14:paraId="498CEF39">
            <w:pPr>
              <w:keepNext w:val="0"/>
              <w:keepLines w:val="0"/>
              <w:pageBreakBefore w:val="0"/>
              <w:widowControl w:val="0"/>
              <w:kinsoku/>
              <w:wordWrap/>
              <w:overflowPunct/>
              <w:topLinePunct w:val="0"/>
              <w:autoSpaceDE/>
              <w:autoSpaceDN/>
              <w:bidi w:val="0"/>
              <w:adjustRightInd/>
              <w:spacing w:line="320" w:lineRule="exact"/>
              <w:jc w:val="left"/>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2.平台已被认定为湖南省新材料中试平台。</w:t>
            </w:r>
          </w:p>
          <w:p w14:paraId="5025CE85">
            <w:pPr>
              <w:keepNext w:val="0"/>
              <w:keepLines w:val="0"/>
              <w:pageBreakBefore w:val="0"/>
              <w:widowControl w:val="0"/>
              <w:kinsoku/>
              <w:wordWrap/>
              <w:overflowPunct/>
              <w:topLinePunct w:val="0"/>
              <w:autoSpaceDE/>
              <w:autoSpaceDN/>
              <w:bidi w:val="0"/>
              <w:adjustRightInd/>
              <w:spacing w:line="320" w:lineRule="exact"/>
              <w:jc w:val="left"/>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3.平台面向制造业企业开放，已经服务制造业企业数量不低于10家或对外服务制造业的收入不低于100万元（须提供服务合同、服务收入发票等凭证，服务合同和收入在2024年1月1日以后）。</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41CABC2F">
            <w:pPr>
              <w:keepNext w:val="0"/>
              <w:keepLines w:val="0"/>
              <w:pageBreakBefore w:val="0"/>
              <w:widowControl w:val="0"/>
              <w:kinsoku/>
              <w:wordWrap/>
              <w:overflowPunct/>
              <w:topLinePunct w:val="0"/>
              <w:autoSpaceDE/>
              <w:autoSpaceDN/>
              <w:bidi w:val="0"/>
              <w:adjustRightInd/>
              <w:spacing w:line="320" w:lineRule="exact"/>
              <w:jc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奖励</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46DD10ED">
            <w:pPr>
              <w:keepNext w:val="0"/>
              <w:keepLines w:val="0"/>
              <w:pageBreakBefore w:val="0"/>
              <w:widowControl w:val="0"/>
              <w:kinsoku/>
              <w:wordWrap/>
              <w:overflowPunct/>
              <w:topLinePunct w:val="0"/>
              <w:autoSpaceDE/>
              <w:autoSpaceDN/>
              <w:bidi w:val="0"/>
              <w:adjustRightInd/>
              <w:spacing w:line="320" w:lineRule="exact"/>
              <w:jc w:val="center"/>
              <w:rPr>
                <w:rFonts w:hint="default" w:ascii="Times New Roman" w:hAnsi="Times New Roman" w:eastAsia="仿宋_GB2312" w:cs="Times New Roman"/>
                <w:color w:val="000000"/>
                <w:spacing w:val="-11"/>
                <w:sz w:val="24"/>
                <w:szCs w:val="24"/>
                <w:lang w:eastAsia="zh-CN"/>
              </w:rPr>
            </w:pPr>
            <w:r>
              <w:rPr>
                <w:rFonts w:hint="default" w:ascii="Times New Roman" w:hAnsi="Times New Roman" w:eastAsia="仿宋_GB2312" w:cs="Times New Roman"/>
                <w:color w:val="000000"/>
                <w:spacing w:val="-11"/>
                <w:sz w:val="24"/>
                <w:szCs w:val="24"/>
                <w:lang w:eastAsia="zh-CN"/>
              </w:rPr>
              <w:t>冶金建材工业处</w:t>
            </w:r>
          </w:p>
          <w:p w14:paraId="5A369E11">
            <w:pPr>
              <w:keepNext w:val="0"/>
              <w:keepLines w:val="0"/>
              <w:pageBreakBefore w:val="0"/>
              <w:widowControl w:val="0"/>
              <w:kinsoku/>
              <w:wordWrap/>
              <w:overflowPunct/>
              <w:topLinePunct w:val="0"/>
              <w:autoSpaceDE/>
              <w:autoSpaceDN/>
              <w:bidi w:val="0"/>
              <w:adjustRightInd/>
              <w:spacing w:line="320" w:lineRule="exact"/>
              <w:jc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王梦兰</w:t>
            </w:r>
          </w:p>
          <w:p w14:paraId="2DC41234">
            <w:pPr>
              <w:keepNext w:val="0"/>
              <w:keepLines w:val="0"/>
              <w:pageBreakBefore w:val="0"/>
              <w:widowControl w:val="0"/>
              <w:kinsoku/>
              <w:wordWrap/>
              <w:overflowPunct/>
              <w:topLinePunct w:val="0"/>
              <w:autoSpaceDE/>
              <w:autoSpaceDN/>
              <w:bidi w:val="0"/>
              <w:adjustRightInd/>
              <w:spacing w:line="320" w:lineRule="exact"/>
              <w:jc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0731-88955466</w:t>
            </w:r>
          </w:p>
        </w:tc>
      </w:tr>
      <w:tr w14:paraId="2D825F46">
        <w:tblPrEx>
          <w:tblCellMar>
            <w:top w:w="0" w:type="dxa"/>
            <w:left w:w="108" w:type="dxa"/>
            <w:bottom w:w="0" w:type="dxa"/>
            <w:right w:w="108" w:type="dxa"/>
          </w:tblCellMar>
        </w:tblPrEx>
        <w:trPr>
          <w:trHeight w:val="2855" w:hRule="atLeast"/>
          <w:jc w:val="center"/>
        </w:trPr>
        <w:tc>
          <w:tcPr>
            <w:tcW w:w="1215" w:type="dxa"/>
            <w:tcBorders>
              <w:top w:val="single" w:color="auto" w:sz="4" w:space="0"/>
              <w:left w:val="single" w:color="auto" w:sz="4" w:space="0"/>
              <w:bottom w:val="single" w:color="auto" w:sz="4" w:space="0"/>
              <w:right w:val="single" w:color="auto" w:sz="4" w:space="0"/>
            </w:tcBorders>
            <w:noWrap w:val="0"/>
            <w:vAlign w:val="center"/>
          </w:tcPr>
          <w:p w14:paraId="0FB23D19">
            <w:pPr>
              <w:keepNext w:val="0"/>
              <w:keepLines w:val="0"/>
              <w:pageBreakBefore w:val="0"/>
              <w:widowControl/>
              <w:numPr>
                <w:ilvl w:val="0"/>
                <w:numId w:val="0"/>
              </w:numPr>
              <w:kinsoku/>
              <w:wordWrap/>
              <w:overflowPunct/>
              <w:topLinePunct w:val="0"/>
              <w:autoSpaceDE/>
              <w:autoSpaceDN/>
              <w:bidi w:val="0"/>
              <w:adjustRightInd/>
              <w:spacing w:line="320" w:lineRule="exact"/>
              <w:ind w:left="0" w:leftChars="0" w:firstLine="0" w:firstLineChars="0"/>
              <w:jc w:val="center"/>
              <w:rPr>
                <w:rFonts w:hint="eastAsia" w:ascii="Times New Roman" w:hAnsi="Times New Roman" w:eastAsia="黑体" w:cs="Times New Roman"/>
                <w:color w:val="000000"/>
                <w:sz w:val="24"/>
                <w:szCs w:val="24"/>
                <w:lang w:eastAsia="zh-CN"/>
              </w:rPr>
            </w:pPr>
            <w:r>
              <w:rPr>
                <w:rFonts w:hint="default" w:ascii="Times New Roman" w:hAnsi="Times New Roman" w:eastAsia="黑体" w:cs="Times New Roman"/>
                <w:color w:val="000000"/>
                <w:kern w:val="0"/>
                <w:sz w:val="24"/>
                <w:szCs w:val="24"/>
                <w:lang w:val="en-US" w:eastAsia="zh-CN"/>
              </w:rPr>
              <w:t>五、</w:t>
            </w:r>
            <w:r>
              <w:rPr>
                <w:rFonts w:hint="eastAsia" w:ascii="Times New Roman" w:hAnsi="Times New Roman" w:eastAsia="黑体" w:cs="Times New Roman"/>
                <w:color w:val="000000"/>
                <w:kern w:val="0"/>
                <w:sz w:val="24"/>
                <w:szCs w:val="24"/>
                <w:lang w:val="en-US" w:eastAsia="zh-CN"/>
              </w:rPr>
              <w:t>先进制造业工程师协同创新中心</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C9745B0">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支持在湖南省登记的公办高校、科研院所等主体，通过“1个特色产业集群+1个共性技术平台+1批共享工程师”的形式，积极构建“企业出题、政府助题、人才答题、车间验题、市场评价”的协同创新模式，破解中小企业引不进、留不住、养不起高水平工程师以及行业共性技术攻关难、推广更难等问题。</w:t>
            </w:r>
          </w:p>
        </w:tc>
        <w:tc>
          <w:tcPr>
            <w:tcW w:w="7052" w:type="dxa"/>
            <w:tcBorders>
              <w:top w:val="single" w:color="auto" w:sz="4" w:space="0"/>
              <w:left w:val="single" w:color="auto" w:sz="4" w:space="0"/>
              <w:bottom w:val="single" w:color="auto" w:sz="4" w:space="0"/>
              <w:right w:val="single" w:color="auto" w:sz="4" w:space="0"/>
            </w:tcBorders>
            <w:noWrap w:val="0"/>
            <w:vAlign w:val="center"/>
          </w:tcPr>
          <w:p w14:paraId="2B69A99B">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1.具有固定的办公场所和稳定的经费保障，拥有专职运营团队并具备完善的运营管理体系，具备一定的工程技术人才培养能力。</w:t>
            </w:r>
          </w:p>
          <w:p w14:paraId="7289311B">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2.具有一定规模的高水平工程师队伍，建有以产业真实需求为导向、以解决复杂工程问题为核心的人才培养、使用和激励体系。</w:t>
            </w:r>
          </w:p>
          <w:p w14:paraId="42CA7ED9">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3.具有一定的组织跨单位工程师开展联合攻关与服务的能力，能有效解决行业共性技术研发、推广应用、成果转化难题。</w:t>
            </w:r>
          </w:p>
          <w:p w14:paraId="335599A6">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4.具有一定的研究、开发、试验条件，拥有一定研发、中试或检验检测的仪器设备。</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29B6F8F5">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val="en-US" w:eastAsia="zh-CN"/>
              </w:rPr>
              <w:t>奖励</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58F77C5C">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人事教育处</w:t>
            </w:r>
          </w:p>
          <w:p w14:paraId="09B1ECB8">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王轩</w:t>
            </w:r>
          </w:p>
          <w:p w14:paraId="576BB753">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0731-88955338</w:t>
            </w:r>
          </w:p>
          <w:p w14:paraId="2D38EE84">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000000"/>
                <w:sz w:val="24"/>
                <w:szCs w:val="24"/>
                <w:lang w:val="en-US" w:eastAsia="zh-CN"/>
              </w:rPr>
            </w:pPr>
          </w:p>
        </w:tc>
      </w:tr>
      <w:tr w14:paraId="35F093F0">
        <w:tblPrEx>
          <w:tblCellMar>
            <w:top w:w="0" w:type="dxa"/>
            <w:left w:w="108" w:type="dxa"/>
            <w:bottom w:w="0" w:type="dxa"/>
            <w:right w:w="108" w:type="dxa"/>
          </w:tblCellMar>
        </w:tblPrEx>
        <w:trPr>
          <w:trHeight w:val="2786" w:hRule="atLeast"/>
          <w:jc w:val="center"/>
        </w:trPr>
        <w:tc>
          <w:tcPr>
            <w:tcW w:w="1215" w:type="dxa"/>
            <w:tcBorders>
              <w:top w:val="single" w:color="auto" w:sz="4" w:space="0"/>
              <w:left w:val="single" w:color="auto" w:sz="4" w:space="0"/>
              <w:bottom w:val="single" w:color="auto" w:sz="4" w:space="0"/>
              <w:right w:val="single" w:color="auto" w:sz="4" w:space="0"/>
            </w:tcBorders>
            <w:noWrap w:val="0"/>
            <w:vAlign w:val="center"/>
          </w:tcPr>
          <w:p w14:paraId="77AA163B">
            <w:pPr>
              <w:keepNext w:val="0"/>
              <w:keepLines w:val="0"/>
              <w:pageBreakBefore w:val="0"/>
              <w:widowControl/>
              <w:numPr>
                <w:ilvl w:val="0"/>
                <w:numId w:val="0"/>
              </w:numPr>
              <w:kinsoku/>
              <w:wordWrap/>
              <w:overflowPunct/>
              <w:topLinePunct w:val="0"/>
              <w:autoSpaceDE/>
              <w:autoSpaceDN/>
              <w:bidi w:val="0"/>
              <w:adjustRightInd/>
              <w:spacing w:line="320" w:lineRule="exact"/>
              <w:ind w:left="0" w:leftChars="0" w:firstLine="0" w:firstLineChars="0"/>
              <w:jc w:val="center"/>
              <w:rPr>
                <w:rFonts w:hint="eastAsia" w:ascii="Times New Roman" w:hAnsi="Times New Roman" w:eastAsia="黑体" w:cs="Times New Roman"/>
                <w:color w:val="000000"/>
                <w:sz w:val="24"/>
                <w:szCs w:val="24"/>
                <w:lang w:eastAsia="zh-CN"/>
              </w:rPr>
            </w:pPr>
            <w:r>
              <w:rPr>
                <w:rFonts w:hint="default" w:ascii="Times New Roman" w:hAnsi="Times New Roman" w:eastAsia="黑体" w:cs="Times New Roman"/>
                <w:color w:val="000000"/>
                <w:kern w:val="0"/>
                <w:sz w:val="24"/>
                <w:szCs w:val="24"/>
                <w:lang w:val="en-US" w:eastAsia="zh-CN"/>
              </w:rPr>
              <w:t>六、产教融合项目</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46A88C30">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支持公办高等学校、职业院校（含技工院校）精准对接湖南省重点产业领域发展需求，与先进制造业企业在人才培养、学科专业、教学课程、师资力量、实训基地、技术研发、就业创业等方面深度合作共建的产教融合项目。</w:t>
            </w:r>
          </w:p>
        </w:tc>
        <w:tc>
          <w:tcPr>
            <w:tcW w:w="7052" w:type="dxa"/>
            <w:tcBorders>
              <w:top w:val="single" w:color="auto" w:sz="4" w:space="0"/>
              <w:left w:val="single" w:color="auto" w:sz="4" w:space="0"/>
              <w:bottom w:val="single" w:color="auto" w:sz="4" w:space="0"/>
              <w:right w:val="single" w:color="auto" w:sz="4" w:space="0"/>
            </w:tcBorders>
            <w:noWrap w:val="0"/>
            <w:vAlign w:val="center"/>
          </w:tcPr>
          <w:p w14:paraId="66924DE0">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1.主校区或分校区建在湖南省内且正常办学两年以上，拥有一批紧贴湖南省重点产业链和区域支柱产业的骨干专业。</w:t>
            </w:r>
          </w:p>
          <w:p w14:paraId="637C6B08">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2.围绕地方主导产业、重点企业需求，及时调整优化学科专业设置和育人体系，培养输送产业急需紧缺的复合型技术技能人才。</w:t>
            </w:r>
          </w:p>
          <w:p w14:paraId="045F2196">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3.通过校企合作共建共享等形式，构建协同创新的长效机制，有效促进创新成果与核心技术产业化。</w:t>
            </w:r>
          </w:p>
          <w:p w14:paraId="49F2357A">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4.在推动当地重点产业链发展上取得一定成效。</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02AF2CF8">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val="en-US" w:eastAsia="zh-CN"/>
              </w:rPr>
              <w:t>奖励</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6304C45B">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人事教育处</w:t>
            </w:r>
          </w:p>
          <w:p w14:paraId="3362E231">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王轩</w:t>
            </w:r>
          </w:p>
          <w:p w14:paraId="7DC8C056">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0731-88955338</w:t>
            </w:r>
          </w:p>
          <w:p w14:paraId="68023774">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000000"/>
                <w:sz w:val="24"/>
                <w:szCs w:val="24"/>
                <w:lang w:val="en-US" w:eastAsia="zh-CN"/>
              </w:rPr>
            </w:pPr>
          </w:p>
        </w:tc>
      </w:tr>
      <w:tr w14:paraId="566D59DE">
        <w:tblPrEx>
          <w:tblCellMar>
            <w:top w:w="0" w:type="dxa"/>
            <w:left w:w="108" w:type="dxa"/>
            <w:bottom w:w="0" w:type="dxa"/>
            <w:right w:w="108" w:type="dxa"/>
          </w:tblCellMar>
        </w:tblPrEx>
        <w:trPr>
          <w:trHeight w:val="2566" w:hRule="atLeast"/>
          <w:jc w:val="center"/>
        </w:trPr>
        <w:tc>
          <w:tcPr>
            <w:tcW w:w="1215" w:type="dxa"/>
            <w:tcBorders>
              <w:top w:val="single" w:color="auto" w:sz="4" w:space="0"/>
              <w:left w:val="single" w:color="auto" w:sz="4" w:space="0"/>
              <w:bottom w:val="single" w:color="auto" w:sz="4" w:space="0"/>
              <w:right w:val="single" w:color="auto" w:sz="4" w:space="0"/>
            </w:tcBorders>
            <w:noWrap w:val="0"/>
            <w:vAlign w:val="center"/>
          </w:tcPr>
          <w:p w14:paraId="21C24462">
            <w:pPr>
              <w:keepNext w:val="0"/>
              <w:keepLines w:val="0"/>
              <w:pageBreakBefore w:val="0"/>
              <w:widowControl/>
              <w:kinsoku/>
              <w:wordWrap/>
              <w:overflowPunct/>
              <w:topLinePunct w:val="0"/>
              <w:autoSpaceDE/>
              <w:autoSpaceDN/>
              <w:bidi w:val="0"/>
              <w:adjustRightInd/>
              <w:spacing w:line="320" w:lineRule="exact"/>
              <w:jc w:val="center"/>
              <w:rPr>
                <w:rFonts w:hint="eastAsia" w:ascii="Times New Roman" w:hAnsi="Times New Roman" w:eastAsia="黑体" w:cs="Times New Roman"/>
                <w:color w:val="000000"/>
                <w:kern w:val="0"/>
                <w:sz w:val="24"/>
                <w:szCs w:val="24"/>
                <w:lang w:val="en-US" w:eastAsia="zh-CN"/>
              </w:rPr>
            </w:pPr>
            <w:r>
              <w:rPr>
                <w:rFonts w:hint="eastAsia" w:ascii="Times New Roman" w:hAnsi="Times New Roman" w:eastAsia="黑体" w:cs="Times New Roman"/>
                <w:color w:val="000000"/>
                <w:kern w:val="0"/>
                <w:sz w:val="24"/>
                <w:szCs w:val="24"/>
                <w:lang w:val="en-US" w:eastAsia="zh-CN"/>
              </w:rPr>
              <w:t>七</w:t>
            </w:r>
            <w:r>
              <w:rPr>
                <w:rFonts w:hint="default" w:ascii="Times New Roman" w:hAnsi="Times New Roman" w:eastAsia="黑体" w:cs="Times New Roman"/>
                <w:color w:val="000000"/>
                <w:kern w:val="0"/>
                <w:sz w:val="24"/>
                <w:szCs w:val="24"/>
                <w:lang w:val="en-US" w:eastAsia="zh-CN"/>
              </w:rPr>
              <w:t>、创新药和创新医疗器械产业化落地奖励</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53A9406F">
            <w:pPr>
              <w:keepNext w:val="0"/>
              <w:keepLines w:val="0"/>
              <w:widowControl w:val="0"/>
              <w:suppressLineNumbers w:val="0"/>
              <w:spacing w:line="320" w:lineRule="exact"/>
              <w:jc w:val="left"/>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1.重点支持中药创新药。</w:t>
            </w:r>
          </w:p>
          <w:p w14:paraId="4E094F8E">
            <w:pPr>
              <w:keepNext w:val="0"/>
              <w:keepLines w:val="0"/>
              <w:widowControl w:val="0"/>
              <w:suppressLineNumbers w:val="0"/>
              <w:spacing w:line="320" w:lineRule="exact"/>
              <w:jc w:val="left"/>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2.重点支持首次获得药品注册批件并实现产业化落地的创新药、获得生产批件并实现产业化落地的第三类创新医疗器械和第二类创新医疗器械。</w:t>
            </w:r>
          </w:p>
        </w:tc>
        <w:tc>
          <w:tcPr>
            <w:tcW w:w="7052" w:type="dxa"/>
            <w:tcBorders>
              <w:top w:val="single" w:color="auto" w:sz="4" w:space="0"/>
              <w:left w:val="single" w:color="auto" w:sz="4" w:space="0"/>
              <w:bottom w:val="single" w:color="auto" w:sz="4" w:space="0"/>
              <w:right w:val="single" w:color="auto" w:sz="4" w:space="0"/>
            </w:tcBorders>
            <w:noWrap w:val="0"/>
            <w:vAlign w:val="center"/>
          </w:tcPr>
          <w:p w14:paraId="6D719F16">
            <w:pPr>
              <w:keepNext w:val="0"/>
              <w:keepLines w:val="0"/>
              <w:widowControl w:val="0"/>
              <w:suppressLineNumbers w:val="0"/>
              <w:spacing w:line="320" w:lineRule="exact"/>
              <w:jc w:val="left"/>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1.符合《湖南省关于促进中医药产业高质量发展的若干措施的通知》（湘政办发〔2025〕35号）第（十七）条规定的中药新药研发企业。</w:t>
            </w:r>
          </w:p>
          <w:p w14:paraId="2221D4AD">
            <w:pPr>
              <w:keepNext w:val="0"/>
              <w:keepLines w:val="0"/>
              <w:widowControl w:val="0"/>
              <w:suppressLineNumbers w:val="0"/>
              <w:spacing w:line="320" w:lineRule="exact"/>
              <w:jc w:val="left"/>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2.符合《湖南省人民政府办公厅关于促进生物医药产业创新发展的若干意见》（湘政办发〔2026〕15号）第（四）条规定的创新药、创新医疗器械企业。</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171C68F0">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奖励</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1997A87D">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消费品工业处</w:t>
            </w:r>
          </w:p>
          <w:p w14:paraId="75004D49">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李怡琛</w:t>
            </w:r>
          </w:p>
          <w:p w14:paraId="045A1CBA">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0731-88955396</w:t>
            </w:r>
          </w:p>
        </w:tc>
      </w:tr>
      <w:tr w14:paraId="69B8A8F8">
        <w:tblPrEx>
          <w:tblCellMar>
            <w:top w:w="0" w:type="dxa"/>
            <w:left w:w="108" w:type="dxa"/>
            <w:bottom w:w="0" w:type="dxa"/>
            <w:right w:w="108" w:type="dxa"/>
          </w:tblCellMar>
        </w:tblPrEx>
        <w:trPr>
          <w:trHeight w:val="682" w:hRule="atLeast"/>
          <w:jc w:val="center"/>
        </w:trPr>
        <w:tc>
          <w:tcPr>
            <w:tcW w:w="1215" w:type="dxa"/>
            <w:vMerge w:val="restart"/>
            <w:tcBorders>
              <w:top w:val="single" w:color="auto" w:sz="4" w:space="0"/>
              <w:left w:val="single" w:color="auto" w:sz="4" w:space="0"/>
              <w:right w:val="single" w:color="auto" w:sz="4" w:space="0"/>
            </w:tcBorders>
            <w:noWrap w:val="0"/>
            <w:vAlign w:val="center"/>
          </w:tcPr>
          <w:p w14:paraId="1340DAB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Times New Roman"/>
                <w:color w:val="000000"/>
                <w:kern w:val="0"/>
                <w:sz w:val="24"/>
                <w:szCs w:val="24"/>
                <w:lang w:val="en-US" w:eastAsia="zh-CN"/>
              </w:rPr>
            </w:pPr>
            <w:r>
              <w:rPr>
                <w:rFonts w:hint="eastAsia" w:ascii="Times New Roman" w:hAnsi="Times New Roman" w:eastAsia="黑体" w:cs="Times New Roman"/>
                <w:color w:val="000000"/>
                <w:kern w:val="0"/>
                <w:sz w:val="24"/>
                <w:szCs w:val="24"/>
                <w:highlight w:val="none"/>
                <w:vertAlign w:val="baseline"/>
                <w:lang w:val="en-US" w:eastAsia="zh-CN"/>
              </w:rPr>
              <w:t>八、</w:t>
            </w:r>
            <w:r>
              <w:rPr>
                <w:rFonts w:hint="default" w:ascii="Times New Roman" w:hAnsi="Times New Roman" w:eastAsia="黑体" w:cs="Times New Roman"/>
                <w:color w:val="000000"/>
                <w:kern w:val="0"/>
                <w:sz w:val="24"/>
                <w:szCs w:val="24"/>
                <w:highlight w:val="none"/>
                <w:vertAlign w:val="baseline"/>
                <w:lang w:val="en-US" w:eastAsia="zh-CN"/>
              </w:rPr>
              <w:t>先进计算</w:t>
            </w:r>
            <w:r>
              <w:rPr>
                <w:rFonts w:hint="eastAsia" w:ascii="Times New Roman" w:hAnsi="Times New Roman" w:eastAsia="黑体" w:cs="Times New Roman"/>
                <w:color w:val="000000"/>
                <w:kern w:val="0"/>
                <w:sz w:val="24"/>
                <w:szCs w:val="24"/>
                <w:highlight w:val="none"/>
                <w:vertAlign w:val="baseline"/>
                <w:lang w:val="en-US" w:eastAsia="zh-CN"/>
              </w:rPr>
              <w:t>领域项目</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4011577">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color w:val="000000"/>
                <w:sz w:val="24"/>
                <w:szCs w:val="24"/>
                <w:highlight w:val="none"/>
                <w:vertAlign w:val="baseline"/>
                <w:lang w:val="en-US" w:eastAsia="zh-CN"/>
              </w:rPr>
              <w:t>1.支持先进计算领域创新平台建设。</w:t>
            </w:r>
          </w:p>
        </w:tc>
        <w:tc>
          <w:tcPr>
            <w:tcW w:w="7052" w:type="dxa"/>
            <w:vMerge w:val="restart"/>
            <w:tcBorders>
              <w:top w:val="single" w:color="auto" w:sz="4" w:space="0"/>
              <w:left w:val="single" w:color="auto" w:sz="4" w:space="0"/>
              <w:right w:val="single" w:color="auto" w:sz="4" w:space="0"/>
            </w:tcBorders>
            <w:noWrap w:val="0"/>
            <w:vAlign w:val="center"/>
          </w:tcPr>
          <w:p w14:paraId="33E86C0F">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符合</w:t>
            </w:r>
            <w:r>
              <w:rPr>
                <w:rFonts w:hint="default" w:ascii="Times New Roman" w:hAnsi="Times New Roman" w:eastAsia="仿宋_GB2312" w:cs="Times New Roman"/>
                <w:color w:val="000000"/>
                <w:sz w:val="24"/>
              </w:rPr>
              <w:t>《湖南省加快先进计算产业高质量发展的政策措施》</w:t>
            </w:r>
            <w:r>
              <w:rPr>
                <w:rFonts w:hint="default" w:ascii="Times New Roman" w:hAnsi="Times New Roman" w:eastAsia="仿宋_GB2312" w:cs="Times New Roman"/>
                <w:b w:val="0"/>
                <w:bCs w:val="0"/>
                <w:color w:val="000000"/>
                <w:kern w:val="2"/>
                <w:sz w:val="24"/>
                <w:szCs w:val="24"/>
                <w:lang w:val="en-US" w:eastAsia="zh-CN" w:bidi="ar-SA"/>
              </w:rPr>
              <w:t>（湘政办发〔2023〕56号）第（一）条规定的创新平台</w:t>
            </w:r>
            <w:r>
              <w:rPr>
                <w:rFonts w:hint="default" w:ascii="Times New Roman" w:hAnsi="Times New Roman" w:eastAsia="仿宋_GB2312" w:cs="Times New Roman"/>
                <w:color w:val="000000"/>
                <w:sz w:val="24"/>
                <w:szCs w:val="24"/>
                <w:highlight w:val="none"/>
                <w:vertAlign w:val="baseline"/>
                <w:lang w:val="en-US" w:eastAsia="zh-CN"/>
              </w:rPr>
              <w:t>，</w:t>
            </w:r>
            <w:r>
              <w:rPr>
                <w:rFonts w:hint="default" w:ascii="Times New Roman" w:hAnsi="Times New Roman" w:eastAsia="仿宋_GB2312" w:cs="Times New Roman"/>
                <w:b w:val="0"/>
                <w:bCs w:val="0"/>
                <w:color w:val="000000"/>
                <w:kern w:val="2"/>
                <w:sz w:val="24"/>
                <w:szCs w:val="24"/>
                <w:lang w:val="en-US" w:eastAsia="zh-CN" w:bidi="ar-SA"/>
              </w:rPr>
              <w:t>第（二）条规定的关键核心技术，第（七）条规定的应用示范标杆</w:t>
            </w:r>
            <w:r>
              <w:rPr>
                <w:rFonts w:hint="default" w:ascii="Times New Roman" w:hAnsi="Times New Roman" w:eastAsia="仿宋_GB2312" w:cs="Times New Roman"/>
                <w:color w:val="000000"/>
                <w:sz w:val="24"/>
                <w:szCs w:val="24"/>
                <w:highlight w:val="none"/>
                <w:vertAlign w:val="baseline"/>
                <w:lang w:val="en-US" w:eastAsia="zh-CN"/>
              </w:rPr>
              <w:t>，</w:t>
            </w:r>
            <w:r>
              <w:rPr>
                <w:rFonts w:hint="default" w:ascii="Times New Roman" w:hAnsi="Times New Roman" w:eastAsia="仿宋_GB2312" w:cs="Times New Roman"/>
                <w:b w:val="0"/>
                <w:bCs w:val="0"/>
                <w:color w:val="000000"/>
                <w:kern w:val="2"/>
                <w:sz w:val="24"/>
                <w:szCs w:val="24"/>
                <w:lang w:val="en-US" w:eastAsia="zh-CN" w:bidi="ar-SA"/>
              </w:rPr>
              <w:t>第（九）条规定的</w:t>
            </w:r>
            <w:r>
              <w:rPr>
                <w:rFonts w:hint="default" w:ascii="Times New Roman" w:hAnsi="Times New Roman" w:eastAsia="仿宋_GB2312" w:cs="Times New Roman"/>
                <w:color w:val="000000"/>
                <w:sz w:val="24"/>
                <w:szCs w:val="24"/>
                <w:highlight w:val="none"/>
                <w:vertAlign w:val="baseline"/>
                <w:lang w:val="en-US" w:eastAsia="zh-CN"/>
              </w:rPr>
              <w:t>人才实训基地。</w:t>
            </w:r>
          </w:p>
        </w:tc>
        <w:tc>
          <w:tcPr>
            <w:tcW w:w="806" w:type="dxa"/>
            <w:vMerge w:val="restart"/>
            <w:tcBorders>
              <w:top w:val="single" w:color="auto" w:sz="4" w:space="0"/>
              <w:left w:val="single" w:color="auto" w:sz="4" w:space="0"/>
              <w:right w:val="single" w:color="auto" w:sz="4" w:space="0"/>
            </w:tcBorders>
            <w:noWrap w:val="0"/>
            <w:vAlign w:val="center"/>
          </w:tcPr>
          <w:p w14:paraId="23F8016B">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奖励</w:t>
            </w:r>
          </w:p>
        </w:tc>
        <w:tc>
          <w:tcPr>
            <w:tcW w:w="1768" w:type="dxa"/>
            <w:vMerge w:val="restart"/>
            <w:tcBorders>
              <w:top w:val="single" w:color="auto" w:sz="4" w:space="0"/>
              <w:left w:val="single" w:color="auto" w:sz="4" w:space="0"/>
              <w:right w:val="single" w:color="auto" w:sz="4" w:space="0"/>
            </w:tcBorders>
            <w:noWrap w:val="0"/>
            <w:vAlign w:val="center"/>
          </w:tcPr>
          <w:p w14:paraId="15564660">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电子信息处</w:t>
            </w:r>
          </w:p>
          <w:p w14:paraId="65B39E3C">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张宸</w:t>
            </w:r>
          </w:p>
          <w:p w14:paraId="1F244843">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0731-88955373</w:t>
            </w:r>
          </w:p>
        </w:tc>
      </w:tr>
      <w:tr w14:paraId="427E4366">
        <w:tblPrEx>
          <w:tblCellMar>
            <w:top w:w="0" w:type="dxa"/>
            <w:left w:w="108" w:type="dxa"/>
            <w:bottom w:w="0" w:type="dxa"/>
            <w:right w:w="108" w:type="dxa"/>
          </w:tblCellMar>
        </w:tblPrEx>
        <w:trPr>
          <w:trHeight w:val="682" w:hRule="atLeast"/>
          <w:jc w:val="center"/>
        </w:trPr>
        <w:tc>
          <w:tcPr>
            <w:tcW w:w="1215" w:type="dxa"/>
            <w:vMerge w:val="continue"/>
            <w:tcBorders>
              <w:left w:val="single" w:color="auto" w:sz="4" w:space="0"/>
              <w:right w:val="single" w:color="auto" w:sz="4" w:space="0"/>
            </w:tcBorders>
            <w:noWrap w:val="0"/>
            <w:vAlign w:val="center"/>
          </w:tcPr>
          <w:p w14:paraId="71AE3C3F">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cs="Times New Roman"/>
                <w:color w:val="000000"/>
              </w:rPr>
            </w:pPr>
          </w:p>
        </w:tc>
        <w:tc>
          <w:tcPr>
            <w:tcW w:w="4836" w:type="dxa"/>
            <w:tcBorders>
              <w:top w:val="single" w:color="auto" w:sz="4" w:space="0"/>
              <w:left w:val="single" w:color="auto" w:sz="4" w:space="0"/>
              <w:bottom w:val="single" w:color="auto" w:sz="4" w:space="0"/>
              <w:right w:val="single" w:color="auto" w:sz="4" w:space="0"/>
            </w:tcBorders>
            <w:noWrap w:val="0"/>
            <w:vAlign w:val="center"/>
          </w:tcPr>
          <w:p w14:paraId="34DB7F61">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vertAlign w:val="baseline"/>
                <w:lang w:val="en-US" w:eastAsia="zh-CN"/>
              </w:rPr>
              <w:t>2.支持先进计算领域突破关键核心技术。</w:t>
            </w:r>
          </w:p>
        </w:tc>
        <w:tc>
          <w:tcPr>
            <w:tcW w:w="7052" w:type="dxa"/>
            <w:vMerge w:val="continue"/>
            <w:tcBorders>
              <w:left w:val="single" w:color="auto" w:sz="4" w:space="0"/>
              <w:right w:val="single" w:color="auto" w:sz="4" w:space="0"/>
            </w:tcBorders>
            <w:noWrap w:val="0"/>
            <w:vAlign w:val="center"/>
          </w:tcPr>
          <w:p w14:paraId="65F7C637">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4"/>
                <w:szCs w:val="24"/>
                <w:highlight w:val="none"/>
                <w:vertAlign w:val="baseline"/>
                <w:lang w:val="en-US" w:eastAsia="zh-CN"/>
              </w:rPr>
            </w:pPr>
          </w:p>
        </w:tc>
        <w:tc>
          <w:tcPr>
            <w:tcW w:w="806" w:type="dxa"/>
            <w:vMerge w:val="continue"/>
            <w:tcBorders>
              <w:left w:val="single" w:color="auto" w:sz="4" w:space="0"/>
              <w:right w:val="single" w:color="auto" w:sz="4" w:space="0"/>
            </w:tcBorders>
            <w:noWrap w:val="0"/>
            <w:vAlign w:val="center"/>
          </w:tcPr>
          <w:p w14:paraId="65C44E6A">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4"/>
                <w:szCs w:val="24"/>
                <w:highlight w:val="none"/>
                <w:vertAlign w:val="baseline"/>
                <w:lang w:val="en-US" w:eastAsia="zh-CN"/>
              </w:rPr>
            </w:pPr>
          </w:p>
        </w:tc>
        <w:tc>
          <w:tcPr>
            <w:tcW w:w="1768" w:type="dxa"/>
            <w:vMerge w:val="continue"/>
            <w:tcBorders>
              <w:left w:val="single" w:color="auto" w:sz="4" w:space="0"/>
              <w:right w:val="single" w:color="auto" w:sz="4" w:space="0"/>
            </w:tcBorders>
            <w:noWrap w:val="0"/>
            <w:vAlign w:val="center"/>
          </w:tcPr>
          <w:p w14:paraId="569ABD76">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4"/>
                <w:szCs w:val="24"/>
                <w:highlight w:val="none"/>
                <w:vertAlign w:val="baseline"/>
                <w:lang w:val="en-US" w:eastAsia="zh-CN"/>
              </w:rPr>
            </w:pPr>
          </w:p>
        </w:tc>
      </w:tr>
      <w:tr w14:paraId="1137E1D6">
        <w:tblPrEx>
          <w:tblCellMar>
            <w:top w:w="0" w:type="dxa"/>
            <w:left w:w="108" w:type="dxa"/>
            <w:bottom w:w="0" w:type="dxa"/>
            <w:right w:w="108" w:type="dxa"/>
          </w:tblCellMar>
        </w:tblPrEx>
        <w:trPr>
          <w:trHeight w:val="682" w:hRule="atLeast"/>
          <w:jc w:val="center"/>
        </w:trPr>
        <w:tc>
          <w:tcPr>
            <w:tcW w:w="1215" w:type="dxa"/>
            <w:vMerge w:val="continue"/>
            <w:tcBorders>
              <w:left w:val="single" w:color="auto" w:sz="4" w:space="0"/>
              <w:right w:val="single" w:color="auto" w:sz="4" w:space="0"/>
            </w:tcBorders>
            <w:noWrap w:val="0"/>
            <w:vAlign w:val="center"/>
          </w:tcPr>
          <w:p w14:paraId="49701FF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color w:val="000000"/>
                <w:sz w:val="24"/>
                <w:szCs w:val="24"/>
                <w:highlight w:val="none"/>
                <w:vertAlign w:val="baseline"/>
                <w:lang w:val="en-US" w:eastAsia="zh-CN"/>
              </w:rPr>
            </w:pPr>
          </w:p>
        </w:tc>
        <w:tc>
          <w:tcPr>
            <w:tcW w:w="4836" w:type="dxa"/>
            <w:tcBorders>
              <w:top w:val="single" w:color="auto" w:sz="4" w:space="0"/>
              <w:left w:val="single" w:color="auto" w:sz="4" w:space="0"/>
              <w:bottom w:val="single" w:color="auto" w:sz="4" w:space="0"/>
              <w:right w:val="single" w:color="auto" w:sz="4" w:space="0"/>
            </w:tcBorders>
            <w:noWrap w:val="0"/>
            <w:vAlign w:val="center"/>
          </w:tcPr>
          <w:p w14:paraId="10E1A2C9">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vertAlign w:val="baseline"/>
                <w:lang w:val="en-US" w:eastAsia="zh-CN"/>
              </w:rPr>
              <w:t>3.支持先进计算领域应用示范标杆。</w:t>
            </w:r>
          </w:p>
        </w:tc>
        <w:tc>
          <w:tcPr>
            <w:tcW w:w="7052" w:type="dxa"/>
            <w:vMerge w:val="continue"/>
            <w:tcBorders>
              <w:left w:val="single" w:color="auto" w:sz="4" w:space="0"/>
              <w:right w:val="single" w:color="auto" w:sz="4" w:space="0"/>
            </w:tcBorders>
            <w:noWrap w:val="0"/>
            <w:vAlign w:val="center"/>
          </w:tcPr>
          <w:p w14:paraId="7B411E29">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4"/>
                <w:szCs w:val="24"/>
                <w:highlight w:val="none"/>
                <w:vertAlign w:val="baseline"/>
                <w:lang w:val="en-US" w:eastAsia="zh-CN"/>
              </w:rPr>
            </w:pPr>
          </w:p>
        </w:tc>
        <w:tc>
          <w:tcPr>
            <w:tcW w:w="806" w:type="dxa"/>
            <w:vMerge w:val="continue"/>
            <w:tcBorders>
              <w:left w:val="single" w:color="auto" w:sz="4" w:space="0"/>
              <w:right w:val="single" w:color="auto" w:sz="4" w:space="0"/>
            </w:tcBorders>
            <w:noWrap w:val="0"/>
            <w:vAlign w:val="center"/>
          </w:tcPr>
          <w:p w14:paraId="10E7A37D">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4"/>
                <w:szCs w:val="24"/>
                <w:highlight w:val="none"/>
                <w:vertAlign w:val="baseline"/>
                <w:lang w:val="en-US" w:eastAsia="zh-CN"/>
              </w:rPr>
            </w:pPr>
          </w:p>
        </w:tc>
        <w:tc>
          <w:tcPr>
            <w:tcW w:w="1768" w:type="dxa"/>
            <w:vMerge w:val="continue"/>
            <w:tcBorders>
              <w:left w:val="single" w:color="auto" w:sz="4" w:space="0"/>
              <w:right w:val="single" w:color="auto" w:sz="4" w:space="0"/>
            </w:tcBorders>
            <w:noWrap w:val="0"/>
            <w:vAlign w:val="center"/>
          </w:tcPr>
          <w:p w14:paraId="5A1F7354">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4"/>
                <w:szCs w:val="24"/>
                <w:highlight w:val="none"/>
                <w:vertAlign w:val="baseline"/>
                <w:lang w:val="en-US" w:eastAsia="zh-CN"/>
              </w:rPr>
            </w:pPr>
          </w:p>
        </w:tc>
      </w:tr>
      <w:tr w14:paraId="1D1A948E">
        <w:tblPrEx>
          <w:tblCellMar>
            <w:top w:w="0" w:type="dxa"/>
            <w:left w:w="108" w:type="dxa"/>
            <w:bottom w:w="0" w:type="dxa"/>
            <w:right w:w="108" w:type="dxa"/>
          </w:tblCellMar>
        </w:tblPrEx>
        <w:trPr>
          <w:trHeight w:val="682"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17532A4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color w:val="000000"/>
                <w:sz w:val="24"/>
                <w:szCs w:val="24"/>
                <w:highlight w:val="none"/>
                <w:vertAlign w:val="baseline"/>
                <w:lang w:val="en-US" w:eastAsia="zh-CN"/>
              </w:rPr>
            </w:pPr>
          </w:p>
        </w:tc>
        <w:tc>
          <w:tcPr>
            <w:tcW w:w="4836" w:type="dxa"/>
            <w:tcBorders>
              <w:top w:val="single" w:color="auto" w:sz="4" w:space="0"/>
              <w:left w:val="single" w:color="auto" w:sz="4" w:space="0"/>
              <w:bottom w:val="single" w:color="auto" w:sz="4" w:space="0"/>
              <w:right w:val="single" w:color="auto" w:sz="4" w:space="0"/>
            </w:tcBorders>
            <w:noWrap w:val="0"/>
            <w:vAlign w:val="center"/>
          </w:tcPr>
          <w:p w14:paraId="5E888941">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vertAlign w:val="baseline"/>
                <w:lang w:val="en-US" w:eastAsia="zh-CN"/>
              </w:rPr>
              <w:t>4.支持先进计算领域人才实训基地。</w:t>
            </w:r>
          </w:p>
        </w:tc>
        <w:tc>
          <w:tcPr>
            <w:tcW w:w="7052" w:type="dxa"/>
            <w:vMerge w:val="continue"/>
            <w:tcBorders>
              <w:top w:val="single" w:color="auto" w:sz="4" w:space="0"/>
              <w:left w:val="single" w:color="auto" w:sz="4" w:space="0"/>
              <w:bottom w:val="single" w:color="auto" w:sz="4" w:space="0"/>
              <w:right w:val="single" w:color="auto" w:sz="4" w:space="0"/>
            </w:tcBorders>
            <w:noWrap w:val="0"/>
            <w:vAlign w:val="center"/>
          </w:tcPr>
          <w:p w14:paraId="612540FF">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4"/>
                <w:szCs w:val="24"/>
                <w:highlight w:val="none"/>
                <w:vertAlign w:val="baseline"/>
                <w:lang w:val="en-US" w:eastAsia="zh-CN"/>
              </w:rPr>
            </w:pPr>
          </w:p>
        </w:tc>
        <w:tc>
          <w:tcPr>
            <w:tcW w:w="806" w:type="dxa"/>
            <w:vMerge w:val="continue"/>
            <w:tcBorders>
              <w:top w:val="single" w:color="auto" w:sz="4" w:space="0"/>
              <w:left w:val="single" w:color="auto" w:sz="4" w:space="0"/>
              <w:bottom w:val="single" w:color="auto" w:sz="4" w:space="0"/>
              <w:right w:val="single" w:color="auto" w:sz="4" w:space="0"/>
            </w:tcBorders>
            <w:noWrap w:val="0"/>
            <w:vAlign w:val="center"/>
          </w:tcPr>
          <w:p w14:paraId="4F586D95">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4"/>
                <w:szCs w:val="24"/>
                <w:highlight w:val="none"/>
                <w:vertAlign w:val="baseline"/>
                <w:lang w:val="en-US" w:eastAsia="zh-CN"/>
              </w:rPr>
            </w:pPr>
          </w:p>
        </w:tc>
        <w:tc>
          <w:tcPr>
            <w:tcW w:w="1768" w:type="dxa"/>
            <w:vMerge w:val="continue"/>
            <w:tcBorders>
              <w:top w:val="single" w:color="auto" w:sz="4" w:space="0"/>
              <w:left w:val="single" w:color="auto" w:sz="4" w:space="0"/>
              <w:bottom w:val="single" w:color="auto" w:sz="4" w:space="0"/>
              <w:right w:val="single" w:color="auto" w:sz="4" w:space="0"/>
            </w:tcBorders>
            <w:noWrap w:val="0"/>
            <w:vAlign w:val="center"/>
          </w:tcPr>
          <w:p w14:paraId="62F07F1F">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4"/>
                <w:szCs w:val="24"/>
                <w:highlight w:val="none"/>
                <w:vertAlign w:val="baseline"/>
                <w:lang w:val="en-US" w:eastAsia="zh-CN"/>
              </w:rPr>
            </w:pPr>
          </w:p>
        </w:tc>
      </w:tr>
      <w:tr w14:paraId="00AB31A2">
        <w:tblPrEx>
          <w:tblCellMar>
            <w:top w:w="0" w:type="dxa"/>
            <w:left w:w="108" w:type="dxa"/>
            <w:bottom w:w="0" w:type="dxa"/>
            <w:right w:w="108" w:type="dxa"/>
          </w:tblCellMar>
        </w:tblPrEx>
        <w:trPr>
          <w:trHeight w:val="726" w:hRule="atLeast"/>
          <w:jc w:val="center"/>
        </w:trPr>
        <w:tc>
          <w:tcPr>
            <w:tcW w:w="1215" w:type="dxa"/>
            <w:vMerge w:val="restart"/>
            <w:tcBorders>
              <w:top w:val="single" w:color="auto" w:sz="4" w:space="0"/>
              <w:left w:val="single" w:color="auto" w:sz="4" w:space="0"/>
              <w:right w:val="single" w:color="auto" w:sz="4" w:space="0"/>
            </w:tcBorders>
            <w:noWrap w:val="0"/>
            <w:vAlign w:val="center"/>
          </w:tcPr>
          <w:p w14:paraId="2D3017D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000000"/>
                <w:kern w:val="0"/>
                <w:sz w:val="24"/>
                <w:szCs w:val="24"/>
                <w:lang w:val="en-US" w:eastAsia="zh-CN"/>
              </w:rPr>
            </w:pPr>
            <w:r>
              <w:rPr>
                <w:rFonts w:hint="eastAsia" w:ascii="Times New Roman" w:hAnsi="Times New Roman" w:eastAsia="黑体" w:cs="Times New Roman"/>
                <w:color w:val="000000"/>
                <w:kern w:val="0"/>
                <w:sz w:val="24"/>
                <w:szCs w:val="24"/>
                <w:highlight w:val="none"/>
                <w:vertAlign w:val="baseline"/>
                <w:lang w:val="en-US" w:eastAsia="zh-CN"/>
              </w:rPr>
              <w:t>九、音视频领域项目</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1B513A7F">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color w:val="000000"/>
                <w:sz w:val="24"/>
                <w:szCs w:val="24"/>
                <w:highlight w:val="none"/>
                <w:vertAlign w:val="baseline"/>
                <w:lang w:val="en-US" w:eastAsia="zh-CN"/>
              </w:rPr>
              <w:t>1.支持音视频领域创新平台建设。</w:t>
            </w:r>
          </w:p>
        </w:tc>
        <w:tc>
          <w:tcPr>
            <w:tcW w:w="7052" w:type="dxa"/>
            <w:vMerge w:val="restart"/>
            <w:tcBorders>
              <w:top w:val="single" w:color="auto" w:sz="4" w:space="0"/>
              <w:left w:val="single" w:color="auto" w:sz="4" w:space="0"/>
              <w:right w:val="single" w:color="auto" w:sz="4" w:space="0"/>
            </w:tcBorders>
            <w:noWrap w:val="0"/>
            <w:vAlign w:val="center"/>
          </w:tcPr>
          <w:p w14:paraId="78292870">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符合</w:t>
            </w:r>
            <w:r>
              <w:rPr>
                <w:rFonts w:hint="default" w:ascii="Times New Roman" w:hAnsi="Times New Roman" w:eastAsia="仿宋_GB2312" w:cs="Times New Roman"/>
                <w:color w:val="000000"/>
                <w:sz w:val="24"/>
              </w:rPr>
              <w:t>《湖南省加快音视频产业高质量发展的政策措施》</w:t>
            </w:r>
            <w:r>
              <w:rPr>
                <w:rFonts w:hint="default" w:ascii="Times New Roman" w:hAnsi="Times New Roman" w:eastAsia="仿宋_GB2312" w:cs="Times New Roman"/>
                <w:b w:val="0"/>
                <w:bCs w:val="0"/>
                <w:color w:val="000000"/>
                <w:kern w:val="2"/>
                <w:sz w:val="24"/>
                <w:szCs w:val="24"/>
                <w:lang w:val="en-US" w:eastAsia="zh-CN" w:bidi="ar-SA"/>
              </w:rPr>
              <w:t>（湘政办发〔2023〕55号）第（一）条规定的创新平台</w:t>
            </w:r>
            <w:r>
              <w:rPr>
                <w:rFonts w:hint="default" w:ascii="Times New Roman" w:hAnsi="Times New Roman" w:eastAsia="仿宋_GB2312" w:cs="Times New Roman"/>
                <w:color w:val="000000"/>
                <w:sz w:val="24"/>
                <w:szCs w:val="24"/>
                <w:highlight w:val="none"/>
                <w:vertAlign w:val="baseline"/>
                <w:lang w:val="en-US" w:eastAsia="zh-CN"/>
              </w:rPr>
              <w:t>，</w:t>
            </w:r>
            <w:r>
              <w:rPr>
                <w:rFonts w:hint="default" w:ascii="Times New Roman" w:hAnsi="Times New Roman" w:eastAsia="仿宋_GB2312" w:cs="Times New Roman"/>
                <w:b w:val="0"/>
                <w:bCs w:val="0"/>
                <w:color w:val="000000"/>
                <w:kern w:val="2"/>
                <w:sz w:val="24"/>
                <w:szCs w:val="24"/>
                <w:lang w:val="en-US" w:eastAsia="zh-CN" w:bidi="ar-SA"/>
              </w:rPr>
              <w:t>第（六）条规定的应用示范标杆，第（七）条规定的</w:t>
            </w:r>
            <w:r>
              <w:rPr>
                <w:rFonts w:hint="default" w:ascii="Times New Roman" w:hAnsi="Times New Roman" w:eastAsia="仿宋_GB2312" w:cs="Times New Roman"/>
                <w:color w:val="000000"/>
                <w:sz w:val="24"/>
              </w:rPr>
              <w:t>开发者、创作者社区</w:t>
            </w:r>
            <w:r>
              <w:rPr>
                <w:rFonts w:hint="default" w:ascii="Times New Roman" w:hAnsi="Times New Roman" w:eastAsia="仿宋_GB2312" w:cs="Times New Roman"/>
                <w:color w:val="000000"/>
                <w:sz w:val="24"/>
                <w:lang w:val="en-US" w:eastAsia="zh-CN"/>
              </w:rPr>
              <w:t>运营建设主体</w:t>
            </w:r>
            <w:r>
              <w:rPr>
                <w:rFonts w:hint="default" w:ascii="Times New Roman" w:hAnsi="Times New Roman" w:eastAsia="仿宋_GB2312" w:cs="Times New Roman"/>
                <w:b w:val="0"/>
                <w:bCs w:val="0"/>
                <w:color w:val="000000"/>
                <w:kern w:val="2"/>
                <w:sz w:val="24"/>
                <w:szCs w:val="24"/>
                <w:lang w:val="en-US" w:eastAsia="zh-CN" w:bidi="ar-SA"/>
              </w:rPr>
              <w:t>，第（八）条规定的</w:t>
            </w:r>
            <w:r>
              <w:rPr>
                <w:rFonts w:hint="default" w:ascii="Times New Roman" w:hAnsi="Times New Roman" w:eastAsia="仿宋_GB2312" w:cs="Times New Roman"/>
                <w:color w:val="000000"/>
                <w:sz w:val="24"/>
                <w:szCs w:val="24"/>
                <w:highlight w:val="none"/>
                <w:vertAlign w:val="baseline"/>
                <w:lang w:val="en-US" w:eastAsia="zh-CN"/>
              </w:rPr>
              <w:t>人才实训基地。</w:t>
            </w:r>
          </w:p>
        </w:tc>
        <w:tc>
          <w:tcPr>
            <w:tcW w:w="806" w:type="dxa"/>
            <w:vMerge w:val="restart"/>
            <w:tcBorders>
              <w:top w:val="single" w:color="auto" w:sz="4" w:space="0"/>
              <w:left w:val="single" w:color="auto" w:sz="4" w:space="0"/>
              <w:right w:val="single" w:color="auto" w:sz="4" w:space="0"/>
            </w:tcBorders>
            <w:noWrap w:val="0"/>
            <w:vAlign w:val="center"/>
          </w:tcPr>
          <w:p w14:paraId="29BC3C7A">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奖励</w:t>
            </w:r>
          </w:p>
        </w:tc>
        <w:tc>
          <w:tcPr>
            <w:tcW w:w="1768" w:type="dxa"/>
            <w:vMerge w:val="restart"/>
            <w:tcBorders>
              <w:top w:val="single" w:color="auto" w:sz="4" w:space="0"/>
              <w:left w:val="single" w:color="auto" w:sz="4" w:space="0"/>
              <w:right w:val="single" w:color="auto" w:sz="4" w:space="0"/>
            </w:tcBorders>
            <w:noWrap w:val="0"/>
            <w:vAlign w:val="center"/>
          </w:tcPr>
          <w:p w14:paraId="43221378">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电子信息处</w:t>
            </w:r>
          </w:p>
          <w:p w14:paraId="4B50F3BC">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陈龙</w:t>
            </w:r>
          </w:p>
          <w:p w14:paraId="0D2C31C4">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0731-88955528</w:t>
            </w:r>
          </w:p>
        </w:tc>
      </w:tr>
      <w:tr w14:paraId="5FF32DEB">
        <w:tblPrEx>
          <w:tblCellMar>
            <w:top w:w="0" w:type="dxa"/>
            <w:left w:w="108" w:type="dxa"/>
            <w:bottom w:w="0" w:type="dxa"/>
            <w:right w:w="108" w:type="dxa"/>
          </w:tblCellMar>
        </w:tblPrEx>
        <w:trPr>
          <w:trHeight w:val="726" w:hRule="atLeast"/>
          <w:jc w:val="center"/>
        </w:trPr>
        <w:tc>
          <w:tcPr>
            <w:tcW w:w="1215" w:type="dxa"/>
            <w:vMerge w:val="continue"/>
            <w:tcBorders>
              <w:left w:val="single" w:color="auto" w:sz="4" w:space="0"/>
              <w:right w:val="single" w:color="auto" w:sz="4" w:space="0"/>
            </w:tcBorders>
            <w:noWrap w:val="0"/>
            <w:vAlign w:val="center"/>
          </w:tcPr>
          <w:p w14:paraId="58A6916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cs="Times New Roman"/>
                <w:color w:val="000000"/>
              </w:rPr>
            </w:pPr>
          </w:p>
        </w:tc>
        <w:tc>
          <w:tcPr>
            <w:tcW w:w="4836" w:type="dxa"/>
            <w:tcBorders>
              <w:top w:val="single" w:color="auto" w:sz="4" w:space="0"/>
              <w:left w:val="single" w:color="auto" w:sz="4" w:space="0"/>
              <w:bottom w:val="single" w:color="auto" w:sz="4" w:space="0"/>
              <w:right w:val="single" w:color="auto" w:sz="4" w:space="0"/>
            </w:tcBorders>
            <w:noWrap w:val="0"/>
            <w:vAlign w:val="center"/>
          </w:tcPr>
          <w:p w14:paraId="3BC40AAF">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vertAlign w:val="baseline"/>
                <w:lang w:val="en-US" w:eastAsia="zh-CN"/>
              </w:rPr>
              <w:t>2.</w:t>
            </w:r>
            <w:r>
              <w:rPr>
                <w:rFonts w:hint="default" w:ascii="Times New Roman" w:hAnsi="Times New Roman" w:eastAsia="仿宋_GB2312" w:cs="Times New Roman"/>
                <w:color w:val="000000"/>
                <w:sz w:val="24"/>
                <w:szCs w:val="24"/>
                <w:highlight w:val="none"/>
                <w:lang w:val="en-US" w:eastAsia="zh-CN"/>
              </w:rPr>
              <w:t>支持音视频领域</w:t>
            </w:r>
            <w:r>
              <w:rPr>
                <w:rFonts w:hint="default" w:ascii="Times New Roman" w:hAnsi="Times New Roman" w:eastAsia="仿宋_GB2312" w:cs="Times New Roman"/>
                <w:color w:val="000000"/>
                <w:sz w:val="24"/>
                <w:szCs w:val="24"/>
                <w:highlight w:val="none"/>
                <w:vertAlign w:val="baseline"/>
                <w:lang w:val="en-US" w:eastAsia="zh-CN"/>
              </w:rPr>
              <w:t>应用示范标杆</w:t>
            </w:r>
            <w:r>
              <w:rPr>
                <w:rFonts w:hint="default" w:ascii="Times New Roman" w:hAnsi="Times New Roman" w:eastAsia="仿宋_GB2312" w:cs="Times New Roman"/>
                <w:color w:val="000000"/>
                <w:sz w:val="24"/>
                <w:szCs w:val="24"/>
                <w:highlight w:val="none"/>
                <w:lang w:val="en-US" w:eastAsia="zh-CN"/>
              </w:rPr>
              <w:t>。</w:t>
            </w:r>
          </w:p>
        </w:tc>
        <w:tc>
          <w:tcPr>
            <w:tcW w:w="7052" w:type="dxa"/>
            <w:vMerge w:val="continue"/>
            <w:tcBorders>
              <w:left w:val="single" w:color="auto" w:sz="4" w:space="0"/>
              <w:right w:val="single" w:color="auto" w:sz="4" w:space="0"/>
            </w:tcBorders>
            <w:noWrap w:val="0"/>
            <w:vAlign w:val="center"/>
          </w:tcPr>
          <w:p w14:paraId="4B4C59F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sz w:val="24"/>
                <w:szCs w:val="24"/>
                <w:highlight w:val="none"/>
                <w:vertAlign w:val="baseline"/>
                <w:lang w:val="en-US" w:eastAsia="zh-CN"/>
              </w:rPr>
            </w:pPr>
          </w:p>
        </w:tc>
        <w:tc>
          <w:tcPr>
            <w:tcW w:w="806" w:type="dxa"/>
            <w:vMerge w:val="continue"/>
            <w:tcBorders>
              <w:left w:val="single" w:color="auto" w:sz="4" w:space="0"/>
              <w:right w:val="single" w:color="auto" w:sz="4" w:space="0"/>
            </w:tcBorders>
            <w:noWrap w:val="0"/>
            <w:vAlign w:val="center"/>
          </w:tcPr>
          <w:p w14:paraId="5A082E9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sz w:val="24"/>
                <w:szCs w:val="24"/>
                <w:highlight w:val="none"/>
                <w:vertAlign w:val="baseline"/>
                <w:lang w:val="en-US" w:eastAsia="zh-CN"/>
              </w:rPr>
            </w:pPr>
          </w:p>
        </w:tc>
        <w:tc>
          <w:tcPr>
            <w:tcW w:w="1768" w:type="dxa"/>
            <w:vMerge w:val="continue"/>
            <w:tcBorders>
              <w:left w:val="single" w:color="auto" w:sz="4" w:space="0"/>
              <w:right w:val="single" w:color="auto" w:sz="4" w:space="0"/>
            </w:tcBorders>
            <w:noWrap w:val="0"/>
            <w:vAlign w:val="center"/>
          </w:tcPr>
          <w:p w14:paraId="7AC7950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sz w:val="24"/>
                <w:szCs w:val="24"/>
                <w:highlight w:val="none"/>
                <w:vertAlign w:val="baseline"/>
                <w:lang w:val="en-US" w:eastAsia="zh-CN"/>
              </w:rPr>
            </w:pPr>
          </w:p>
        </w:tc>
      </w:tr>
      <w:tr w14:paraId="3735A4B4">
        <w:tblPrEx>
          <w:tblCellMar>
            <w:top w:w="0" w:type="dxa"/>
            <w:left w:w="108" w:type="dxa"/>
            <w:bottom w:w="0" w:type="dxa"/>
            <w:right w:w="108" w:type="dxa"/>
          </w:tblCellMar>
        </w:tblPrEx>
        <w:trPr>
          <w:trHeight w:val="726" w:hRule="atLeast"/>
          <w:jc w:val="center"/>
        </w:trPr>
        <w:tc>
          <w:tcPr>
            <w:tcW w:w="1215" w:type="dxa"/>
            <w:vMerge w:val="continue"/>
            <w:tcBorders>
              <w:left w:val="single" w:color="auto" w:sz="4" w:space="0"/>
              <w:right w:val="single" w:color="auto" w:sz="4" w:space="0"/>
            </w:tcBorders>
            <w:noWrap w:val="0"/>
            <w:vAlign w:val="center"/>
          </w:tcPr>
          <w:p w14:paraId="5097B82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Times New Roman"/>
                <w:color w:val="000000"/>
                <w:sz w:val="24"/>
                <w:szCs w:val="24"/>
                <w:highlight w:val="none"/>
                <w:vertAlign w:val="baseline"/>
                <w:lang w:val="en-US" w:eastAsia="zh-CN"/>
              </w:rPr>
            </w:pPr>
          </w:p>
        </w:tc>
        <w:tc>
          <w:tcPr>
            <w:tcW w:w="4836" w:type="dxa"/>
            <w:tcBorders>
              <w:top w:val="single" w:color="auto" w:sz="4" w:space="0"/>
              <w:left w:val="single" w:color="auto" w:sz="4" w:space="0"/>
              <w:bottom w:val="single" w:color="auto" w:sz="4" w:space="0"/>
              <w:right w:val="single" w:color="auto" w:sz="4" w:space="0"/>
            </w:tcBorders>
            <w:noWrap w:val="0"/>
            <w:vAlign w:val="center"/>
          </w:tcPr>
          <w:p w14:paraId="36A39E1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3.支持音视频领域开发者和创作者生态建设。</w:t>
            </w:r>
          </w:p>
        </w:tc>
        <w:tc>
          <w:tcPr>
            <w:tcW w:w="7052" w:type="dxa"/>
            <w:vMerge w:val="continue"/>
            <w:tcBorders>
              <w:left w:val="single" w:color="auto" w:sz="4" w:space="0"/>
              <w:right w:val="single" w:color="auto" w:sz="4" w:space="0"/>
            </w:tcBorders>
            <w:noWrap w:val="0"/>
            <w:vAlign w:val="center"/>
          </w:tcPr>
          <w:p w14:paraId="7E44D6A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sz w:val="24"/>
                <w:szCs w:val="24"/>
                <w:highlight w:val="none"/>
                <w:vertAlign w:val="baseline"/>
                <w:lang w:val="en-US" w:eastAsia="zh-CN"/>
              </w:rPr>
            </w:pPr>
          </w:p>
        </w:tc>
        <w:tc>
          <w:tcPr>
            <w:tcW w:w="806" w:type="dxa"/>
            <w:vMerge w:val="continue"/>
            <w:tcBorders>
              <w:left w:val="single" w:color="auto" w:sz="4" w:space="0"/>
              <w:right w:val="single" w:color="auto" w:sz="4" w:space="0"/>
            </w:tcBorders>
            <w:noWrap w:val="0"/>
            <w:vAlign w:val="center"/>
          </w:tcPr>
          <w:p w14:paraId="7D0A09E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sz w:val="24"/>
                <w:szCs w:val="24"/>
                <w:highlight w:val="none"/>
                <w:vertAlign w:val="baseline"/>
                <w:lang w:val="en-US" w:eastAsia="zh-CN"/>
              </w:rPr>
            </w:pPr>
          </w:p>
        </w:tc>
        <w:tc>
          <w:tcPr>
            <w:tcW w:w="1768" w:type="dxa"/>
            <w:vMerge w:val="continue"/>
            <w:tcBorders>
              <w:left w:val="single" w:color="auto" w:sz="4" w:space="0"/>
              <w:right w:val="single" w:color="auto" w:sz="4" w:space="0"/>
            </w:tcBorders>
            <w:noWrap w:val="0"/>
            <w:vAlign w:val="center"/>
          </w:tcPr>
          <w:p w14:paraId="4E24510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sz w:val="24"/>
                <w:szCs w:val="24"/>
                <w:highlight w:val="none"/>
                <w:vertAlign w:val="baseline"/>
                <w:lang w:val="en-US" w:eastAsia="zh-CN"/>
              </w:rPr>
            </w:pPr>
          </w:p>
        </w:tc>
      </w:tr>
      <w:tr w14:paraId="386A232A">
        <w:tblPrEx>
          <w:tblCellMar>
            <w:top w:w="0" w:type="dxa"/>
            <w:left w:w="108" w:type="dxa"/>
            <w:bottom w:w="0" w:type="dxa"/>
            <w:right w:w="108" w:type="dxa"/>
          </w:tblCellMar>
        </w:tblPrEx>
        <w:trPr>
          <w:trHeight w:val="726"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548A613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Times New Roman"/>
                <w:color w:val="000000"/>
                <w:sz w:val="24"/>
                <w:szCs w:val="24"/>
                <w:highlight w:val="none"/>
                <w:vertAlign w:val="baseline"/>
                <w:lang w:val="en-US" w:eastAsia="zh-CN"/>
              </w:rPr>
            </w:pP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8ECEEF5">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vertAlign w:val="baseline"/>
                <w:lang w:val="en-US" w:eastAsia="zh-CN"/>
              </w:rPr>
              <w:t>4.支持音视频领域人才实训基地。</w:t>
            </w:r>
          </w:p>
        </w:tc>
        <w:tc>
          <w:tcPr>
            <w:tcW w:w="7052" w:type="dxa"/>
            <w:vMerge w:val="continue"/>
            <w:tcBorders>
              <w:top w:val="single" w:color="auto" w:sz="4" w:space="0"/>
              <w:left w:val="single" w:color="auto" w:sz="4" w:space="0"/>
              <w:bottom w:val="single" w:color="auto" w:sz="4" w:space="0"/>
              <w:right w:val="single" w:color="auto" w:sz="4" w:space="0"/>
            </w:tcBorders>
            <w:noWrap w:val="0"/>
            <w:vAlign w:val="center"/>
          </w:tcPr>
          <w:p w14:paraId="4CB0414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sz w:val="24"/>
                <w:szCs w:val="24"/>
                <w:highlight w:val="none"/>
                <w:vertAlign w:val="baseline"/>
                <w:lang w:val="en-US" w:eastAsia="zh-CN"/>
              </w:rPr>
            </w:pPr>
          </w:p>
        </w:tc>
        <w:tc>
          <w:tcPr>
            <w:tcW w:w="806" w:type="dxa"/>
            <w:vMerge w:val="continue"/>
            <w:tcBorders>
              <w:top w:val="single" w:color="auto" w:sz="4" w:space="0"/>
              <w:left w:val="single" w:color="auto" w:sz="4" w:space="0"/>
              <w:bottom w:val="single" w:color="auto" w:sz="4" w:space="0"/>
              <w:right w:val="single" w:color="auto" w:sz="4" w:space="0"/>
            </w:tcBorders>
            <w:noWrap w:val="0"/>
            <w:vAlign w:val="center"/>
          </w:tcPr>
          <w:p w14:paraId="0149985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sz w:val="24"/>
                <w:szCs w:val="24"/>
                <w:highlight w:val="none"/>
                <w:vertAlign w:val="baseline"/>
                <w:lang w:val="en-US" w:eastAsia="zh-CN"/>
              </w:rPr>
            </w:pPr>
          </w:p>
        </w:tc>
        <w:tc>
          <w:tcPr>
            <w:tcW w:w="1768" w:type="dxa"/>
            <w:vMerge w:val="continue"/>
            <w:tcBorders>
              <w:top w:val="single" w:color="auto" w:sz="4" w:space="0"/>
              <w:left w:val="single" w:color="auto" w:sz="4" w:space="0"/>
              <w:bottom w:val="single" w:color="auto" w:sz="4" w:space="0"/>
              <w:right w:val="single" w:color="auto" w:sz="4" w:space="0"/>
            </w:tcBorders>
            <w:noWrap w:val="0"/>
            <w:vAlign w:val="center"/>
          </w:tcPr>
          <w:p w14:paraId="68D252C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sz w:val="24"/>
                <w:szCs w:val="24"/>
                <w:highlight w:val="none"/>
                <w:vertAlign w:val="baseline"/>
                <w:lang w:val="en-US" w:eastAsia="zh-CN"/>
              </w:rPr>
            </w:pPr>
          </w:p>
        </w:tc>
      </w:tr>
      <w:tr w14:paraId="470962D5">
        <w:tblPrEx>
          <w:tblCellMar>
            <w:top w:w="0" w:type="dxa"/>
            <w:left w:w="108" w:type="dxa"/>
            <w:bottom w:w="0" w:type="dxa"/>
            <w:right w:w="108" w:type="dxa"/>
          </w:tblCellMar>
        </w:tblPrEx>
        <w:trPr>
          <w:trHeight w:val="2451" w:hRule="atLeast"/>
          <w:jc w:val="center"/>
        </w:trPr>
        <w:tc>
          <w:tcPr>
            <w:tcW w:w="1215" w:type="dxa"/>
            <w:tcBorders>
              <w:top w:val="single" w:color="auto" w:sz="4" w:space="0"/>
              <w:left w:val="single" w:color="auto" w:sz="4" w:space="0"/>
              <w:bottom w:val="single" w:color="auto" w:sz="4" w:space="0"/>
              <w:right w:val="single" w:color="auto" w:sz="4" w:space="0"/>
            </w:tcBorders>
            <w:noWrap w:val="0"/>
            <w:vAlign w:val="center"/>
          </w:tcPr>
          <w:p w14:paraId="20096679">
            <w:pPr>
              <w:keepNext w:val="0"/>
              <w:keepLines w:val="0"/>
              <w:pageBreakBefore w:val="0"/>
              <w:widowControl/>
              <w:numPr>
                <w:ilvl w:val="0"/>
                <w:numId w:val="0"/>
              </w:numPr>
              <w:kinsoku/>
              <w:wordWrap/>
              <w:overflowPunct/>
              <w:topLinePunct w:val="0"/>
              <w:autoSpaceDE/>
              <w:autoSpaceDN/>
              <w:bidi w:val="0"/>
              <w:adjustRightInd/>
              <w:spacing w:line="320" w:lineRule="exact"/>
              <w:jc w:val="left"/>
              <w:rPr>
                <w:rFonts w:hint="default" w:ascii="Times New Roman" w:hAnsi="Times New Roman" w:eastAsia="黑体" w:cs="Times New Roman"/>
                <w:color w:val="000000"/>
                <w:sz w:val="24"/>
                <w:szCs w:val="24"/>
              </w:rPr>
            </w:pPr>
            <w:r>
              <w:rPr>
                <w:rFonts w:hint="eastAsia" w:ascii="Times New Roman" w:hAnsi="Times New Roman" w:eastAsia="黑体" w:cs="Times New Roman"/>
                <w:color w:val="000000"/>
                <w:kern w:val="0"/>
                <w:sz w:val="24"/>
                <w:szCs w:val="24"/>
                <w:lang w:eastAsia="zh-CN"/>
              </w:rPr>
              <w:t>十</w:t>
            </w:r>
            <w:r>
              <w:rPr>
                <w:rFonts w:hint="default" w:ascii="Times New Roman" w:hAnsi="Times New Roman" w:eastAsia="黑体" w:cs="Times New Roman"/>
                <w:color w:val="000000"/>
                <w:kern w:val="0"/>
                <w:sz w:val="24"/>
                <w:szCs w:val="24"/>
                <w:lang w:eastAsia="zh-CN"/>
              </w:rPr>
              <w:t>、县域新型工业化试点</w:t>
            </w:r>
          </w:p>
        </w:tc>
        <w:tc>
          <w:tcPr>
            <w:tcW w:w="11888" w:type="dxa"/>
            <w:gridSpan w:val="2"/>
            <w:tcBorders>
              <w:top w:val="single" w:color="auto" w:sz="4" w:space="0"/>
              <w:left w:val="single" w:color="auto" w:sz="4" w:space="0"/>
              <w:bottom w:val="single" w:color="auto" w:sz="4" w:space="0"/>
              <w:right w:val="single" w:color="auto" w:sz="4" w:space="0"/>
            </w:tcBorders>
            <w:noWrap w:val="0"/>
            <w:vAlign w:val="center"/>
          </w:tcPr>
          <w:p w14:paraId="699C21D3">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具体申报条件及要求另行通知。</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3BB095D5">
            <w:pPr>
              <w:keepNext w:val="0"/>
              <w:keepLines w:val="0"/>
              <w:pageBreakBefore w:val="0"/>
              <w:widowControl/>
              <w:kinsoku/>
              <w:wordWrap/>
              <w:overflowPunct/>
              <w:topLinePunct w:val="0"/>
              <w:autoSpaceDE/>
              <w:autoSpaceDN/>
              <w:bidi w:val="0"/>
              <w:adjustRightInd/>
              <w:spacing w:line="320" w:lineRule="exact"/>
              <w:jc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奖励</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4A739CAA">
            <w:pPr>
              <w:keepNext w:val="0"/>
              <w:keepLines w:val="0"/>
              <w:pageBreakBefore w:val="0"/>
              <w:kinsoku/>
              <w:wordWrap/>
              <w:overflowPunct/>
              <w:topLinePunct w:val="0"/>
              <w:autoSpaceDE/>
              <w:autoSpaceDN/>
              <w:bidi w:val="0"/>
              <w:adjustRightInd/>
              <w:spacing w:line="32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投资规划处</w:t>
            </w:r>
          </w:p>
          <w:p w14:paraId="72CB0BC0">
            <w:pPr>
              <w:keepNext w:val="0"/>
              <w:keepLines w:val="0"/>
              <w:pageBreakBefore w:val="0"/>
              <w:kinsoku/>
              <w:wordWrap/>
              <w:overflowPunct/>
              <w:topLinePunct w:val="0"/>
              <w:autoSpaceDE/>
              <w:autoSpaceDN/>
              <w:bidi w:val="0"/>
              <w:adjustRightInd/>
              <w:spacing w:line="320" w:lineRule="exact"/>
              <w:jc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highlight w:val="none"/>
                <w:lang w:eastAsia="zh-CN"/>
              </w:rPr>
              <w:t>彭鼎</w:t>
            </w:r>
            <w:r>
              <w:rPr>
                <w:rFonts w:hint="default" w:ascii="Times New Roman" w:hAnsi="Times New Roman" w:eastAsia="仿宋_GB2312" w:cs="Times New Roman"/>
                <w:color w:val="000000"/>
                <w:sz w:val="24"/>
                <w:szCs w:val="24"/>
              </w:rPr>
              <w:t>0731-88955</w:t>
            </w:r>
            <w:r>
              <w:rPr>
                <w:rFonts w:hint="default" w:ascii="Times New Roman" w:hAnsi="Times New Roman" w:eastAsia="仿宋_GB2312" w:cs="Times New Roman"/>
                <w:color w:val="000000"/>
                <w:sz w:val="24"/>
                <w:szCs w:val="24"/>
                <w:lang w:val="en-US" w:eastAsia="zh-CN"/>
              </w:rPr>
              <w:t>499</w:t>
            </w:r>
          </w:p>
          <w:p w14:paraId="79392595">
            <w:pPr>
              <w:keepNext w:val="0"/>
              <w:keepLines w:val="0"/>
              <w:pageBreakBefore w:val="0"/>
              <w:kinsoku/>
              <w:wordWrap/>
              <w:overflowPunct/>
              <w:topLinePunct w:val="0"/>
              <w:autoSpaceDE/>
              <w:autoSpaceDN/>
              <w:bidi w:val="0"/>
              <w:adjustRightInd/>
              <w:spacing w:line="320" w:lineRule="exact"/>
              <w:jc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中小企业发展促进处</w:t>
            </w:r>
          </w:p>
          <w:p w14:paraId="2B45C59B">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李季</w:t>
            </w:r>
          </w:p>
          <w:p w14:paraId="5FB51E5A">
            <w:pPr>
              <w:keepNext w:val="0"/>
              <w:keepLines w:val="0"/>
              <w:pageBreakBefore w:val="0"/>
              <w:kinsoku/>
              <w:wordWrap/>
              <w:overflowPunct/>
              <w:topLinePunct w:val="0"/>
              <w:autoSpaceDE/>
              <w:autoSpaceDN/>
              <w:bidi w:val="0"/>
              <w:adjustRightInd/>
              <w:spacing w:line="320" w:lineRule="exact"/>
              <w:jc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0731-8895542</w:t>
            </w:r>
          </w:p>
        </w:tc>
      </w:tr>
    </w:tbl>
    <w:p w14:paraId="1D126B68">
      <w:pPr>
        <w:rPr>
          <w:rFonts w:hint="default" w:ascii="Times New Roman" w:hAnsi="Times New Roman" w:eastAsia="黑体" w:cs="Times New Roman"/>
          <w:color w:val="000000"/>
          <w:sz w:val="28"/>
          <w:szCs w:val="28"/>
        </w:rPr>
        <w:sectPr>
          <w:pgSz w:w="16838" w:h="11906" w:orient="landscape"/>
          <w:pgMar w:top="1247" w:right="1247" w:bottom="1247" w:left="1247" w:header="964" w:footer="964" w:gutter="0"/>
          <w:pgNumType w:fmt="numberInDash"/>
          <w:cols w:space="720" w:num="1"/>
          <w:titlePg/>
          <w:docGrid w:type="lines" w:linePitch="312" w:charSpace="0"/>
        </w:sectPr>
      </w:pPr>
    </w:p>
    <w:p w14:paraId="34F74A7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简体">
    <w:altName w:val="方正黑体_GBK"/>
    <w:panose1 w:val="02010601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7B202A98"/>
    <w:rsid w:val="7B202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index 5"/>
    <w:basedOn w:val="1"/>
    <w:next w:val="1"/>
    <w:qFormat/>
    <w:uiPriority w:val="99"/>
    <w:pPr>
      <w:ind w:left="1680"/>
    </w:pPr>
  </w:style>
  <w:style w:type="paragraph" w:styleId="3">
    <w:name w:val="footer"/>
    <w:basedOn w:val="1"/>
    <w:next w:val="2"/>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2026-05-15T10:57:00Z</dcterms:created>
  <dc:creator>杨祖德</dc:creator>
  <cp:lastModifiedBy>杨祖德</cp:lastModifiedBy>
  <dcterms:modified xsi:type="dcterms:W3CDTF">2026-05-15T10:57:28Z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01438382B3D147C28B866565562B998A_11</vt:lpwstr>
  </property>
</Properties>
</file>