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21CE">
      <w:pPr>
        <w:snapToGrid w:val="0"/>
        <w:spacing w:line="480" w:lineRule="exact"/>
        <w:rPr>
          <w:rFonts w:hint="eastAsia" w:ascii="方正黑体_GBK" w:hAnsi="方正黑体_GBK" w:eastAsia="方正黑体_GBK" w:cs="方正黑体_GBK"/>
          <w:sz w:val="34"/>
          <w:szCs w:val="34"/>
          <w:lang w:val="en-US"/>
        </w:rPr>
      </w:pPr>
      <w:r>
        <w:rPr>
          <w:rFonts w:hint="eastAsia" w:ascii="方正黑体_GBK" w:hAnsi="方正黑体_GBK" w:eastAsia="方正黑体_GBK" w:cs="方正黑体_GBK"/>
          <w:sz w:val="34"/>
          <w:szCs w:val="34"/>
          <w:lang w:eastAsia="zh-CN"/>
        </w:rPr>
        <w:t>附件</w:t>
      </w:r>
      <w:r>
        <w:rPr>
          <w:rFonts w:hint="eastAsia" w:ascii="宋体" w:hAnsi="宋体" w:eastAsia="方正黑体_GBK" w:cs="方正黑体_GBK"/>
          <w:sz w:val="34"/>
          <w:szCs w:val="34"/>
          <w:lang w:val="en-US" w:eastAsia="zh-CN"/>
        </w:rPr>
        <w:t>3</w:t>
      </w:r>
    </w:p>
    <w:p w14:paraId="7E116386">
      <w:pPr>
        <w:snapToGrid w:val="0"/>
        <w:spacing w:line="480" w:lineRule="exact"/>
        <w:ind w:firstLine="720" w:firstLineChars="225"/>
        <w:rPr>
          <w:rFonts w:hint="eastAsia" w:ascii="仿宋_GB2312"/>
        </w:rPr>
      </w:pPr>
    </w:p>
    <w:p w14:paraId="6257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省（区、市）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年“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·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19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中国旅游日”惠民活动汇总表</w:t>
      </w:r>
    </w:p>
    <w:p w14:paraId="2444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8"/>
        <w:gridCol w:w="2674"/>
        <w:gridCol w:w="2163"/>
      </w:tblGrid>
      <w:tr w14:paraId="1944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center"/>
          </w:tcPr>
          <w:p w14:paraId="037E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类别</w:t>
            </w:r>
          </w:p>
        </w:tc>
        <w:tc>
          <w:tcPr>
            <w:tcW w:w="2674" w:type="dxa"/>
            <w:noWrap w:val="0"/>
            <w:vAlign w:val="center"/>
          </w:tcPr>
          <w:p w14:paraId="2501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具体措施</w:t>
            </w:r>
          </w:p>
        </w:tc>
        <w:tc>
          <w:tcPr>
            <w:tcW w:w="2163" w:type="dxa"/>
            <w:noWrap w:val="0"/>
            <w:vAlign w:val="center"/>
          </w:tcPr>
          <w:p w14:paraId="6DDA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数量（条</w:t>
            </w: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val="en-US" w:eastAsia="zh-CN"/>
              </w:rPr>
              <w:t>/项</w:t>
            </w: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）</w:t>
            </w:r>
          </w:p>
        </w:tc>
      </w:tr>
      <w:tr w14:paraId="51FD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top"/>
          </w:tcPr>
          <w:p w14:paraId="0201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发放文化和旅游消费券</w:t>
            </w:r>
          </w:p>
        </w:tc>
        <w:tc>
          <w:tcPr>
            <w:tcW w:w="2674" w:type="dxa"/>
            <w:noWrap w:val="0"/>
            <w:vAlign w:val="top"/>
          </w:tcPr>
          <w:p w14:paraId="48CE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</w:rPr>
            </w:pPr>
          </w:p>
        </w:tc>
        <w:tc>
          <w:tcPr>
            <w:tcW w:w="2163" w:type="dxa"/>
            <w:noWrap w:val="0"/>
            <w:vAlign w:val="top"/>
          </w:tcPr>
          <w:p w14:paraId="5388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  <w:tr w14:paraId="053E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top"/>
          </w:tcPr>
          <w:p w14:paraId="78E5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文化和旅游企业推出的优惠措施</w:t>
            </w:r>
          </w:p>
        </w:tc>
        <w:tc>
          <w:tcPr>
            <w:tcW w:w="2674" w:type="dxa"/>
            <w:noWrap w:val="0"/>
            <w:vAlign w:val="top"/>
          </w:tcPr>
          <w:p w14:paraId="6918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</w:rPr>
            </w:pPr>
          </w:p>
        </w:tc>
        <w:tc>
          <w:tcPr>
            <w:tcW w:w="2163" w:type="dxa"/>
            <w:noWrap w:val="0"/>
            <w:vAlign w:val="top"/>
          </w:tcPr>
          <w:p w14:paraId="29F7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  <w:tr w14:paraId="0333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top"/>
          </w:tcPr>
          <w:p w14:paraId="2EDA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线上平台开展的优惠活动（</w:t>
            </w:r>
            <w:r>
              <w:rPr>
                <w:rFonts w:hint="eastAsia" w:ascii="宋体" w:hAnsi="宋体" w:eastAsia="方正仿宋_GBK" w:cs="方正仿宋_GBK"/>
                <w:sz w:val="34"/>
                <w:szCs w:val="34"/>
                <w:vertAlign w:val="baseline"/>
                <w:lang w:val="en-US" w:eastAsia="zh-CN"/>
              </w:rPr>
              <w:t>OTA</w:t>
            </w: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val="en-US" w:eastAsia="zh-CN"/>
              </w:rPr>
              <w:t>、金融平台、电商平台等</w:t>
            </w: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）</w:t>
            </w:r>
          </w:p>
        </w:tc>
        <w:tc>
          <w:tcPr>
            <w:tcW w:w="2674" w:type="dxa"/>
            <w:noWrap w:val="0"/>
            <w:vAlign w:val="top"/>
          </w:tcPr>
          <w:p w14:paraId="4692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</w:rPr>
            </w:pPr>
          </w:p>
        </w:tc>
        <w:tc>
          <w:tcPr>
            <w:tcW w:w="2163" w:type="dxa"/>
            <w:noWrap w:val="0"/>
            <w:vAlign w:val="top"/>
          </w:tcPr>
          <w:p w14:paraId="3B74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  <w:tr w14:paraId="11E5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top"/>
          </w:tcPr>
          <w:p w14:paraId="4B25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公益性文艺演出、公共文化场馆扩大开放等惠民措施</w:t>
            </w:r>
          </w:p>
        </w:tc>
        <w:tc>
          <w:tcPr>
            <w:tcW w:w="2674" w:type="dxa"/>
            <w:noWrap w:val="0"/>
            <w:vAlign w:val="top"/>
          </w:tcPr>
          <w:p w14:paraId="6D0E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</w:rPr>
            </w:pPr>
          </w:p>
        </w:tc>
        <w:tc>
          <w:tcPr>
            <w:tcW w:w="2163" w:type="dxa"/>
            <w:noWrap w:val="0"/>
            <w:vAlign w:val="top"/>
          </w:tcPr>
          <w:p w14:paraId="5FAC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  <w:tr w14:paraId="61E1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8" w:type="dxa"/>
            <w:noWrap w:val="0"/>
            <w:vAlign w:val="top"/>
          </w:tcPr>
          <w:p w14:paraId="1A83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其他惠民措施</w:t>
            </w:r>
          </w:p>
        </w:tc>
        <w:tc>
          <w:tcPr>
            <w:tcW w:w="2674" w:type="dxa"/>
            <w:noWrap w:val="0"/>
            <w:vAlign w:val="top"/>
          </w:tcPr>
          <w:p w14:paraId="2220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</w:rPr>
            </w:pPr>
          </w:p>
        </w:tc>
        <w:tc>
          <w:tcPr>
            <w:tcW w:w="2163" w:type="dxa"/>
            <w:noWrap w:val="0"/>
            <w:vAlign w:val="top"/>
          </w:tcPr>
          <w:p w14:paraId="16E6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  <w:tr w14:paraId="67ED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2" w:type="dxa"/>
            <w:gridSpan w:val="2"/>
            <w:noWrap w:val="0"/>
            <w:vAlign w:val="top"/>
          </w:tcPr>
          <w:p w14:paraId="09A0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4"/>
                <w:szCs w:val="34"/>
                <w:vertAlign w:val="baseline"/>
                <w:lang w:eastAsia="zh-CN"/>
              </w:rPr>
              <w:t>合计</w:t>
            </w:r>
          </w:p>
        </w:tc>
        <w:tc>
          <w:tcPr>
            <w:tcW w:w="2163" w:type="dxa"/>
            <w:noWrap w:val="0"/>
            <w:vAlign w:val="top"/>
          </w:tcPr>
          <w:p w14:paraId="31C0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vertAlign w:val="baseline"/>
              </w:rPr>
            </w:pPr>
          </w:p>
        </w:tc>
      </w:tr>
    </w:tbl>
    <w:p w14:paraId="7C9BF2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1E30"/>
    <w:rsid w:val="528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uiPriority w:val="0"/>
    <w:pPr>
      <w:spacing w:after="120"/>
    </w:pPr>
    <w:rPr>
      <w:rFonts w:eastAsia="宋体"/>
      <w:color w:val="auto"/>
      <w:sz w:val="21"/>
      <w:szCs w:val="24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2026-04-10T09:10:00Z</dcterms:created>
  <dc:creator>艾米尔_马</dc:creator>
  <cp:lastModifiedBy>艾米尔_马</cp:lastModifiedBy>
  <dcterms:modified xsi:type="dcterms:W3CDTF">2026-04-10T09:10:39Z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42D1D8583FBE4876AD88CFB1580CBA0F_11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