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72D19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Regular" w:hAnsi="Times New Roman Regular" w:eastAsia="方正小标宋简体" w:cs="Times New Roman Regular"/>
          <w:b w:val="0"/>
          <w:bCs w:val="0"/>
          <w:sz w:val="44"/>
          <w:szCs w:val="44"/>
        </w:rPr>
      </w:pPr>
    </w:p>
    <w:p w14:paraId="193F1A0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Regular" w:hAnsi="Times New Roman Regular" w:eastAsia="方正小标宋简体" w:cs="Times New Roman Regular"/>
          <w:b w:val="0"/>
          <w:bCs w:val="0"/>
          <w:sz w:val="44"/>
          <w:szCs w:val="44"/>
        </w:rPr>
      </w:pPr>
    </w:p>
    <w:p w14:paraId="3C978D4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Regular" w:hAnsi="Times New Roman Regular" w:eastAsia="方正小标宋简体" w:cs="Times New Roman Regular"/>
          <w:b w:val="0"/>
          <w:bCs w:val="0"/>
          <w:spacing w:val="-11"/>
          <w:sz w:val="44"/>
          <w:szCs w:val="44"/>
        </w:rPr>
      </w:pPr>
      <w:r>
        <w:rPr>
          <w:rFonts w:hint="default" w:ascii="Times New Roman Regular" w:hAnsi="Times New Roman Regular" w:eastAsia="方正小标宋简体" w:cs="Times New Roman Regular"/>
          <w:b w:val="0"/>
          <w:bCs w:val="0"/>
          <w:spacing w:val="-11"/>
          <w:sz w:val="44"/>
          <w:szCs w:val="44"/>
        </w:rPr>
        <w:t>湖南省数据局</w:t>
      </w:r>
    </w:p>
    <w:p w14:paraId="5C5DB63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Regular" w:hAnsi="Times New Roman Regular" w:eastAsia="方正小标宋简体" w:cs="Times New Roman Regular"/>
          <w:b w:val="0"/>
          <w:bCs w:val="0"/>
          <w:spacing w:val="-11"/>
          <w:sz w:val="44"/>
          <w:szCs w:val="44"/>
        </w:rPr>
      </w:pPr>
      <w:r>
        <w:rPr>
          <w:rFonts w:hint="default" w:ascii="Times New Roman Regular" w:hAnsi="Times New Roman Regular" w:eastAsia="方正小标宋简体" w:cs="Times New Roman Regular"/>
          <w:b w:val="0"/>
          <w:bCs w:val="0"/>
          <w:spacing w:val="-11"/>
          <w:sz w:val="44"/>
          <w:szCs w:val="44"/>
        </w:rPr>
        <w:t>关于202</w:t>
      </w:r>
      <w:r>
        <w:rPr>
          <w:rFonts w:hint="default" w:ascii="Times New Roman Regular" w:hAnsi="Times New Roman Regular" w:eastAsia="方正小标宋简体" w:cs="Times New Roman Regular"/>
          <w:b w:val="0"/>
          <w:bCs w:val="0"/>
          <w:spacing w:val="-11"/>
          <w:sz w:val="44"/>
          <w:szCs w:val="44"/>
          <w:lang w:val="en-US" w:eastAsia="zh-CN"/>
        </w:rPr>
        <w:t>6</w:t>
      </w:r>
      <w:r>
        <w:rPr>
          <w:rFonts w:hint="default" w:ascii="Times New Roman Regular" w:hAnsi="Times New Roman Regular" w:eastAsia="方正小标宋简体" w:cs="Times New Roman Regular"/>
          <w:b w:val="0"/>
          <w:bCs w:val="0"/>
          <w:spacing w:val="-11"/>
          <w:sz w:val="44"/>
          <w:szCs w:val="44"/>
        </w:rPr>
        <w:t>年</w:t>
      </w:r>
      <w:r>
        <w:rPr>
          <w:rFonts w:hint="default" w:ascii="Times New Roman Regular" w:hAnsi="Times New Roman Regular" w:eastAsia="方正小标宋简体" w:cs="Times New Roman Regular"/>
          <w:b w:val="0"/>
          <w:bCs w:val="0"/>
          <w:spacing w:val="-11"/>
          <w:sz w:val="44"/>
          <w:szCs w:val="44"/>
          <w:lang w:eastAsia="zh-CN"/>
        </w:rPr>
        <w:t>“</w:t>
      </w:r>
      <w:r>
        <w:rPr>
          <w:rFonts w:hint="default" w:ascii="Times New Roman Regular" w:hAnsi="Times New Roman Regular" w:eastAsia="方正小标宋简体" w:cs="Times New Roman Regular"/>
          <w:b w:val="0"/>
          <w:bCs w:val="0"/>
          <w:spacing w:val="-11"/>
          <w:sz w:val="44"/>
          <w:szCs w:val="44"/>
        </w:rPr>
        <w:t>数据要素×</w:t>
      </w:r>
      <w:r>
        <w:rPr>
          <w:rFonts w:hint="default" w:ascii="Times New Roman Regular" w:hAnsi="Times New Roman Regular" w:eastAsia="方正小标宋简体" w:cs="Times New Roman Regular"/>
          <w:b w:val="0"/>
          <w:bCs w:val="0"/>
          <w:spacing w:val="-11"/>
          <w:sz w:val="44"/>
          <w:szCs w:val="44"/>
          <w:lang w:eastAsia="zh-CN"/>
        </w:rPr>
        <w:t>”</w:t>
      </w:r>
      <w:r>
        <w:rPr>
          <w:rFonts w:hint="default" w:ascii="Times New Roman Regular" w:hAnsi="Times New Roman Regular" w:eastAsia="方正小标宋简体" w:cs="Times New Roman Regular"/>
          <w:b w:val="0"/>
          <w:bCs w:val="0"/>
          <w:spacing w:val="-11"/>
          <w:sz w:val="44"/>
          <w:szCs w:val="44"/>
        </w:rPr>
        <w:t>大赛湖南分赛获奖</w:t>
      </w:r>
    </w:p>
    <w:p w14:paraId="1374411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Regular" w:hAnsi="Times New Roman Regular" w:eastAsia="方正小标宋简体" w:cs="Times New Roman Regular"/>
          <w:b w:val="0"/>
          <w:bCs w:val="0"/>
          <w:sz w:val="44"/>
          <w:szCs w:val="44"/>
        </w:rPr>
      </w:pPr>
      <w:r>
        <w:rPr>
          <w:rFonts w:hint="default" w:ascii="Times New Roman Regular" w:hAnsi="Times New Roman Regular" w:eastAsia="方正小标宋简体" w:cs="Times New Roman Regular"/>
          <w:b w:val="0"/>
          <w:bCs w:val="0"/>
          <w:spacing w:val="-11"/>
          <w:sz w:val="44"/>
          <w:szCs w:val="44"/>
        </w:rPr>
        <w:t>项目名单的公示</w:t>
      </w:r>
    </w:p>
    <w:p w14:paraId="5ED525A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Regular" w:hAnsi="Times New Roman Regular" w:eastAsia="方正小标宋简体" w:cs="Times New Roman Regular"/>
          <w:b w:val="0"/>
          <w:bCs w:val="0"/>
          <w:sz w:val="44"/>
          <w:szCs w:val="44"/>
        </w:rPr>
      </w:pPr>
    </w:p>
    <w:p w14:paraId="4E4A86F6">
      <w:pPr>
        <w:widowControl/>
        <w:spacing w:line="560" w:lineRule="exact"/>
        <w:ind w:firstLine="616" w:firstLineChars="200"/>
        <w:jc w:val="both"/>
        <w:rPr>
          <w:rFonts w:hint="default" w:ascii="Times New Roman" w:hAnsi="Times New Roman" w:eastAsia="仿宋_GB2312" w:cs="Times New Roman"/>
          <w:spacing w:val="-6"/>
          <w:sz w:val="32"/>
          <w:szCs w:val="32"/>
          <w:lang w:val="en-US" w:eastAsia="zh-CN"/>
        </w:rPr>
      </w:pPr>
      <w:r>
        <w:rPr>
          <w:rFonts w:hint="default" w:ascii="Times New Roman" w:hAnsi="Times New Roman" w:eastAsia="仿宋_GB2312" w:cs="Times New Roman"/>
          <w:spacing w:val="-6"/>
          <w:sz w:val="32"/>
          <w:szCs w:val="32"/>
          <w:lang w:val="en-US" w:eastAsia="zh-CN"/>
        </w:rPr>
        <w:t>根据《湖南省数据局关于举办2026年“数据要素×”大赛湖南分赛的通知》（湘数据〔2026〕49号）及《2026年“数据要素×”大赛湖南分赛决赛评审工作方案》相关安排，经市州、省直单位及相关主体初赛和省级决赛书面评审、首轮路演及复评路演等环节，形成湖南分赛获奖项目名单（详见附件）。现将获奖项目名单予以公示，公示时间为2026年8月21日至8月27日。如有异议，请于8月27日前实名反馈至湖南分赛组委会办公室，并提供相应的佐证材料和联系方式，逾期不予受理。</w:t>
      </w:r>
    </w:p>
    <w:p w14:paraId="64E4AF75">
      <w:pPr>
        <w:widowControl/>
        <w:spacing w:line="560" w:lineRule="exact"/>
        <w:ind w:firstLine="616" w:firstLineChars="200"/>
        <w:jc w:val="both"/>
        <w:rPr>
          <w:rFonts w:hint="default" w:ascii="Times New Roman" w:hAnsi="Times New Roman" w:eastAsia="仿宋_GB2312" w:cs="Times New Roman"/>
          <w:spacing w:val="-6"/>
          <w:sz w:val="32"/>
          <w:szCs w:val="32"/>
          <w:lang w:val="en-US" w:eastAsia="zh-CN"/>
        </w:rPr>
      </w:pPr>
    </w:p>
    <w:p w14:paraId="5BFDC169">
      <w:pPr>
        <w:widowControl/>
        <w:spacing w:line="560" w:lineRule="exact"/>
        <w:ind w:firstLine="616" w:firstLineChars="200"/>
        <w:jc w:val="both"/>
        <w:rPr>
          <w:rFonts w:hint="default" w:ascii="Times New Roman" w:hAnsi="Times New Roman" w:eastAsia="仿宋_GB2312" w:cs="Times New Roman"/>
          <w:spacing w:val="-6"/>
          <w:sz w:val="32"/>
          <w:szCs w:val="32"/>
          <w:lang w:val="en-US" w:eastAsia="zh-CN"/>
        </w:rPr>
      </w:pPr>
      <w:r>
        <w:rPr>
          <w:rFonts w:hint="default" w:ascii="Times New Roman" w:hAnsi="Times New Roman" w:eastAsia="仿宋_GB2312" w:cs="Times New Roman"/>
          <w:spacing w:val="-6"/>
          <w:sz w:val="32"/>
          <w:szCs w:val="32"/>
          <w:lang w:val="en-US" w:eastAsia="zh-CN"/>
        </w:rPr>
        <w:t>附件：2026年“数据要素×”大赛湖南分赛获奖项目名单</w:t>
      </w:r>
    </w:p>
    <w:p w14:paraId="7B34AD15">
      <w:pPr>
        <w:widowControl/>
        <w:spacing w:line="560" w:lineRule="exact"/>
        <w:ind w:firstLine="616" w:firstLineChars="200"/>
        <w:jc w:val="both"/>
        <w:rPr>
          <w:rFonts w:hint="default" w:ascii="Times New Roman" w:hAnsi="Times New Roman" w:eastAsia="仿宋_GB2312" w:cs="Times New Roman"/>
          <w:spacing w:val="-6"/>
          <w:sz w:val="32"/>
          <w:szCs w:val="32"/>
        </w:rPr>
      </w:pPr>
    </w:p>
    <w:p w14:paraId="299CCDB8">
      <w:pPr>
        <w:keepNext w:val="0"/>
        <w:keepLines w:val="0"/>
        <w:pageBreakBefore w:val="0"/>
        <w:widowControl w:val="0"/>
        <w:kinsoku/>
        <w:wordWrap w:val="0"/>
        <w:overflowPunct/>
        <w:topLinePunct w:val="0"/>
        <w:autoSpaceDE/>
        <w:autoSpaceDN/>
        <w:bidi w:val="0"/>
        <w:adjustRightInd/>
        <w:snapToGrid/>
        <w:spacing w:line="560" w:lineRule="exact"/>
        <w:ind w:left="1380" w:leftChars="200" w:hanging="960" w:hangingChars="300"/>
        <w:jc w:val="right"/>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 xml:space="preserve">  湖南省数据局        </w:t>
      </w:r>
    </w:p>
    <w:p w14:paraId="3D74927E">
      <w:pPr>
        <w:keepNext w:val="0"/>
        <w:keepLines w:val="0"/>
        <w:pageBreakBefore w:val="0"/>
        <w:widowControl w:val="0"/>
        <w:kinsoku/>
        <w:wordWrap/>
        <w:overflowPunct/>
        <w:topLinePunct w:val="0"/>
        <w:autoSpaceDE/>
        <w:autoSpaceDN/>
        <w:bidi w:val="0"/>
        <w:adjustRightInd/>
        <w:snapToGrid/>
        <w:spacing w:line="560" w:lineRule="exact"/>
        <w:ind w:left="1380" w:leftChars="200" w:hanging="960" w:hangingChars="300"/>
        <w:jc w:val="center"/>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 xml:space="preserve">                         2026年8月2</w:t>
      </w:r>
      <w:r>
        <w:rPr>
          <w:rFonts w:hint="eastAsia" w:ascii="Times New Roman" w:hAnsi="Times New Roman" w:eastAsia="仿宋_GB2312" w:cs="Times New Roman"/>
          <w:sz w:val="32"/>
          <w:lang w:val="en-US" w:eastAsia="zh-CN"/>
        </w:rPr>
        <w:t>1</w:t>
      </w:r>
      <w:r>
        <w:rPr>
          <w:rFonts w:hint="default" w:ascii="Times New Roman" w:hAnsi="Times New Roman" w:eastAsia="仿宋_GB2312" w:cs="Times New Roman"/>
          <w:sz w:val="32"/>
          <w:lang w:val="en-US" w:eastAsia="zh-CN"/>
        </w:rPr>
        <w:t xml:space="preserve">日  </w:t>
      </w:r>
    </w:p>
    <w:p w14:paraId="2923CAD3">
      <w:pPr>
        <w:jc w:val="right"/>
        <w:rPr>
          <w:rFonts w:hint="default" w:ascii="Times New Roman" w:hAnsi="Times New Roman" w:eastAsia="仿宋_GB2312" w:cs="Times New Roman"/>
          <w:sz w:val="32"/>
        </w:rPr>
      </w:pPr>
    </w:p>
    <w:p w14:paraId="5F98DF1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（联系人：</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陈鲲</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sz w:val="32"/>
        </w:rPr>
        <w:t>0731-89990646</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sz w:val="32"/>
        </w:rPr>
        <w:t>hnssjj2026@163.com</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p>
    <w:p w14:paraId="25AB9958">
      <w:pPr>
        <w:jc w:val="right"/>
        <w:rPr>
          <w:rFonts w:hint="default" w:ascii="Times New Roman Regular" w:hAnsi="Times New Roman Regular" w:eastAsia="仿宋_GB2312" w:cs="Times New Roman Regular"/>
          <w:sz w:val="32"/>
        </w:rPr>
      </w:pPr>
    </w:p>
    <w:p w14:paraId="53410B52">
      <w:pPr>
        <w:jc w:val="right"/>
        <w:rPr>
          <w:rFonts w:hint="default" w:ascii="Times New Roman Regular" w:hAnsi="Times New Roman Regular" w:eastAsia="仿宋_GB2312" w:cs="Times New Roman Regular"/>
          <w:sz w:val="32"/>
        </w:rPr>
        <w:sectPr>
          <w:pgSz w:w="11906" w:h="16838"/>
          <w:pgMar w:top="2098" w:right="1474" w:bottom="1984" w:left="1587" w:header="851" w:footer="992" w:gutter="0"/>
          <w:cols w:space="425" w:num="1"/>
          <w:docGrid w:type="lines" w:linePitch="312" w:charSpace="0"/>
        </w:sectPr>
      </w:pPr>
    </w:p>
    <w:p w14:paraId="6D23AC33">
      <w:pPr>
        <w:rPr>
          <w:rFonts w:hint="default" w:ascii="Times New Roman Regular" w:hAnsi="Times New Roman Regular" w:eastAsia="黑体" w:cs="Times New Roman Regular"/>
          <w:sz w:val="36"/>
          <w:szCs w:val="44"/>
          <w:lang w:val="en-US" w:eastAsia="zh-CN"/>
        </w:rPr>
      </w:pPr>
      <w:r>
        <w:rPr>
          <w:rFonts w:hint="default" w:ascii="Times New Roman Regular" w:hAnsi="Times New Roman Regular" w:eastAsia="黑体" w:cs="Times New Roman Regular"/>
          <w:sz w:val="36"/>
          <w:szCs w:val="44"/>
          <w:lang w:val="en-US" w:eastAsia="zh-CN"/>
        </w:rPr>
        <w:t>附件</w:t>
      </w:r>
    </w:p>
    <w:p w14:paraId="652054A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Regular" w:hAnsi="Times New Roman Regular" w:eastAsia="黑体" w:cs="Times New Roman Regular"/>
          <w:sz w:val="36"/>
          <w:szCs w:val="44"/>
          <w:lang w:val="en-US" w:eastAsia="zh-CN"/>
        </w:rPr>
      </w:pPr>
      <w:r>
        <w:rPr>
          <w:rFonts w:hint="default" w:ascii="Times New Roman Regular" w:hAnsi="Times New Roman Regular" w:eastAsia="方正小标宋简体" w:cs="Times New Roman Regular"/>
          <w:b w:val="0"/>
          <w:bCs w:val="0"/>
          <w:sz w:val="44"/>
          <w:szCs w:val="36"/>
        </w:rPr>
        <w:t>202</w:t>
      </w:r>
      <w:r>
        <w:rPr>
          <w:rFonts w:hint="default" w:ascii="Times New Roman Regular" w:hAnsi="Times New Roman Regular" w:eastAsia="方正小标宋简体" w:cs="Times New Roman Regular"/>
          <w:b w:val="0"/>
          <w:bCs w:val="0"/>
          <w:sz w:val="44"/>
          <w:szCs w:val="36"/>
          <w:lang w:val="en-US" w:eastAsia="zh-CN"/>
        </w:rPr>
        <w:t>6</w:t>
      </w:r>
      <w:r>
        <w:rPr>
          <w:rFonts w:hint="default" w:ascii="Times New Roman Regular" w:hAnsi="Times New Roman Regular" w:eastAsia="方正小标宋简体" w:cs="Times New Roman Regular"/>
          <w:b w:val="0"/>
          <w:bCs w:val="0"/>
          <w:sz w:val="44"/>
          <w:szCs w:val="36"/>
        </w:rPr>
        <w:t>年“数据要素×”大赛湖南分赛</w:t>
      </w:r>
      <w:r>
        <w:rPr>
          <w:rFonts w:hint="default" w:ascii="Times New Roman Regular" w:hAnsi="Times New Roman Regular" w:eastAsia="方正小标宋简体" w:cs="Times New Roman Regular"/>
          <w:b w:val="0"/>
          <w:bCs w:val="0"/>
          <w:sz w:val="44"/>
          <w:szCs w:val="36"/>
          <w:lang w:val="en-US" w:eastAsia="zh-CN"/>
        </w:rPr>
        <w:t>获奖项目名单</w:t>
      </w:r>
    </w:p>
    <w:tbl>
      <w:tblPr>
        <w:tblStyle w:val="5"/>
        <w:tblpPr w:leftFromText="180" w:rightFromText="180" w:vertAnchor="text" w:horzAnchor="page" w:tblpX="2538" w:tblpY="357"/>
        <w:tblOverlap w:val="never"/>
        <w:tblW w:w="1198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09"/>
        <w:gridCol w:w="9124"/>
        <w:gridCol w:w="1550"/>
      </w:tblGrid>
      <w:tr w14:paraId="455D9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blHeader/>
        </w:trPr>
        <w:tc>
          <w:tcPr>
            <w:tcW w:w="1309" w:type="dxa"/>
            <w:tcBorders>
              <w:top w:val="single" w:color="000000" w:sz="4" w:space="0"/>
              <w:left w:val="single" w:color="000000" w:sz="4" w:space="0"/>
              <w:bottom w:val="single" w:color="auto" w:sz="4" w:space="0"/>
              <w:right w:val="single" w:color="000000" w:sz="4" w:space="0"/>
            </w:tcBorders>
            <w:noWrap/>
            <w:vAlign w:val="center"/>
          </w:tcPr>
          <w:p w14:paraId="191DFC2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黑体" w:cs="Times New Roman Regular"/>
                <w:b w:val="0"/>
                <w:bCs w:val="0"/>
                <w:i w:val="0"/>
                <w:iCs w:val="0"/>
                <w:color w:val="000000" w:themeColor="text1"/>
                <w:sz w:val="28"/>
                <w:szCs w:val="28"/>
                <w:highlight w:val="none"/>
                <w:u w:val="none"/>
                <w14:textFill>
                  <w14:solidFill>
                    <w14:schemeClr w14:val="tx1"/>
                  </w14:solidFill>
                </w14:textFill>
              </w:rPr>
            </w:pPr>
            <w:r>
              <w:rPr>
                <w:rFonts w:hint="default" w:ascii="Times New Roman Regular" w:hAnsi="Times New Roman Regular" w:eastAsia="黑体" w:cs="Times New Roman Regular"/>
                <w:b w:val="0"/>
                <w:bCs w:val="0"/>
                <w:i w:val="0"/>
                <w:iCs w:val="0"/>
                <w:snapToGrid w:val="0"/>
                <w:color w:val="000000" w:themeColor="text1"/>
                <w:kern w:val="0"/>
                <w:sz w:val="28"/>
                <w:szCs w:val="28"/>
                <w:highlight w:val="none"/>
                <w:u w:val="none"/>
                <w:lang w:val="en-US" w:eastAsia="zh-CN"/>
                <w14:textFill>
                  <w14:solidFill>
                    <w14:schemeClr w14:val="tx1"/>
                  </w14:solidFill>
                </w14:textFill>
              </w:rPr>
              <w:t>序号</w:t>
            </w:r>
          </w:p>
        </w:tc>
        <w:tc>
          <w:tcPr>
            <w:tcW w:w="9124" w:type="dxa"/>
            <w:tcBorders>
              <w:top w:val="single" w:color="000000" w:sz="4" w:space="0"/>
              <w:left w:val="single" w:color="000000" w:sz="4" w:space="0"/>
              <w:bottom w:val="single" w:color="auto" w:sz="4" w:space="0"/>
              <w:right w:val="single" w:color="000000" w:sz="4" w:space="0"/>
            </w:tcBorders>
            <w:noWrap/>
            <w:vAlign w:val="center"/>
          </w:tcPr>
          <w:p w14:paraId="368351F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黑体" w:cs="Times New Roman Regular"/>
                <w:b w:val="0"/>
                <w:bCs w:val="0"/>
                <w:i w:val="0"/>
                <w:iCs w:val="0"/>
                <w:color w:val="000000" w:themeColor="text1"/>
                <w:sz w:val="28"/>
                <w:szCs w:val="28"/>
                <w:highlight w:val="none"/>
                <w:u w:val="none"/>
                <w14:textFill>
                  <w14:solidFill>
                    <w14:schemeClr w14:val="tx1"/>
                  </w14:solidFill>
                </w14:textFill>
              </w:rPr>
            </w:pPr>
            <w:r>
              <w:rPr>
                <w:rFonts w:hint="default" w:ascii="Times New Roman Regular" w:hAnsi="Times New Roman Regular" w:eastAsia="黑体" w:cs="Times New Roman Regular"/>
                <w:b w:val="0"/>
                <w:bCs w:val="0"/>
                <w:i w:val="0"/>
                <w:iCs w:val="0"/>
                <w:snapToGrid w:val="0"/>
                <w:color w:val="000000" w:themeColor="text1"/>
                <w:kern w:val="0"/>
                <w:sz w:val="28"/>
                <w:szCs w:val="28"/>
                <w:highlight w:val="none"/>
                <w:u w:val="none"/>
                <w:lang w:val="en-US" w:eastAsia="zh-CN"/>
                <w14:textFill>
                  <w14:solidFill>
                    <w14:schemeClr w14:val="tx1"/>
                  </w14:solidFill>
                </w14:textFill>
              </w:rPr>
              <w:t>项目名称</w:t>
            </w:r>
          </w:p>
        </w:tc>
        <w:tc>
          <w:tcPr>
            <w:tcW w:w="1550" w:type="dxa"/>
            <w:tcBorders>
              <w:top w:val="single" w:color="000000" w:sz="4" w:space="0"/>
              <w:left w:val="single" w:color="000000" w:sz="4" w:space="0"/>
              <w:bottom w:val="single" w:color="auto" w:sz="4" w:space="0"/>
              <w:right w:val="single" w:color="000000" w:sz="4" w:space="0"/>
            </w:tcBorders>
            <w:noWrap/>
            <w:vAlign w:val="center"/>
          </w:tcPr>
          <w:p w14:paraId="046D39D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黑体" w:cs="Times New Roman Regular"/>
                <w:b w:val="0"/>
                <w:bCs w:val="0"/>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黑体" w:cs="Times New Roman Regular"/>
                <w:b w:val="0"/>
                <w:bCs w:val="0"/>
                <w:i w:val="0"/>
                <w:iCs w:val="0"/>
                <w:snapToGrid w:val="0"/>
                <w:color w:val="000000" w:themeColor="text1"/>
                <w:kern w:val="0"/>
                <w:sz w:val="28"/>
                <w:szCs w:val="28"/>
                <w:highlight w:val="none"/>
                <w:u w:val="none"/>
                <w:lang w:val="en-US" w:eastAsia="zh-CN"/>
                <w14:textFill>
                  <w14:solidFill>
                    <w14:schemeClr w14:val="tx1"/>
                  </w14:solidFill>
                </w14:textFill>
              </w:rPr>
              <w:t>奖项</w:t>
            </w:r>
          </w:p>
        </w:tc>
      </w:tr>
      <w:tr w14:paraId="7B426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1983" w:type="dxa"/>
            <w:gridSpan w:val="3"/>
            <w:tcBorders>
              <w:top w:val="single" w:color="auto" w:sz="4" w:space="0"/>
              <w:left w:val="single" w:color="auto" w:sz="4" w:space="0"/>
              <w:bottom w:val="single" w:color="auto" w:sz="4" w:space="0"/>
              <w:right w:val="single" w:color="auto" w:sz="4" w:space="0"/>
            </w:tcBorders>
            <w:noWrap/>
            <w:vAlign w:val="center"/>
          </w:tcPr>
          <w:p w14:paraId="2D6EA9F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b/>
                <w:bCs/>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b/>
                <w:bCs/>
                <w:i w:val="0"/>
                <w:iCs w:val="0"/>
                <w:snapToGrid w:val="0"/>
                <w:color w:val="000000" w:themeColor="text1"/>
                <w:kern w:val="0"/>
                <w:sz w:val="28"/>
                <w:szCs w:val="28"/>
                <w:highlight w:val="none"/>
                <w:u w:val="none"/>
                <w:lang w:val="en-US" w:eastAsia="zh-CN"/>
                <w14:textFill>
                  <w14:solidFill>
                    <w14:schemeClr w14:val="tx1"/>
                  </w14:solidFill>
                </w14:textFill>
              </w:rPr>
              <w:t>一、数据要素×工业制造</w:t>
            </w:r>
          </w:p>
        </w:tc>
      </w:tr>
      <w:tr w14:paraId="353AA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auto" w:sz="4" w:space="0"/>
              <w:left w:val="single" w:color="000000" w:sz="4" w:space="0"/>
              <w:bottom w:val="single" w:color="000000" w:sz="4" w:space="0"/>
              <w:right w:val="single" w:color="000000" w:sz="4" w:space="0"/>
            </w:tcBorders>
            <w:noWrap/>
            <w:vAlign w:val="center"/>
          </w:tcPr>
          <w:p w14:paraId="1A45431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1</w:t>
            </w:r>
          </w:p>
        </w:tc>
        <w:tc>
          <w:tcPr>
            <w:tcW w:w="9124" w:type="dxa"/>
            <w:tcBorders>
              <w:top w:val="single" w:color="auto" w:sz="4" w:space="0"/>
              <w:left w:val="single" w:color="000000" w:sz="4" w:space="0"/>
              <w:bottom w:val="single" w:color="000000" w:sz="4" w:space="0"/>
              <w:right w:val="single" w:color="000000" w:sz="4" w:space="0"/>
            </w:tcBorders>
            <w:noWrap/>
            <w:vAlign w:val="center"/>
          </w:tcPr>
          <w:p w14:paraId="475AE6F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隧道设计—施工—装备全链路数据融合的掘进机AI大模型</w:t>
            </w:r>
          </w:p>
        </w:tc>
        <w:tc>
          <w:tcPr>
            <w:tcW w:w="1550" w:type="dxa"/>
            <w:tcBorders>
              <w:top w:val="single" w:color="auto" w:sz="4" w:space="0"/>
              <w:left w:val="single" w:color="000000" w:sz="4" w:space="0"/>
              <w:bottom w:val="single" w:color="000000" w:sz="4" w:space="0"/>
              <w:right w:val="single" w:color="000000" w:sz="4" w:space="0"/>
            </w:tcBorders>
            <w:noWrap/>
            <w:vAlign w:val="center"/>
          </w:tcPr>
          <w:p w14:paraId="0558FB9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一等奖</w:t>
            </w:r>
          </w:p>
        </w:tc>
      </w:tr>
      <w:tr w14:paraId="3DBB5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2989A1D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2</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5504D59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三域融合·数据飞轮：轨道交通装备研运培一体化协同平台及行业赋能实践</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4A8C8EC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一等奖</w:t>
            </w:r>
          </w:p>
        </w:tc>
      </w:tr>
      <w:tr w14:paraId="488B8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3F2DC75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3</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521C3C42">
            <w:pPr>
              <w:keepNext w:val="0"/>
              <w:keepLines w:val="0"/>
              <w:pageBreakBefore w:val="0"/>
              <w:widowControl/>
              <w:suppressLineNumbers w:val="0"/>
              <w:tabs>
                <w:tab w:val="left" w:pos="658"/>
              </w:tabs>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“模数共振”驱动的“电力心脏”升级</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1E5E917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一等奖</w:t>
            </w:r>
          </w:p>
        </w:tc>
      </w:tr>
      <w:tr w14:paraId="481E4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6F9C5B1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4</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7F7D8BF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多源工业数据融合驱动的汽车零部件工厂运营智能体平台</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5FE5F38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2B9CD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0C085ED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5</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DBB1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数据驱动·分区分质——石灰石矿山智能配矿与资源高效利用方案</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6AFAD34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7782B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34F24E5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6</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4052B1D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商用车全链条数据要素创新应用与产业价值落地</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20ED631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0761F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3F19BA0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7</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64C63FC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产学研用数据融合驱动的特高压输变电成套装备焊接具身机器人系统</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423A73F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40E6F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1F58A10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8</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FA8A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多维数据驱动的具身智能焊接机器人系统</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F94B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25E79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0706F9A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9</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E1B73">
            <w:pPr>
              <w:keepNext w:val="0"/>
              <w:keepLines w:val="0"/>
              <w:pageBreakBefore w:val="0"/>
              <w:widowControl/>
              <w:suppressLineNumbers w:val="0"/>
              <w:tabs>
                <w:tab w:val="left" w:pos="3321"/>
              </w:tabs>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i w:val="0"/>
                <w:iCs w:val="0"/>
                <w:snapToGrid w:val="0"/>
                <w:color w:val="000000" w:themeColor="text1"/>
                <w:kern w:val="0"/>
                <w:sz w:val="28"/>
                <w:szCs w:val="28"/>
                <w:highlight w:val="none"/>
                <w:u w:val="none"/>
                <w:lang w:val="en-US" w:eastAsia="zh-CN"/>
                <w14:textFill>
                  <w14:solidFill>
                    <w14:schemeClr w14:val="tx1"/>
                  </w14:solidFill>
                </w14:textFill>
              </w:rPr>
              <w:t>基于大模型的电子制造数据要素分析智能体系统</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6554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44FF1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3915E72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10</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A443A">
            <w:pPr>
              <w:keepNext w:val="0"/>
              <w:keepLines w:val="0"/>
              <w:pageBreakBefore w:val="0"/>
              <w:widowControl/>
              <w:suppressLineNumbers w:val="0"/>
              <w:tabs>
                <w:tab w:val="left" w:pos="3321"/>
              </w:tabs>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i w:val="0"/>
                <w:iCs w:val="0"/>
                <w:snapToGrid w:val="0"/>
                <w:color w:val="000000" w:themeColor="text1"/>
                <w:kern w:val="0"/>
                <w:sz w:val="28"/>
                <w:szCs w:val="28"/>
                <w:highlight w:val="none"/>
                <w:u w:val="none"/>
                <w:lang w:val="en-US" w:eastAsia="zh-CN"/>
                <w14:textFill>
                  <w14:solidFill>
                    <w14:schemeClr w14:val="tx1"/>
                  </w14:solidFill>
                </w14:textFill>
              </w:rPr>
              <w:t>基于数据要素驱动矿山运输行业的综合性赋能平台</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9828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59298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514EEC0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11</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F68F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基于真实世界4D多模态融合数据的工业具身智能赋能应用项目</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1224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5BBF5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1983" w:type="dxa"/>
            <w:gridSpan w:val="3"/>
            <w:tcBorders>
              <w:top w:val="single" w:color="000000" w:sz="4" w:space="0"/>
              <w:left w:val="single" w:color="000000" w:sz="4" w:space="0"/>
              <w:bottom w:val="single" w:color="000000" w:sz="4" w:space="0"/>
              <w:right w:val="single" w:color="000000" w:sz="4" w:space="0"/>
            </w:tcBorders>
            <w:noWrap/>
            <w:vAlign w:val="center"/>
          </w:tcPr>
          <w:p w14:paraId="4CDAAF6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b/>
                <w:bCs/>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b/>
                <w:bCs/>
                <w:i w:val="0"/>
                <w:iCs w:val="0"/>
                <w:snapToGrid w:val="0"/>
                <w:color w:val="000000" w:themeColor="text1"/>
                <w:kern w:val="0"/>
                <w:sz w:val="28"/>
                <w:szCs w:val="28"/>
                <w:highlight w:val="none"/>
                <w:u w:val="none"/>
                <w:lang w:val="en-US" w:eastAsia="zh-CN"/>
                <w14:textFill>
                  <w14:solidFill>
                    <w14:schemeClr w14:val="tx1"/>
                  </w14:solidFill>
                </w14:textFill>
              </w:rPr>
              <w:t>二、数据要素×现代农业</w:t>
            </w:r>
          </w:p>
        </w:tc>
      </w:tr>
      <w:tr w14:paraId="7F174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0C8AB8E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1</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16F9371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守牢粮袋子 鼓起钱袋子：数据要素赋能粮烟融合发展与惠农增收</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0EE5DBA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一等奖</w:t>
            </w:r>
          </w:p>
        </w:tc>
      </w:tr>
      <w:tr w14:paraId="735F1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6D38E6E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2</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1EF13B6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地中有数·以数构图——农地数据要素全链条创新实践</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67683C7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一等奖</w:t>
            </w:r>
          </w:p>
        </w:tc>
      </w:tr>
      <w:tr w14:paraId="1D490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121A9C5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3</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6958DB6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数耘沃土・智护丰年 —— 多源数据驱动水稻智慧植保一体化创新应用</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368CD73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一等奖</w:t>
            </w:r>
          </w:p>
        </w:tc>
      </w:tr>
      <w:tr w14:paraId="1BCCD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7711603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4</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55DEAAD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耕地智护・全链溯源—南县稻虾品牌数字化监管与品质提升项目</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74C7CE1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31AC7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2260C4A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5</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B22A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数据驱动的生态有机高值水稻新范式——从“生态调控”精准管护到</w:t>
            </w:r>
          </w:p>
          <w:p w14:paraId="4209C31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“天下稻源”IP价值互信共创</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EF7A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7C39B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7568EFA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6</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54E6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守护田脉：数据要素市场化背景下的高标准农田长效管护与创新农险应用</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8615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6081C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1789AE0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7</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45C7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渔链智脑——现代渔业全产业链数据赋能平台</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5125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3AAE1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5D736F9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8</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9F81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“天眼定水·智灌农田”——天空地遥感数据要素驱动南方灌区水资源</w:t>
            </w:r>
          </w:p>
          <w:p w14:paraId="230DCB5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精准调度与市场化配置</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819B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17947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6556B2E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9</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D3E9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数链铸信·地标兴农——构建全链路可信数据体系化解农产品食品安全与仿冒困境</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F196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4D762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3998C73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10</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83E7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华智擎农农业AI中台——释放数据要素，赋能智慧农场</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2D69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73CD1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1983" w:type="dxa"/>
            <w:gridSpan w:val="3"/>
            <w:tcBorders>
              <w:top w:val="single" w:color="000000" w:sz="4" w:space="0"/>
              <w:left w:val="single" w:color="000000" w:sz="4" w:space="0"/>
              <w:bottom w:val="single" w:color="000000" w:sz="4" w:space="0"/>
              <w:right w:val="single" w:color="000000" w:sz="4" w:space="0"/>
            </w:tcBorders>
            <w:noWrap/>
            <w:vAlign w:val="center"/>
          </w:tcPr>
          <w:p w14:paraId="5342499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b/>
                <w:bCs/>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b/>
                <w:bCs/>
                <w:i w:val="0"/>
                <w:iCs w:val="0"/>
                <w:snapToGrid w:val="0"/>
                <w:color w:val="000000" w:themeColor="text1"/>
                <w:kern w:val="0"/>
                <w:sz w:val="28"/>
                <w:szCs w:val="28"/>
                <w:highlight w:val="none"/>
                <w:u w:val="none"/>
                <w:lang w:val="en-US" w:eastAsia="zh-CN"/>
                <w14:textFill>
                  <w14:solidFill>
                    <w14:schemeClr w14:val="tx1"/>
                  </w14:solidFill>
                </w14:textFill>
              </w:rPr>
              <w:t>三、数据要素×商贸流通</w:t>
            </w:r>
          </w:p>
        </w:tc>
      </w:tr>
      <w:tr w14:paraId="35B65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3FE504F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1</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70D663B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打造数字小店，服务民生大局——数据要素驱动实体零售普惠转型的湖南实践</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6EE0713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一等奖</w:t>
            </w:r>
          </w:p>
        </w:tc>
      </w:tr>
      <w:tr w14:paraId="3FDB2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009B9B8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2</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58DFABB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数据驱动的工程机械后市场租赁流通产业互联网平台</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4D3264F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一等奖</w:t>
            </w:r>
          </w:p>
        </w:tc>
      </w:tr>
      <w:tr w14:paraId="18D12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5044DE4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3</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14A5EE9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融数据·链场景·焕消费：从车用尿素自助加注到“1+3+X”货车司机</w:t>
            </w:r>
          </w:p>
          <w:p w14:paraId="0BACDFB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新型消费业态链式构建</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7EDC084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4BFFB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1F1C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bidi="ar-SA"/>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bidi="ar-SA"/>
                <w14:textFill>
                  <w14:solidFill>
                    <w14:schemeClr w14:val="tx1"/>
                  </w14:solidFill>
                </w14:textFill>
              </w:rPr>
              <w:t>4</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EE67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bidi="ar-SA"/>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基于亿级真实路采数据的末端无人配送大模型智能体平台-赋能商贸流通智慧物流降本增效</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3D5E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bidi="ar-SA"/>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729BF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1AA172C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5</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B561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湖南省跨境贸易综合服务平台</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CCEF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02E57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4D0D0CC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6</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BED1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数智文印· 打造中国现代文印产业数据赋能平台</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28C3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66143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537FFA2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7</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B164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多源数据协同驱动新时代智慧财税治理与跨行业精准监管体系构建</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AA7A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45B66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0FFF3CB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8</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E6B5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“数”上花开：基于多源数据与多模态AI的小微零售经营智能化</w:t>
            </w:r>
          </w:p>
          <w:p w14:paraId="4DC8076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赋能平台</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4A1C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3C654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341D017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9</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9BF2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南岳一码游</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D3A2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27940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3738C98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10</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76A9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怀化—东盟跨境市场智慧大脑与企业出海数据服务平台</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5CB3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6A4F1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1983" w:type="dxa"/>
            <w:gridSpan w:val="3"/>
            <w:tcBorders>
              <w:top w:val="single" w:color="000000" w:sz="4" w:space="0"/>
              <w:left w:val="single" w:color="000000" w:sz="4" w:space="0"/>
              <w:bottom w:val="single" w:color="000000" w:sz="4" w:space="0"/>
              <w:right w:val="single" w:color="000000" w:sz="4" w:space="0"/>
            </w:tcBorders>
            <w:noWrap/>
            <w:vAlign w:val="center"/>
          </w:tcPr>
          <w:p w14:paraId="024D4B3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b/>
                <w:bCs/>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b/>
                <w:bCs/>
                <w:i w:val="0"/>
                <w:iCs w:val="0"/>
                <w:snapToGrid w:val="0"/>
                <w:color w:val="000000" w:themeColor="text1"/>
                <w:kern w:val="0"/>
                <w:sz w:val="28"/>
                <w:szCs w:val="28"/>
                <w:highlight w:val="none"/>
                <w:u w:val="none"/>
                <w:lang w:val="en-US" w:eastAsia="zh-CN"/>
                <w14:textFill>
                  <w14:solidFill>
                    <w14:schemeClr w14:val="tx1"/>
                  </w14:solidFill>
                </w14:textFill>
              </w:rPr>
              <w:t>四、数据要素×交通运输</w:t>
            </w:r>
          </w:p>
        </w:tc>
      </w:tr>
      <w:tr w14:paraId="1F08A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1EE909B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1</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5A83ECB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“三湘畅行”- 数据驱动的高速公路一站式出行服务体系</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162E9E8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一等奖</w:t>
            </w:r>
          </w:p>
        </w:tc>
      </w:tr>
      <w:tr w14:paraId="335B2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2EAAEA8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2</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6D1A82C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“乘数而上·智运潇湘”－－  “港航闸仓货船车铁”八位一体打造</w:t>
            </w:r>
          </w:p>
          <w:p w14:paraId="753EEAA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数联物流新模式</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74A6C9B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一等奖</w:t>
            </w:r>
          </w:p>
        </w:tc>
      </w:tr>
      <w:tr w14:paraId="09958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01BD7D3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3</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532BD7D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数智低空·全域协同——低空物流数智化协同平台</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2B92D0F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一等奖</w:t>
            </w:r>
          </w:p>
        </w:tc>
      </w:tr>
      <w:tr w14:paraId="727A3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1F3F50A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4</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093F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中国典型交通事故数据要素集赋能自动驾驶安全发展</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3014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01BB9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0FD7CD9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5</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D22A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智慧交管二期——基于时空数据融合的交通信号协同优化</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57A5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002BC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3EA3B12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6</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44DD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“数驱畅联、通衢未来”-基于全息路网的高速公路运营服务体系</w:t>
            </w:r>
          </w:p>
          <w:p w14:paraId="4A8B4F5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数据要素应用</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43DA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76E82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1A83A09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7</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A506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数筑安途：高速公路建设期多源数据要素融合</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4B18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1D45A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363A948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8</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AF9C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多源数据融合驱动文明样板航道服务再升级</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BBDC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760CB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2B69C24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9</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184B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北斗云尚巴士出行服务平台</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895F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48511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2FEA686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10</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235B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数智护航交通强国——高质量多模态数据集赋能轨道交通安全运维</w:t>
            </w:r>
          </w:p>
          <w:p w14:paraId="2E9C5EB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大模型与智能体示范应用</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7445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3BC85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1983" w:type="dxa"/>
            <w:gridSpan w:val="3"/>
            <w:tcBorders>
              <w:top w:val="single" w:color="000000" w:sz="4" w:space="0"/>
              <w:left w:val="single" w:color="000000" w:sz="4" w:space="0"/>
              <w:bottom w:val="single" w:color="000000" w:sz="4" w:space="0"/>
              <w:right w:val="single" w:color="000000" w:sz="4" w:space="0"/>
            </w:tcBorders>
            <w:noWrap/>
            <w:vAlign w:val="center"/>
          </w:tcPr>
          <w:p w14:paraId="7B418FA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b/>
                <w:bCs/>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b/>
                <w:bCs/>
                <w:i w:val="0"/>
                <w:iCs w:val="0"/>
                <w:snapToGrid w:val="0"/>
                <w:color w:val="000000" w:themeColor="text1"/>
                <w:kern w:val="0"/>
                <w:sz w:val="28"/>
                <w:szCs w:val="28"/>
                <w:highlight w:val="none"/>
                <w:u w:val="none"/>
                <w:lang w:val="en-US" w:eastAsia="zh-CN"/>
                <w14:textFill>
                  <w14:solidFill>
                    <w14:schemeClr w14:val="tx1"/>
                  </w14:solidFill>
                </w14:textFill>
              </w:rPr>
              <w:t>五、数据要素×金融服务</w:t>
            </w:r>
          </w:p>
        </w:tc>
      </w:tr>
      <w:tr w14:paraId="1EB1D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0EF804F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1</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221237F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数聚湘信·智惠企融 ——公共信用数据激活小微融资新生态</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520D277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一等奖</w:t>
            </w:r>
          </w:p>
        </w:tc>
      </w:tr>
      <w:tr w14:paraId="19FD0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45DFFE4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2</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77E0873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工程智信——全国首个工程领域数据服务先行实践</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78BFC02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1BAD9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5F51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bidi="ar-SA"/>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bidi="ar-SA"/>
                <w14:textFill>
                  <w14:solidFill>
                    <w14:schemeClr w14:val="tx1"/>
                  </w14:solidFill>
                </w14:textFill>
              </w:rPr>
              <w:t>3</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99DA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bidi="ar-SA"/>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交湘工信易贷——数智赋能，精准滴灌</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B12B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bidi="ar-SA"/>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09500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32788CE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4</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6130241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多源政务数据与银行数据融合驱动的普惠金融数智风控体系</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1798D40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69501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52A7166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5</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F015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基于电力大数据的企业经营状况评估与精准服务应用</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D8BB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00DFA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553B4E9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6</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EFA5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政银企联·幸福万家：公共数据赋能园区科创企业与社区便民服务的</w:t>
            </w:r>
          </w:p>
          <w:p w14:paraId="175D60E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探索实践</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8B4E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69C03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62FECC0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7</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C4AE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数智化运营风险防控体系</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2DB3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48A64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38A86A5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8</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047E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以数增信：政策性担保线上纯信用服务创新实践</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4A99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54F16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078A244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9</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25CC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全密态现金流通数据中台及安全应用</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3A60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5AA43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222BD2C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10</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90C5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融合隐私计算、联邦图学习与区块链的智能风控数据协同方案</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DF2C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71109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1983" w:type="dxa"/>
            <w:gridSpan w:val="3"/>
            <w:tcBorders>
              <w:top w:val="single" w:color="000000" w:sz="4" w:space="0"/>
              <w:left w:val="single" w:color="000000" w:sz="4" w:space="0"/>
              <w:bottom w:val="single" w:color="000000" w:sz="4" w:space="0"/>
              <w:right w:val="single" w:color="000000" w:sz="4" w:space="0"/>
            </w:tcBorders>
            <w:noWrap/>
            <w:vAlign w:val="center"/>
          </w:tcPr>
          <w:p w14:paraId="0053C58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b/>
                <w:bCs/>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b/>
                <w:bCs/>
                <w:i w:val="0"/>
                <w:iCs w:val="0"/>
                <w:snapToGrid w:val="0"/>
                <w:color w:val="000000" w:themeColor="text1"/>
                <w:kern w:val="0"/>
                <w:sz w:val="28"/>
                <w:szCs w:val="28"/>
                <w:highlight w:val="none"/>
                <w:u w:val="none"/>
                <w:lang w:val="en-US" w:eastAsia="zh-CN"/>
                <w14:textFill>
                  <w14:solidFill>
                    <w14:schemeClr w14:val="tx1"/>
                  </w14:solidFill>
                </w14:textFill>
              </w:rPr>
              <w:t>六、数据要素×科技创新</w:t>
            </w:r>
          </w:p>
        </w:tc>
      </w:tr>
      <w:tr w14:paraId="580FF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239682F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1</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0187927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金盾护苗未成年人不良行为智能预警处置体系</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1ADF2C8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一等奖</w:t>
            </w:r>
          </w:p>
        </w:tc>
      </w:tr>
      <w:tr w14:paraId="30203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382C013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2</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792F2B3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数汇县域智造・智赋产业决策 — 制造企业生产数据交互智能体</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280FAD9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23B51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CD34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bidi="ar-SA"/>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bidi="ar-SA"/>
                <w14:textFill>
                  <w14:solidFill>
                    <w14:schemeClr w14:val="tx1"/>
                  </w14:solidFill>
                </w14:textFill>
              </w:rPr>
              <w:t>3</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8698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bidi="ar-SA"/>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数据解码生命·AI合成未来——合成生物数据要素AI赋能平台</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F2CD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bidi="ar-SA"/>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30FDE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2A93650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4</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FFE1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基于智算AI与算网大脑的湖南省教育考试 AI 实时智能巡检体系</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6B9B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7566B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334CA23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5</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38CD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科学数据驱动己内酯新材料研发范式变革与产业化实践</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FEE2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316EE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42BE14C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6</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7EA1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数据赋能“电表慧眼”——居民电能表隐性故障智能诊断关键技术及应用</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811E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2A48C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796C547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7</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A437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数铸泵魂：仿真—试验科学数据闭环驱动高端泵正向研发与国产替代</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CA50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746C2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7A17F4F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8</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1668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以“数”惠“企”：电容器科学数据驱动的产业协同创新服务平台</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5BBF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2C746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1ED6EF6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9</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371D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数智动脉——多源数据融合驱动的动态增容智护电缆系统</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A8E5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43E6D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43F443B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10</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AFE4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嘉译智标坊——多媒体AI训练平台 高精准智能标注引擎</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1683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60CE1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1983" w:type="dxa"/>
            <w:gridSpan w:val="3"/>
            <w:tcBorders>
              <w:top w:val="single" w:color="000000" w:sz="4" w:space="0"/>
              <w:left w:val="single" w:color="000000" w:sz="4" w:space="0"/>
              <w:bottom w:val="single" w:color="000000" w:sz="4" w:space="0"/>
              <w:right w:val="single" w:color="000000" w:sz="4" w:space="0"/>
            </w:tcBorders>
            <w:noWrap/>
            <w:vAlign w:val="center"/>
          </w:tcPr>
          <w:p w14:paraId="0C0A421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b/>
                <w:bCs/>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b/>
                <w:bCs/>
                <w:i w:val="0"/>
                <w:iCs w:val="0"/>
                <w:snapToGrid w:val="0"/>
                <w:color w:val="000000" w:themeColor="text1"/>
                <w:kern w:val="0"/>
                <w:sz w:val="28"/>
                <w:szCs w:val="28"/>
                <w:highlight w:val="none"/>
                <w:u w:val="none"/>
                <w:lang w:val="en-US" w:eastAsia="zh-CN"/>
                <w14:textFill>
                  <w14:solidFill>
                    <w14:schemeClr w14:val="tx1"/>
                  </w14:solidFill>
                </w14:textFill>
              </w:rPr>
              <w:t>七、数据要素×医疗健康</w:t>
            </w:r>
          </w:p>
        </w:tc>
      </w:tr>
      <w:tr w14:paraId="4BE44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5F49E17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1</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77D3E0B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中小学生情绪感知与家校协同系统---让每一颗“小心情”都被听见</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05F0187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一等奖</w:t>
            </w:r>
          </w:p>
        </w:tc>
      </w:tr>
      <w:tr w14:paraId="33C30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335C8A5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2</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3F625F7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三医数据融合下的电子处方便民服务——凭方复诊和凭方购药场景创新应用</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3FB081E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一等奖</w:t>
            </w:r>
          </w:p>
        </w:tc>
      </w:tr>
      <w:tr w14:paraId="36E0E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2A79C08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3</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0C18D11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全量数据・安全可信：湘潭医疗数据治理与跨机构协同实践</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36BB628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77ABC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6C7C992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4</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BD31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基于AI数字孪生技术的血吸虫病实时监测、智能诊断与风险预警</w:t>
            </w:r>
          </w:p>
          <w:p w14:paraId="39EA8F6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三位一体智慧防控平台</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69E3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557F5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3943711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5</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C36E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医保影像云全域互认惠民赋能平台——AI驱动的基层诊疗提升与</w:t>
            </w:r>
          </w:p>
          <w:p w14:paraId="1BA982A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跨省互认株洲样板</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44C6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27DBC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11D950F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6</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786F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数据要素赋能儿童患者AI360全景视图与智能分析体系构建</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3354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61D26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7304B0C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7</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ECEB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以"数据飞轮"为引擎，塑造医疗质量管控新动能</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9CBE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48F76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48B32AD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8</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EF2C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基于多源数据融合的全流程智能中医医疗质量管理与风险预警平台</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D560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49663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47BA378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9</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3D82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湘江数盈·医见未来：数据要素流通驱动区域基层医疗服务升级</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2DA0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60DD4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5CEBFDD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10</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EC85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数智赋能 医档提质：双轮驱动AI病历书写+智能质控，锻造高可用医疗精品数据集</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FCCC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0B4E6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1983" w:type="dxa"/>
            <w:gridSpan w:val="3"/>
            <w:tcBorders>
              <w:top w:val="single" w:color="000000" w:sz="4" w:space="0"/>
              <w:left w:val="single" w:color="000000" w:sz="4" w:space="0"/>
              <w:bottom w:val="single" w:color="000000" w:sz="4" w:space="0"/>
              <w:right w:val="single" w:color="000000" w:sz="4" w:space="0"/>
            </w:tcBorders>
            <w:noWrap/>
            <w:vAlign w:val="center"/>
          </w:tcPr>
          <w:p w14:paraId="32DC0BE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b/>
                <w:bCs/>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b/>
                <w:bCs/>
                <w:i w:val="0"/>
                <w:iCs w:val="0"/>
                <w:snapToGrid w:val="0"/>
                <w:color w:val="000000" w:themeColor="text1"/>
                <w:kern w:val="0"/>
                <w:sz w:val="28"/>
                <w:szCs w:val="28"/>
                <w:highlight w:val="none"/>
                <w:u w:val="none"/>
                <w:lang w:val="en-US" w:eastAsia="zh-CN"/>
                <w14:textFill>
                  <w14:solidFill>
                    <w14:schemeClr w14:val="tx1"/>
                  </w14:solidFill>
                </w14:textFill>
              </w:rPr>
              <w:t>八、数据要素×医疗保障</w:t>
            </w:r>
          </w:p>
        </w:tc>
      </w:tr>
      <w:tr w14:paraId="18363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063BB8F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1</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29D1240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双源融合·三档画像:基于湘潭个人医保云构建数据驱动的主动型精准健康服务体系</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4D8DA3D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一等奖</w:t>
            </w:r>
          </w:p>
        </w:tc>
      </w:tr>
      <w:tr w14:paraId="35F76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7228543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2</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55536DC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数据要素驱动的医保政策仿真与智能治理体系</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6B0FBE6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1C462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B4C2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bidi="ar-SA"/>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bidi="ar-SA"/>
                <w14:textFill>
                  <w14:solidFill>
                    <w14:schemeClr w14:val="tx1"/>
                  </w14:solidFill>
                </w14:textFill>
              </w:rPr>
              <w:t>3</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22F5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bidi="ar-SA"/>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基于公交刷卡数据的银发群体长期护理保障数据服务</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4479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bidi="ar-SA"/>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630DC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7910D16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4</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0D2B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数治医保，慧眼识真：AI+多源数据融合下的医疗行为智能审核与监管</w:t>
            </w:r>
          </w:p>
          <w:p w14:paraId="029A38D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体系构建</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1B10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506D0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140A615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5</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47E2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守护医脉：数据要素驱动下基于知识图谱的医保基金智能监管与欺诈骗保识别</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FE86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4BE98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56CD1A8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6</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F9ED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可信数据空间赋能“医保+商保”一站式惠民服务</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CD89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48500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2AC2EF8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7</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80D6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医保门诊慢特病和“双通道”药品数据要素资产化与证据链流通示范项目</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3E1B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04644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1983" w:type="dxa"/>
            <w:gridSpan w:val="3"/>
            <w:tcBorders>
              <w:top w:val="single" w:color="000000" w:sz="4" w:space="0"/>
              <w:left w:val="single" w:color="000000" w:sz="4" w:space="0"/>
              <w:bottom w:val="single" w:color="000000" w:sz="4" w:space="0"/>
              <w:right w:val="single" w:color="000000" w:sz="4" w:space="0"/>
            </w:tcBorders>
            <w:noWrap/>
            <w:vAlign w:val="center"/>
          </w:tcPr>
          <w:p w14:paraId="55B9A4E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b/>
                <w:bCs/>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b/>
                <w:bCs/>
                <w:i w:val="0"/>
                <w:iCs w:val="0"/>
                <w:snapToGrid w:val="0"/>
                <w:color w:val="000000" w:themeColor="text1"/>
                <w:kern w:val="0"/>
                <w:sz w:val="28"/>
                <w:szCs w:val="28"/>
                <w:highlight w:val="none"/>
                <w:u w:val="none"/>
                <w:lang w:val="en-US" w:eastAsia="zh-CN"/>
                <w14:textFill>
                  <w14:solidFill>
                    <w14:schemeClr w14:val="tx1"/>
                  </w14:solidFill>
                </w14:textFill>
              </w:rPr>
              <w:t>九、数据要素×应急管理</w:t>
            </w:r>
          </w:p>
        </w:tc>
      </w:tr>
      <w:tr w14:paraId="678CD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1DF7EAA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1</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43B40E5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时空数据汇三湘，乘数效应筑山盾——“空天地人”驱动的南方丘陵山区地质灾害数智防控方案</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5E9449E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一等奖</w:t>
            </w:r>
          </w:p>
        </w:tc>
      </w:tr>
      <w:tr w14:paraId="2B3E2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6CC5A73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2</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7617EB1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国产多卫星协同与自研遥感便携终端联动的灾害应急监测体系</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3AE4BD0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一等奖</w:t>
            </w:r>
          </w:p>
        </w:tc>
      </w:tr>
      <w:tr w14:paraId="2A354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19D9030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3</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726F8BF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以 “数” 护 “焰”：端边云全域智守，数据要素助力烟花爆竹安全</w:t>
            </w:r>
          </w:p>
          <w:p w14:paraId="357341B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生产监管体系数智化升级</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4EBCBAD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一等奖</w:t>
            </w:r>
          </w:p>
        </w:tc>
      </w:tr>
      <w:tr w14:paraId="68D95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05F1F59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4</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2D04885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数据要素驱动・湘潭市空天地一体化智慧巡查监测预警体系服务项目</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1E8B307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673E6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01EF272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5</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889C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多源异构数据全域融合与AI智能研判的安全生产闭环管控技术应用</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3972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1E6C5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5AE0532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6</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CB7D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“空天地水工”立体感知和多元数据融合驱动的大中型水库精准防洪与</w:t>
            </w:r>
          </w:p>
          <w:p w14:paraId="7691255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水资源调配——毛俊水库数字孪生智慧水利</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B98A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0C00A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7A88E6E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7</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1869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多源时空数据与人工智能融合赋能地质灾害监测评估 —— 地质灾害</w:t>
            </w:r>
          </w:p>
          <w:p w14:paraId="5163DAA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临灾预警系统建设与应用示范</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0F8D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4ABFF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6F11311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8</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47BE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工业安全数据空间（仓瞳Sense®）——面向工业现场作业全过程，让工业安全数据成为数据资产</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E9D2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5989D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3F20AAE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9</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FB81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数据要素赋能“安澜华容”——全域涉水数字孪生引擎驱动湖区县域</w:t>
            </w:r>
          </w:p>
          <w:p w14:paraId="2DFCCF5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向水而强示范转型</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1E35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0C47D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2F5DBAE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10</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830C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多级数据共享创新实践赋能综合应急智能化防控与精准化决策</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1C28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53F48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1983" w:type="dxa"/>
            <w:gridSpan w:val="3"/>
            <w:tcBorders>
              <w:top w:val="single" w:color="000000" w:sz="4" w:space="0"/>
              <w:left w:val="single" w:color="000000" w:sz="4" w:space="0"/>
              <w:bottom w:val="single" w:color="000000" w:sz="4" w:space="0"/>
              <w:right w:val="single" w:color="000000" w:sz="4" w:space="0"/>
            </w:tcBorders>
            <w:noWrap/>
            <w:vAlign w:val="center"/>
          </w:tcPr>
          <w:p w14:paraId="470C473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b/>
                <w:bCs/>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b/>
                <w:bCs/>
                <w:i w:val="0"/>
                <w:iCs w:val="0"/>
                <w:snapToGrid w:val="0"/>
                <w:color w:val="000000" w:themeColor="text1"/>
                <w:kern w:val="0"/>
                <w:sz w:val="28"/>
                <w:szCs w:val="28"/>
                <w:highlight w:val="none"/>
                <w:u w:val="none"/>
                <w:lang w:val="en-US" w:eastAsia="zh-CN"/>
                <w14:textFill>
                  <w14:solidFill>
                    <w14:schemeClr w14:val="tx1"/>
                  </w14:solidFill>
                </w14:textFill>
              </w:rPr>
              <w:t>十、数据要素×气象服务</w:t>
            </w:r>
          </w:p>
        </w:tc>
      </w:tr>
      <w:tr w14:paraId="3950B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70ECD4F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1</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72A46E3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融合多行业监测数据的气象防灾减灾一体化监控与展示平台</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4AD9ADD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一等奖</w:t>
            </w:r>
          </w:p>
        </w:tc>
      </w:tr>
      <w:tr w14:paraId="65A0E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43159DD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2</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4849783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数智天盾——基于多源数据应用的复杂山区地质灾害气象风险预警与乡镇级精准防御应用</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58A8294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60CB5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1BB4F5F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3</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C599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AI赋能多源数据融合应用 构建精细化气象服务体系</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3E54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1AD81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5199BF2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4</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0E75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抽蓄电站全周期气候风险管控与智能调度决策平台</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2E6B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709BF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14A36BD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5</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3E47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多源数据融合赋能山地城市生态溢价</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3F0C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6A6D0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48D0E1A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6</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21FB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数智防雷 降本增效—多源数据融合赋能高雷灾风险项目安全防控</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9C28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774F4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7C3DFD5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7</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BD75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融智靶向——多源模型气象地灾AI预警系统</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5D00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7F840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59553FE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8</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4C1F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天空地一体化感知：数据要素驱动的大气协同治理体系</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D090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724E4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45E85B0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9</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1912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解码70年气象长序列 守护苗药“芯”安全 ——气象数据赋能“苗药谷”中药材产业基地高质量发展</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25B3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0439E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149B35E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10</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8214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北斗水汽与多源气象数据融合强对流预警平台</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7981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3179B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1983" w:type="dxa"/>
            <w:gridSpan w:val="3"/>
            <w:tcBorders>
              <w:top w:val="single" w:color="000000" w:sz="4" w:space="0"/>
              <w:left w:val="single" w:color="000000" w:sz="4" w:space="0"/>
              <w:bottom w:val="single" w:color="000000" w:sz="4" w:space="0"/>
              <w:right w:val="single" w:color="000000" w:sz="4" w:space="0"/>
            </w:tcBorders>
            <w:noWrap/>
            <w:vAlign w:val="center"/>
          </w:tcPr>
          <w:p w14:paraId="0121EA1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b/>
                <w:bCs/>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b/>
                <w:bCs/>
                <w:i w:val="0"/>
                <w:iCs w:val="0"/>
                <w:snapToGrid w:val="0"/>
                <w:color w:val="000000" w:themeColor="text1"/>
                <w:kern w:val="0"/>
                <w:sz w:val="28"/>
                <w:szCs w:val="28"/>
                <w:highlight w:val="none"/>
                <w:u w:val="none"/>
                <w:lang w:val="en-US" w:eastAsia="zh-CN"/>
                <w14:textFill>
                  <w14:solidFill>
                    <w14:schemeClr w14:val="tx1"/>
                  </w14:solidFill>
                </w14:textFill>
              </w:rPr>
              <w:t>十一、数据要素×城市治理</w:t>
            </w:r>
          </w:p>
        </w:tc>
      </w:tr>
      <w:tr w14:paraId="22DD4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79E49C3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1</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5B0D2CF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精准、定量：基于时空信息大数据的城市体检评估</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2F0E3E3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一等奖</w:t>
            </w:r>
          </w:p>
        </w:tc>
      </w:tr>
      <w:tr w14:paraId="493FA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089D314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2</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400BBA8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“车-路-云-人”数据协同驱动城市智慧巡逻与精细治理</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361446B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一等奖</w:t>
            </w:r>
          </w:p>
        </w:tc>
      </w:tr>
      <w:tr w14:paraId="489CB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4D0644B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3</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713D30E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数聚星城·智治长沙——基于全域数据中台的城市治理现代化升级实践</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48E60B6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01092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08A5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bidi="ar-SA"/>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bidi="ar-SA"/>
                <w14:textFill>
                  <w14:solidFill>
                    <w14:schemeClr w14:val="tx1"/>
                  </w14:solidFill>
                </w14:textFill>
              </w:rPr>
              <w:t>4</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E7CB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bidi="ar-SA"/>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数据要素赋能城市运营精细化管理</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BACD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bidi="ar-SA"/>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77534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137FAD7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5</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13467F7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“数智驱动·慧管投资”——以数据要素重构政府投资项目全生命周期</w:t>
            </w:r>
          </w:p>
          <w:p w14:paraId="453949D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造价高质量管控</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3F02710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036B7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581F224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6</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E79C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数据赋能乡村智治-娄底实景三维一村一图</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463D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3D452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2CF3D60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7</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B99A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社区数据运营新范式——数据要素赋能社区经济与城市基层治理协同发展项目</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2F34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1D1ED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2D2E77D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8</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BACD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北斗驱动的智慧环卫数据要素创新应用 -以田心环服项目为例</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20A6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189CC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64FAFF4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9</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08B0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基础设施天空地一体化智能监测平台——房屋全生命周期管理与质量</w:t>
            </w:r>
          </w:p>
          <w:p w14:paraId="1817FEA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安全监测解决方案</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40D1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13A3D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6434C7A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10</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2FA1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数据飞轮驱动工程建设项目全生命周期审批数字化转型</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2A4E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1AB09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1983" w:type="dxa"/>
            <w:gridSpan w:val="3"/>
            <w:tcBorders>
              <w:top w:val="single" w:color="000000" w:sz="4" w:space="0"/>
              <w:left w:val="single" w:color="000000" w:sz="4" w:space="0"/>
              <w:bottom w:val="single" w:color="000000" w:sz="4" w:space="0"/>
              <w:right w:val="single" w:color="000000" w:sz="4" w:space="0"/>
            </w:tcBorders>
            <w:noWrap/>
            <w:vAlign w:val="center"/>
          </w:tcPr>
          <w:p w14:paraId="55DAF33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b/>
                <w:bCs/>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b/>
                <w:bCs/>
                <w:i w:val="0"/>
                <w:iCs w:val="0"/>
                <w:snapToGrid w:val="0"/>
                <w:color w:val="000000" w:themeColor="text1"/>
                <w:kern w:val="0"/>
                <w:sz w:val="28"/>
                <w:szCs w:val="28"/>
                <w:highlight w:val="none"/>
                <w:u w:val="none"/>
                <w:lang w:val="en-US" w:eastAsia="zh-CN"/>
                <w14:textFill>
                  <w14:solidFill>
                    <w14:schemeClr w14:val="tx1"/>
                  </w14:solidFill>
                </w14:textFill>
              </w:rPr>
              <w:t>十二、数据要素×绿色低碳</w:t>
            </w:r>
          </w:p>
        </w:tc>
      </w:tr>
      <w:tr w14:paraId="1AD8D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15387D8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1</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05A5A63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聚沙成塔，绿启湖湘——数据驱动虚拟电厂与能源交易协同运营模式</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2CEF3C9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一等奖</w:t>
            </w:r>
          </w:p>
        </w:tc>
      </w:tr>
      <w:tr w14:paraId="008AA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3C41D94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2</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532C963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数智碳测 以碳生金：多源数据驱动自然生态系统碳汇监测与生态产品</w:t>
            </w:r>
          </w:p>
          <w:p w14:paraId="1404096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价值实现</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000BC8E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一等奖</w:t>
            </w:r>
          </w:p>
        </w:tc>
      </w:tr>
      <w:tr w14:paraId="0359E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23A1F36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3</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7BDC0A5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种养循环·化粪成金——数据要素驱动的南方丘陵地区畜禽养殖废弃物</w:t>
            </w:r>
          </w:p>
          <w:p w14:paraId="2FE65A9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循环利用与CCER价值放大器</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3EEA014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一等奖</w:t>
            </w:r>
          </w:p>
        </w:tc>
      </w:tr>
      <w:tr w14:paraId="6788A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28A608C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4</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62E6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数治碧水渔仓——澧县国家级渔业绿色循环数据要素创新应用项目</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4160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5CFDA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7DFF430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5</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0E4E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数据赋能以竹代塑产业“产学研用金服”一体化高质量发展——双牌</w:t>
            </w:r>
          </w:p>
          <w:p w14:paraId="5A2AE10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“阳明竹智云”平台创新实践</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BA34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04C32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3E3CBDF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6</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935B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数智林勘·绿盾潇湘——天空地一体化智慧林业监测</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A41B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3F345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2B952FA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7</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6307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数智配网，绿电共舞，多源数据赋能绿电全域消纳与高效调度实践</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143C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6F95A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3E02D05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8</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5BCB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数据要素驱动城市水环境综合治理体系——长沙赵洲港示范项目</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A81E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29828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0EE986B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9</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10E2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多元数据融合赋能生态环境治理与治理成效价值实现</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2689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1BDB3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6DDBA6A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10</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AFC2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数据要素赋能城市级虚拟电厂源网荷储协同调度及电力市场化交易</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9788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6B493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1983" w:type="dxa"/>
            <w:gridSpan w:val="3"/>
            <w:tcBorders>
              <w:top w:val="single" w:color="000000" w:sz="4" w:space="0"/>
              <w:left w:val="single" w:color="000000" w:sz="4" w:space="0"/>
              <w:bottom w:val="single" w:color="000000" w:sz="4" w:space="0"/>
              <w:right w:val="single" w:color="000000" w:sz="4" w:space="0"/>
            </w:tcBorders>
            <w:noWrap/>
            <w:vAlign w:val="center"/>
          </w:tcPr>
          <w:p w14:paraId="75F3861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b/>
                <w:bCs/>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b/>
                <w:bCs/>
                <w:i w:val="0"/>
                <w:iCs w:val="0"/>
                <w:snapToGrid w:val="0"/>
                <w:color w:val="000000" w:themeColor="text1"/>
                <w:kern w:val="0"/>
                <w:sz w:val="28"/>
                <w:szCs w:val="28"/>
                <w:highlight w:val="none"/>
                <w:u w:val="none"/>
                <w:lang w:val="en-US" w:eastAsia="zh-CN"/>
                <w14:textFill>
                  <w14:solidFill>
                    <w14:schemeClr w14:val="tx1"/>
                  </w14:solidFill>
                </w14:textFill>
              </w:rPr>
              <w:t>十三、数据要素×人力资源</w:t>
            </w:r>
          </w:p>
        </w:tc>
      </w:tr>
      <w:tr w14:paraId="59A9A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7F1568B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1</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1864389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基于多智能体协作的分时用工全生命周期数据要素运营平台</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124F886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一等奖</w:t>
            </w:r>
          </w:p>
        </w:tc>
      </w:tr>
      <w:tr w14:paraId="4CEDC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6899C47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2</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1386FEA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聘才猫AI+HR开放生态平台</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652E38C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2D25E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21F7EE5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3</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7EB1D96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基于“零障碍就业创业平台”构建人社智慧大脑 打造“数智驱动 有AI无碍”就业管理服务新模式</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49D473B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4540A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5802767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4</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F560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银龄服务通</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1994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03D17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4269C55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5</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61D9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郴新直聘——产业级人力资源数据要素运营实践</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D9CB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181C8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2DEAB64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6</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9276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 xml:space="preserve">数智赋能重点群体精准匹配 </w:t>
            </w:r>
            <w:r>
              <w:rPr>
                <w:rFonts w:hint="default" w:ascii="Times New Roman Regular" w:hAnsi="Times New Roman Regular" w:cs="Times New Roman Regular"/>
                <w:i w:val="0"/>
                <w:iCs w:val="0"/>
                <w:snapToGrid w:val="0"/>
                <w:color w:val="000000" w:themeColor="text1"/>
                <w:kern w:val="0"/>
                <w:sz w:val="28"/>
                <w:szCs w:val="28"/>
                <w:highlight w:val="none"/>
                <w:u w:val="none"/>
                <w:lang w:val="en-US" w:eastAsia="zh-CN"/>
                <w14:textFill>
                  <w14:solidFill>
                    <w14:schemeClr w14:val="tx1"/>
                  </w14:solidFill>
                </w14:textFill>
              </w:rPr>
              <w:t xml:space="preserve"> </w:t>
            </w: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铁脚板筑牢基层就业服务体系</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C699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0B87E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1983" w:type="dxa"/>
            <w:gridSpan w:val="3"/>
            <w:tcBorders>
              <w:top w:val="single" w:color="000000" w:sz="4" w:space="0"/>
              <w:left w:val="single" w:color="000000" w:sz="4" w:space="0"/>
              <w:bottom w:val="single" w:color="000000" w:sz="4" w:space="0"/>
              <w:right w:val="single" w:color="000000" w:sz="4" w:space="0"/>
            </w:tcBorders>
            <w:noWrap/>
            <w:vAlign w:val="center"/>
          </w:tcPr>
          <w:p w14:paraId="3D206A6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b/>
                <w:bCs/>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b/>
                <w:bCs/>
                <w:i w:val="0"/>
                <w:iCs w:val="0"/>
                <w:snapToGrid w:val="0"/>
                <w:color w:val="000000" w:themeColor="text1"/>
                <w:kern w:val="0"/>
                <w:sz w:val="28"/>
                <w:szCs w:val="28"/>
                <w:highlight w:val="none"/>
                <w:u w:val="none"/>
                <w:lang w:val="en-US" w:eastAsia="zh-CN"/>
                <w14:textFill>
                  <w14:solidFill>
                    <w14:schemeClr w14:val="tx1"/>
                  </w14:solidFill>
                </w14:textFill>
              </w:rPr>
              <w:t>十四、数据要素×体育发展</w:t>
            </w:r>
          </w:p>
        </w:tc>
      </w:tr>
      <w:tr w14:paraId="4C9D1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4F8D70B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1</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4A4F5B6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数据要素×“钓天下”——构建产、赛、文、旅、城五位一体驱动钓具</w:t>
            </w:r>
          </w:p>
          <w:p w14:paraId="4FB84C8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产业链数字化发展生态圈</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5F9342B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一等奖</w:t>
            </w:r>
          </w:p>
        </w:tc>
      </w:tr>
      <w:tr w14:paraId="50323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53B8414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2</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37DFC5F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球秀体育—为每一场热爱付费，让AI为你抓拍所有精彩瞬间</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367BC65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310D1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1F0AB36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3</w:t>
            </w:r>
          </w:p>
        </w:tc>
        <w:tc>
          <w:tcPr>
            <w:tcW w:w="9124" w:type="dxa"/>
            <w:tcBorders>
              <w:top w:val="single" w:color="000000" w:sz="4" w:space="0"/>
              <w:left w:val="single" w:color="000000" w:sz="4" w:space="0"/>
              <w:bottom w:val="single" w:color="000000" w:sz="4" w:space="0"/>
              <w:right w:val="single" w:color="000000" w:sz="4" w:space="0"/>
            </w:tcBorders>
            <w:noWrap/>
            <w:vAlign w:val="center"/>
          </w:tcPr>
          <w:p w14:paraId="66E3D55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“湖南师范大学体育学院韶光AI体育“鸟瞰～云眼趣跑AI运动视觉识别分析应用系统”课题研发团队”</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0B4FA34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0029A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1983" w:type="dxa"/>
            <w:gridSpan w:val="3"/>
            <w:tcBorders>
              <w:top w:val="single" w:color="000000" w:sz="4" w:space="0"/>
              <w:left w:val="single" w:color="000000" w:sz="4" w:space="0"/>
              <w:bottom w:val="single" w:color="000000" w:sz="4" w:space="0"/>
              <w:right w:val="single" w:color="000000" w:sz="4" w:space="0"/>
            </w:tcBorders>
            <w:noWrap/>
            <w:vAlign w:val="center"/>
          </w:tcPr>
          <w:p w14:paraId="72C113D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b/>
                <w:bCs/>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b/>
                <w:bCs/>
                <w:i w:val="0"/>
                <w:iCs w:val="0"/>
                <w:snapToGrid w:val="0"/>
                <w:color w:val="000000" w:themeColor="text1"/>
                <w:kern w:val="0"/>
                <w:sz w:val="28"/>
                <w:szCs w:val="28"/>
                <w:highlight w:val="none"/>
                <w:u w:val="none"/>
                <w:lang w:val="en-US" w:eastAsia="zh-CN"/>
                <w14:textFill>
                  <w14:solidFill>
                    <w14:schemeClr w14:val="tx1"/>
                  </w14:solidFill>
                </w14:textFill>
              </w:rPr>
              <w:t>十五、数据要素×文物保护利用</w:t>
            </w:r>
          </w:p>
        </w:tc>
      </w:tr>
      <w:tr w14:paraId="1F267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2C884A1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1</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EAA7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湖湘文化高质量数据集建设与应用</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231B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一等奖</w:t>
            </w:r>
          </w:p>
        </w:tc>
      </w:tr>
      <w:tr w14:paraId="57D81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55AB50C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2</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8633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数据赋能纹脉新生—“马王堆·数字汉生活”文化 IP 开发项目</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05BD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一等奖</w:t>
            </w:r>
          </w:p>
        </w:tc>
      </w:tr>
      <w:tr w14:paraId="65733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211CF72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3</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9F56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“数文新生”—基于AI技术与数据要素的文物非遗双态挖掘及影视</w:t>
            </w:r>
          </w:p>
          <w:p w14:paraId="7E16AF6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创意活化平台</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BF17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2E509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4A5BFEC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4</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F6B6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数智稻种・文明永续——高庙与农耕文化文物传承保护及活化利用</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F87B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6BEC5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0D105D1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5</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D315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湖南省文物动态数据资源库</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4D91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261F7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6D94BFC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6</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035D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2026“数据要素× 土司遗韵”</w:t>
            </w:r>
            <w:r>
              <w:rPr>
                <w:rFonts w:hint="default" w:ascii="Times New Roman Regular" w:hAnsi="Times New Roman Regular" w:cs="Times New Roman Regular"/>
                <w:i w:val="0"/>
                <w:iCs w:val="0"/>
                <w:snapToGrid w:val="0"/>
                <w:color w:val="000000" w:themeColor="text1"/>
                <w:kern w:val="0"/>
                <w:sz w:val="28"/>
                <w:szCs w:val="28"/>
                <w:highlight w:val="none"/>
                <w:u w:val="none"/>
                <w:lang w:val="en-US" w:eastAsia="zh-CN"/>
                <w14:textFill>
                  <w14:solidFill>
                    <w14:schemeClr w14:val="tx1"/>
                  </w14:solidFill>
                </w14:textFill>
              </w:rPr>
              <w:t>：</w:t>
            </w: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老司城世界文化遗产的活态传承与价值跃升</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D3B3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00163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1983" w:type="dxa"/>
            <w:gridSpan w:val="3"/>
            <w:tcBorders>
              <w:top w:val="single" w:color="000000" w:sz="4" w:space="0"/>
              <w:left w:val="single" w:color="000000" w:sz="4" w:space="0"/>
              <w:bottom w:val="single" w:color="000000" w:sz="4" w:space="0"/>
              <w:right w:val="single" w:color="000000" w:sz="4" w:space="0"/>
            </w:tcBorders>
            <w:noWrap/>
            <w:vAlign w:val="center"/>
          </w:tcPr>
          <w:p w14:paraId="2E395FB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b/>
                <w:bCs/>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b/>
                <w:bCs/>
                <w:i w:val="0"/>
                <w:iCs w:val="0"/>
                <w:snapToGrid w:val="0"/>
                <w:color w:val="000000" w:themeColor="text1"/>
                <w:kern w:val="0"/>
                <w:sz w:val="28"/>
                <w:szCs w:val="28"/>
                <w:highlight w:val="none"/>
                <w:u w:val="none"/>
                <w:lang w:val="en-US" w:eastAsia="zh-CN"/>
                <w14:textFill>
                  <w14:solidFill>
                    <w14:schemeClr w14:val="tx1"/>
                  </w14:solidFill>
                </w14:textFill>
              </w:rPr>
              <w:t>十六、数据要素×中医药</w:t>
            </w:r>
          </w:p>
        </w:tc>
      </w:tr>
      <w:tr w14:paraId="51C96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6A0C624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1</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C980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思邈AI中医药多模态大模型</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DCEE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一等奖</w:t>
            </w:r>
          </w:p>
        </w:tc>
      </w:tr>
      <w:tr w14:paraId="1D8A0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0205733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2</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71BC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中医药高质量数据集建设与数据反哺基层中医服务体系</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292B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一等奖</w:t>
            </w:r>
          </w:p>
        </w:tc>
      </w:tr>
      <w:tr w14:paraId="08ED1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671C570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3</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94B2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数乘岐黄-慢病智管-中医慢性病全周期数据赋能</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D9AF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41B4A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E824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bidi="ar-SA"/>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bidi="ar-SA"/>
                <w14:textFill>
                  <w14:solidFill>
                    <w14:schemeClr w14:val="tx1"/>
                  </w14:solidFill>
                </w14:textFill>
              </w:rPr>
              <w:t>4</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CA97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bidi="ar-SA"/>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灵枢蕴粹・智创促研——中医科研大数据平台的构建与应用</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AC46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bidi="ar-SA"/>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1C4C3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58D1E97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5</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5D8C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面向临床决策的中医思维数字化：理法方药AI推荐系统的构建与实现</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43C2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2CFB1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564D7EA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6</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D073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基于中医药高质量数据集的名老中医传承智能体应用</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9772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7354D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2C2B7A8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7</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A0F2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中医肝病专病高质量数据集与循证科研一体化平台的建设与应用</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080D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082AD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2BE83DE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8</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809A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中医智能目诊系统</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2C25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0A1B3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32FFCEB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9</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1FC6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基于数据智能中枢的中医药运营数据动态监控与智能预警平台建设</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F102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1F4EC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7EC0D45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10</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42EA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素问撷珍・慧析肝藏——肝病专病知识智能管理平台的建设与应用</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32E7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0DB95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1983" w:type="dxa"/>
            <w:gridSpan w:val="3"/>
            <w:tcBorders>
              <w:top w:val="single" w:color="000000" w:sz="4" w:space="0"/>
              <w:left w:val="single" w:color="000000" w:sz="4" w:space="0"/>
              <w:bottom w:val="single" w:color="000000" w:sz="4" w:space="0"/>
              <w:right w:val="single" w:color="000000" w:sz="4" w:space="0"/>
            </w:tcBorders>
            <w:noWrap/>
            <w:vAlign w:val="center"/>
          </w:tcPr>
          <w:p w14:paraId="5122CD9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b/>
                <w:bCs/>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b/>
                <w:bCs/>
                <w:i w:val="0"/>
                <w:iCs w:val="0"/>
                <w:snapToGrid w:val="0"/>
                <w:color w:val="000000" w:themeColor="text1"/>
                <w:kern w:val="0"/>
                <w:sz w:val="28"/>
                <w:szCs w:val="28"/>
                <w:highlight w:val="none"/>
                <w:u w:val="none"/>
                <w:lang w:val="en-US" w:eastAsia="zh-CN"/>
                <w14:textFill>
                  <w14:solidFill>
                    <w14:schemeClr w14:val="tx1"/>
                  </w14:solidFill>
                </w14:textFill>
              </w:rPr>
              <w:t>十七、数据要素×数据基础设施</w:t>
            </w:r>
          </w:p>
        </w:tc>
      </w:tr>
      <w:tr w14:paraId="24AA4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45A2766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1</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A918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“双基协同·数惠三医”——“三医一张网”+湖南省公共数据流通利用基础设施赋能三医数据要素价值释放项目</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938C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一等奖</w:t>
            </w:r>
          </w:p>
        </w:tc>
      </w:tr>
      <w:tr w14:paraId="722A2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65075CE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2</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6B4A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土家织锦文化创新和数据集建设研发应用项目</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7082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一等奖</w:t>
            </w:r>
          </w:p>
        </w:tc>
      </w:tr>
      <w:tr w14:paraId="3CD62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52CE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bidi="ar-SA"/>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bidi="ar-SA"/>
                <w14:textFill>
                  <w14:solidFill>
                    <w14:schemeClr w14:val="tx1"/>
                  </w14:solidFill>
                </w14:textFill>
              </w:rPr>
              <w:t>3</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A8B8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bidi="ar-SA"/>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实景三维服务低空经济时空数据基础建设</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B005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bidi="ar-SA"/>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一等奖</w:t>
            </w:r>
          </w:p>
        </w:tc>
      </w:tr>
      <w:tr w14:paraId="225AB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1898AF8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4</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D2B8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数智融合，算电协同：智算中心“算-电-冷”全局节能调优示范应用</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A265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7DA04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3022E66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5</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46AD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长株潭城市可信数据空间——都市圈数据要素流通应用与实践</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0A6E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77863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15B13A8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6</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B727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从数据资源到数据要素——湖南交通 运输数据中台的适应性升级与</w:t>
            </w:r>
          </w:p>
          <w:p w14:paraId="12DA98D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价值重构</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34A6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二等奖</w:t>
            </w:r>
          </w:p>
        </w:tc>
      </w:tr>
      <w:tr w14:paraId="3225F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7606B77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7</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29FE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能源可信空间助力数据要素高效流通</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4389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29255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275D36C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8</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9D54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社会数据赋能的智慧电网创新实践—基于业数融合的低压用户侧停电研判与主动抢修体系</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CDB1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4BF98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48B0F2A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9</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B81C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区块链赋能政务数据共享，推动“高效办成一件事”</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BF61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r w14:paraId="0B9DD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309" w:type="dxa"/>
            <w:tcBorders>
              <w:top w:val="single" w:color="000000" w:sz="4" w:space="0"/>
              <w:left w:val="single" w:color="000000" w:sz="4" w:space="0"/>
              <w:bottom w:val="single" w:color="000000" w:sz="4" w:space="0"/>
              <w:right w:val="single" w:color="000000" w:sz="4" w:space="0"/>
            </w:tcBorders>
            <w:noWrap/>
            <w:vAlign w:val="center"/>
          </w:tcPr>
          <w:p w14:paraId="5D5F07D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10</w:t>
            </w:r>
          </w:p>
        </w:tc>
        <w:tc>
          <w:tcPr>
            <w:tcW w:w="9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EE63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cs="Times New Roman Regular" w:eastAsiaTheme="minorEastAsia"/>
                <w:i w:val="0"/>
                <w:iCs w:val="0"/>
                <w:snapToGrid w:val="0"/>
                <w:color w:val="000000" w:themeColor="text1"/>
                <w:kern w:val="0"/>
                <w:sz w:val="28"/>
                <w:szCs w:val="28"/>
                <w:highlight w:val="none"/>
                <w:u w:val="none"/>
                <w:lang w:val="en-US" w:eastAsia="zh-CN"/>
                <w14:textFill>
                  <w14:solidFill>
                    <w14:schemeClr w14:val="tx1"/>
                  </w14:solidFill>
                </w14:textFill>
              </w:rPr>
              <w:t>筑牢时空数据要素底座，赋能数字湖南高质量发展——湖南省自然资源与地理空间数据库基础设施体系建设与应用</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DD08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pPr>
            <w:r>
              <w:rPr>
                <w:rFonts w:hint="default" w:ascii="Times New Roman Regular" w:hAnsi="Times New Roman Regular" w:eastAsia="宋体" w:cs="Times New Roman Regular"/>
                <w:i w:val="0"/>
                <w:iCs w:val="0"/>
                <w:snapToGrid w:val="0"/>
                <w:color w:val="000000" w:themeColor="text1"/>
                <w:kern w:val="0"/>
                <w:sz w:val="28"/>
                <w:szCs w:val="28"/>
                <w:highlight w:val="none"/>
                <w:u w:val="none"/>
                <w:lang w:val="en-US" w:eastAsia="zh-CN"/>
                <w14:textFill>
                  <w14:solidFill>
                    <w14:schemeClr w14:val="tx1"/>
                  </w14:solidFill>
                </w14:textFill>
              </w:rPr>
              <w:t>三等奖</w:t>
            </w:r>
          </w:p>
        </w:tc>
      </w:tr>
    </w:tbl>
    <w:p w14:paraId="33416FE7">
      <w:pPr>
        <w:rPr>
          <w:rFonts w:hint="default" w:ascii="Times New Roman Regular" w:hAnsi="Times New Roman Regular" w:eastAsia="黑体" w:cs="Times New Roman Regular"/>
          <w:sz w:val="36"/>
          <w:szCs w:val="44"/>
          <w:lang w:val="en-US" w:eastAsia="zh-CN"/>
        </w:rPr>
      </w:pPr>
    </w:p>
    <w:p w14:paraId="7C8549E1">
      <w:pPr>
        <w:rPr>
          <w:rFonts w:hint="default" w:ascii="Times New Roman Regular" w:hAnsi="Times New Roman Regular" w:eastAsia="黑体" w:cs="Times New Roman Regular"/>
          <w:lang w:val="en-US" w:eastAsia="zh-CN"/>
        </w:rPr>
      </w:pPr>
    </w:p>
    <w:p w14:paraId="49005D09">
      <w:pPr>
        <w:jc w:val="right"/>
        <w:rPr>
          <w:rFonts w:hint="default" w:ascii="Times New Roman Regular" w:hAnsi="Times New Roman Regular" w:eastAsia="仿宋_GB2312" w:cs="Times New Roman Regular"/>
          <w:sz w:val="32"/>
        </w:rPr>
      </w:pPr>
    </w:p>
    <w:p w14:paraId="72A7F08A">
      <w:pPr>
        <w:rPr>
          <w:rFonts w:hint="default" w:ascii="Times New Roman Regular" w:hAnsi="Times New Roman Regular" w:cs="Times New Roman Regular"/>
        </w:rPr>
      </w:pPr>
    </w:p>
    <w:sectPr>
      <w:pgSz w:w="16838" w:h="11906" w:orient="landscape"/>
      <w:pgMar w:top="1587" w:right="2098" w:bottom="1474" w:left="198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80BB9E7-720B-45BC-8956-DEC2ECA2299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New Roman Regular">
    <w:altName w:val="Times New Roman"/>
    <w:panose1 w:val="02020503050405090304"/>
    <w:charset w:val="00"/>
    <w:family w:val="auto"/>
    <w:pitch w:val="default"/>
    <w:sig w:usb0="00000000" w:usb1="00000000" w:usb2="00000001" w:usb3="00000000" w:csb0="400001BF" w:csb1="DFF70000"/>
    <w:embedRegular r:id="rId2" w:fontKey="{BD4D7FF1-28DF-4D2F-8668-1E4989D05A37}"/>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embedRegular r:id="rId3" w:fontKey="{29A53521-9B28-4048-87D8-309FC60A8035}"/>
  </w:font>
  <w:font w:name="仿宋">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68325F"/>
    <w:rsid w:val="02BF6AC2"/>
    <w:rsid w:val="058C1932"/>
    <w:rsid w:val="077F1302"/>
    <w:rsid w:val="079106EB"/>
    <w:rsid w:val="07F9686D"/>
    <w:rsid w:val="09043952"/>
    <w:rsid w:val="096D3B08"/>
    <w:rsid w:val="099077F7"/>
    <w:rsid w:val="09C35E1E"/>
    <w:rsid w:val="16AB2114"/>
    <w:rsid w:val="1AB4145B"/>
    <w:rsid w:val="1AB64194"/>
    <w:rsid w:val="1C0C6595"/>
    <w:rsid w:val="20280331"/>
    <w:rsid w:val="22CC1448"/>
    <w:rsid w:val="26B91CE3"/>
    <w:rsid w:val="2CF03F85"/>
    <w:rsid w:val="318B24CE"/>
    <w:rsid w:val="39050DB8"/>
    <w:rsid w:val="3BEC598C"/>
    <w:rsid w:val="3BF70E6F"/>
    <w:rsid w:val="40D40725"/>
    <w:rsid w:val="42C94807"/>
    <w:rsid w:val="430B16C1"/>
    <w:rsid w:val="44DF4BB3"/>
    <w:rsid w:val="46872C73"/>
    <w:rsid w:val="4C2757BD"/>
    <w:rsid w:val="4C982217"/>
    <w:rsid w:val="53A35EBC"/>
    <w:rsid w:val="57CAB80F"/>
    <w:rsid w:val="58BE1257"/>
    <w:rsid w:val="634C56B2"/>
    <w:rsid w:val="677671A1"/>
    <w:rsid w:val="69C53AC8"/>
    <w:rsid w:val="69CB37D4"/>
    <w:rsid w:val="6C6C46CF"/>
    <w:rsid w:val="6C6E53EF"/>
    <w:rsid w:val="6EE60768"/>
    <w:rsid w:val="6FFF0D35"/>
    <w:rsid w:val="72DC7380"/>
    <w:rsid w:val="76AA651F"/>
    <w:rsid w:val="79F857F4"/>
    <w:rsid w:val="7F9F4E4B"/>
    <w:rsid w:val="8DFF0B46"/>
    <w:rsid w:val="ED69C148"/>
    <w:rsid w:val="FEF6AA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5278</Words>
  <Characters>5475</Characters>
  <Lines>0</Lines>
  <Paragraphs>0</Paragraphs>
  <TotalTime>22</TotalTime>
  <ScaleCrop>false</ScaleCrop>
  <LinksUpToDate>false</LinksUpToDate>
  <CharactersWithSpaces>5545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2026-07-25T17:47:00Z</dcterms:created>
  <dc:creator>陈熠</dc:creator>
  <cp:lastModifiedBy>天降杂丸</cp:lastModifiedBy>
  <cp:lastPrinted>2026-08-21T09:30:00Z</cp:lastPrinted>
  <dcterms:modified xsi:type="dcterms:W3CDTF">2026-08-21T07:55:53Z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A4E2DECB96474B4A9A2FA369E6ED763F_13</vt:lpwstr>
  </property>
  <property fmtid="{D5CDD505-2E9C-101B-9397-08002B2CF9AE}" pid="4" name="KSOTemplateDocerSaveRecord">
    <vt:lpwstr>eyJoZGlkIjoiYTllZWNmZWNhMTRhNGIyMWQxNmMwYjAwNzg2NzQ0NmEiLCJ1c2VySWQiOiI4NzI4MTgyNDgifQ==</vt:lpwstr>
  </property>
</Properties>
</file>