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8CE59">
      <w:pPr>
        <w:keepNext w:val="0"/>
        <w:keepLines w:val="0"/>
        <w:widowControl/>
        <w:suppressLineNumbers w:val="0"/>
        <w:spacing w:before="0" w:beforeAutospacing="0" w:after="0" w:afterAutospacing="0"/>
        <w:ind w:left="0" w:right="0"/>
        <w:jc w:val="left"/>
        <w:rPr>
          <w:rFonts w:hint="eastAsia" w:ascii="黑体" w:hAnsi="宋体" w:eastAsia="黑体" w:cs="黑体"/>
          <w:color w:val="000000"/>
          <w:kern w:val="0"/>
          <w:sz w:val="32"/>
          <w:szCs w:val="32"/>
        </w:rPr>
      </w:pPr>
      <w:r>
        <w:rPr>
          <w:rFonts w:hint="eastAsia" w:ascii="黑体" w:hAnsi="宋体" w:eastAsia="黑体" w:cs="黑体"/>
          <w:color w:val="000000"/>
          <w:kern w:val="0"/>
          <w:sz w:val="32"/>
          <w:szCs w:val="32"/>
          <w:lang w:val="en-US" w:eastAsia="zh-CN" w:bidi="ar"/>
        </w:rPr>
        <w:t>附件</w:t>
      </w:r>
    </w:p>
    <w:p w14:paraId="20AA7C90">
      <w:pPr>
        <w:keepNext w:val="0"/>
        <w:keepLines w:val="0"/>
        <w:widowControl/>
        <w:suppressLineNumbers w:val="0"/>
        <w:spacing w:before="0" w:beforeAutospacing="0" w:after="0" w:afterAutospacing="0" w:line="576" w:lineRule="exact"/>
        <w:ind w:left="0" w:right="0"/>
        <w:jc w:val="center"/>
        <w:textAlignment w:val="center"/>
        <w:rPr>
          <w:rFonts w:hint="eastAsia" w:ascii="方正小标宋_GBK" w:hAnsi="方正小标宋_GBK" w:eastAsia="方正小标宋_GBK" w:cs="方正小标宋_GBK"/>
          <w:color w:val="000000"/>
          <w:kern w:val="0"/>
          <w:sz w:val="44"/>
          <w:szCs w:val="44"/>
        </w:rPr>
      </w:pPr>
      <w:r>
        <w:rPr>
          <w:rFonts w:hint="eastAsia" w:ascii="方正小标宋_GBK" w:hAnsi="方正小标宋_GBK" w:eastAsia="方正小标宋_GBK" w:cs="方正小标宋_GBK"/>
          <w:color w:val="000000"/>
          <w:kern w:val="0"/>
          <w:sz w:val="44"/>
          <w:szCs w:val="44"/>
          <w:lang w:val="en-US" w:eastAsia="zh-CN" w:bidi="ar"/>
        </w:rPr>
        <w:t xml:space="preserve"> </w:t>
      </w:r>
    </w:p>
    <w:p w14:paraId="1F0F058B">
      <w:pPr>
        <w:keepNext w:val="0"/>
        <w:keepLines w:val="0"/>
        <w:widowControl/>
        <w:suppressLineNumbers w:val="0"/>
        <w:spacing w:before="0" w:beforeAutospacing="0" w:after="0" w:afterAutospacing="0" w:line="576" w:lineRule="exact"/>
        <w:ind w:left="0" w:right="0"/>
        <w:jc w:val="center"/>
        <w:textAlignment w:val="center"/>
        <w:rPr>
          <w:rFonts w:hint="eastAsia" w:ascii="方正小标宋_GBK" w:hAnsi="方正小标宋_GBK" w:eastAsia="方正小标宋_GBK" w:cs="方正小标宋_GBK"/>
          <w:color w:val="000000"/>
          <w:kern w:val="0"/>
          <w:sz w:val="44"/>
          <w:szCs w:val="44"/>
        </w:rPr>
      </w:pPr>
      <w:bookmarkStart w:id="1" w:name="_GoBack"/>
      <w:r>
        <w:rPr>
          <w:rFonts w:hint="eastAsia" w:ascii="方正小标宋_GBK" w:hAnsi="方正小标宋_GBK" w:eastAsia="方正小标宋_GBK" w:cs="方正小标宋_GBK"/>
          <w:color w:val="000000"/>
          <w:kern w:val="0"/>
          <w:sz w:val="44"/>
          <w:szCs w:val="44"/>
          <w:lang w:val="en-US" w:eastAsia="zh-CN" w:bidi="ar"/>
        </w:rPr>
        <w:t>韶山革命纪念地“十五五”期间重点项目储备表</w:t>
      </w:r>
      <w:bookmarkEnd w:id="1"/>
    </w:p>
    <w:tbl>
      <w:tblPr>
        <w:tblStyle w:val="2"/>
        <w:tblW w:w="14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fixed"/>
        <w:tblCellMar>
          <w:top w:w="0" w:type="dxa"/>
          <w:left w:w="108" w:type="dxa"/>
          <w:bottom w:w="0" w:type="dxa"/>
          <w:right w:w="108" w:type="dxa"/>
        </w:tblCellMar>
      </w:tblPr>
      <w:tblGrid>
        <w:gridCol w:w="563"/>
        <w:gridCol w:w="1560"/>
        <w:gridCol w:w="896"/>
        <w:gridCol w:w="975"/>
        <w:gridCol w:w="1078"/>
        <w:gridCol w:w="5431"/>
        <w:gridCol w:w="862"/>
        <w:gridCol w:w="732"/>
        <w:gridCol w:w="1296"/>
        <w:gridCol w:w="1405"/>
      </w:tblGrid>
      <w:tr w14:paraId="788F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563" w:type="dxa"/>
            <w:tcBorders>
              <w:top w:val="single" w:color="auto" w:sz="4" w:space="0"/>
              <w:left w:val="single" w:color="auto" w:sz="4" w:space="0"/>
              <w:bottom w:val="single" w:color="auto" w:sz="4" w:space="0"/>
              <w:right w:val="single" w:color="auto" w:sz="4" w:space="0"/>
            </w:tcBorders>
            <w:shd w:val="clear"/>
            <w:vAlign w:val="center"/>
          </w:tcPr>
          <w:p w14:paraId="2C0796D8">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序号</w:t>
            </w:r>
          </w:p>
        </w:tc>
        <w:tc>
          <w:tcPr>
            <w:tcW w:w="1560" w:type="dxa"/>
            <w:tcBorders>
              <w:top w:val="single" w:color="auto" w:sz="4" w:space="0"/>
              <w:left w:val="single" w:color="auto" w:sz="4" w:space="0"/>
              <w:bottom w:val="single" w:color="auto" w:sz="4" w:space="0"/>
              <w:right w:val="single" w:color="auto" w:sz="4" w:space="0"/>
            </w:tcBorders>
            <w:shd w:val="clear"/>
            <w:vAlign w:val="center"/>
          </w:tcPr>
          <w:p w14:paraId="5165061B">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项目名称</w:t>
            </w:r>
          </w:p>
        </w:tc>
        <w:tc>
          <w:tcPr>
            <w:tcW w:w="896" w:type="dxa"/>
            <w:tcBorders>
              <w:top w:val="single" w:color="auto" w:sz="4" w:space="0"/>
              <w:left w:val="single" w:color="auto" w:sz="4" w:space="0"/>
              <w:bottom w:val="single" w:color="auto" w:sz="4" w:space="0"/>
              <w:right w:val="single" w:color="auto" w:sz="4" w:space="0"/>
            </w:tcBorders>
            <w:shd w:val="clear"/>
            <w:vAlign w:val="center"/>
          </w:tcPr>
          <w:p w14:paraId="6F1CA781">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0"/>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建设</w:t>
            </w:r>
          </w:p>
          <w:p w14:paraId="1E1F0555">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地点</w:t>
            </w:r>
          </w:p>
        </w:tc>
        <w:tc>
          <w:tcPr>
            <w:tcW w:w="975" w:type="dxa"/>
            <w:tcBorders>
              <w:top w:val="single" w:color="auto" w:sz="4" w:space="0"/>
              <w:left w:val="single" w:color="auto" w:sz="4" w:space="0"/>
              <w:bottom w:val="single" w:color="auto" w:sz="4" w:space="0"/>
              <w:right w:val="single" w:color="auto" w:sz="4" w:space="0"/>
            </w:tcBorders>
            <w:shd w:val="clear"/>
            <w:vAlign w:val="center"/>
          </w:tcPr>
          <w:p w14:paraId="20E9F007">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0"/>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建设</w:t>
            </w:r>
          </w:p>
          <w:p w14:paraId="733069B1">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性质</w:t>
            </w:r>
          </w:p>
        </w:tc>
        <w:tc>
          <w:tcPr>
            <w:tcW w:w="1078" w:type="dxa"/>
            <w:tcBorders>
              <w:top w:val="single" w:color="auto" w:sz="4" w:space="0"/>
              <w:left w:val="single" w:color="auto" w:sz="4" w:space="0"/>
              <w:bottom w:val="single" w:color="auto" w:sz="4" w:space="0"/>
              <w:right w:val="single" w:color="auto" w:sz="4" w:space="0"/>
            </w:tcBorders>
            <w:shd w:val="clear"/>
            <w:vAlign w:val="center"/>
          </w:tcPr>
          <w:p w14:paraId="05D8A741">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0"/>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项目</w:t>
            </w:r>
          </w:p>
          <w:p w14:paraId="0692041B">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单位</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40A2E079">
            <w:pPr>
              <w:keepNext w:val="0"/>
              <w:keepLines w:val="0"/>
              <w:widowControl/>
              <w:suppressLineNumbers w:val="0"/>
              <w:spacing w:before="0" w:beforeAutospacing="0" w:after="0" w:afterAutospacing="0" w:line="300" w:lineRule="exact"/>
              <w:ind w:left="0" w:right="0" w:firstLine="480" w:firstLineChars="20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主要建设内容和规模</w:t>
            </w:r>
          </w:p>
        </w:tc>
        <w:tc>
          <w:tcPr>
            <w:tcW w:w="862" w:type="dxa"/>
            <w:tcBorders>
              <w:top w:val="single" w:color="auto" w:sz="4" w:space="0"/>
              <w:left w:val="single" w:color="auto" w:sz="4" w:space="0"/>
              <w:bottom w:val="single" w:color="auto" w:sz="4" w:space="0"/>
              <w:right w:val="single" w:color="auto" w:sz="4" w:space="0"/>
            </w:tcBorders>
            <w:shd w:val="clear"/>
            <w:vAlign w:val="center"/>
          </w:tcPr>
          <w:p w14:paraId="7F1F766D">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开工年份</w:t>
            </w:r>
          </w:p>
        </w:tc>
        <w:tc>
          <w:tcPr>
            <w:tcW w:w="732" w:type="dxa"/>
            <w:tcBorders>
              <w:top w:val="single" w:color="auto" w:sz="4" w:space="0"/>
              <w:left w:val="single" w:color="auto" w:sz="4" w:space="0"/>
              <w:bottom w:val="single" w:color="auto" w:sz="4" w:space="0"/>
              <w:right w:val="single" w:color="auto" w:sz="4" w:space="0"/>
            </w:tcBorders>
            <w:shd w:val="clear"/>
            <w:vAlign w:val="center"/>
          </w:tcPr>
          <w:p w14:paraId="40906926">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建成年份</w:t>
            </w: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49091FAA">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总投资</w:t>
            </w:r>
            <w:r>
              <w:rPr>
                <w:rFonts w:hint="eastAsia" w:ascii="黑体" w:hAnsi="宋体" w:eastAsia="黑体" w:cs="黑体"/>
                <w:color w:val="000000"/>
                <w:kern w:val="0"/>
                <w:sz w:val="24"/>
                <w:szCs w:val="24"/>
                <w:bdr w:val="none" w:color="auto" w:sz="0" w:space="0"/>
                <w:lang w:val="en-US" w:eastAsia="zh-CN" w:bidi="ar"/>
              </w:rPr>
              <w:br w:type="textWrapping"/>
            </w:r>
            <w:r>
              <w:rPr>
                <w:rFonts w:hint="eastAsia" w:ascii="黑体" w:hAnsi="宋体" w:eastAsia="黑体" w:cs="黑体"/>
                <w:color w:val="000000"/>
                <w:kern w:val="0"/>
                <w:sz w:val="24"/>
                <w:szCs w:val="24"/>
                <w:bdr w:val="none" w:color="auto" w:sz="0" w:space="0"/>
                <w:lang w:val="en-US" w:eastAsia="zh-CN" w:bidi="ar"/>
              </w:rPr>
              <w:t>（万元）</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2CA96ADD">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0"/>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“十五五”</w:t>
            </w:r>
          </w:p>
          <w:p w14:paraId="387E069E">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0"/>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拟投资</w:t>
            </w:r>
          </w:p>
          <w:p w14:paraId="30E8EF6C">
            <w:pPr>
              <w:keepNext w:val="0"/>
              <w:keepLines w:val="0"/>
              <w:widowControl/>
              <w:suppressLineNumbers w:val="0"/>
              <w:spacing w:before="0" w:beforeAutospacing="0" w:after="0" w:afterAutospacing="0" w:line="300" w:lineRule="exact"/>
              <w:ind w:left="0" w:right="0"/>
              <w:jc w:val="center"/>
              <w:textAlignment w:val="center"/>
              <w:rPr>
                <w:rFonts w:hint="eastAsia" w:ascii="黑体" w:hAnsi="宋体" w:eastAsia="黑体" w:cs="黑体"/>
                <w:color w:val="000000"/>
                <w:kern w:val="2"/>
                <w:sz w:val="24"/>
                <w:szCs w:val="24"/>
                <w:bdr w:val="none" w:color="auto" w:sz="0" w:space="0"/>
              </w:rPr>
            </w:pPr>
            <w:r>
              <w:rPr>
                <w:rFonts w:hint="eastAsia" w:ascii="黑体" w:hAnsi="宋体" w:eastAsia="黑体" w:cs="黑体"/>
                <w:color w:val="000000"/>
                <w:kern w:val="0"/>
                <w:sz w:val="24"/>
                <w:szCs w:val="24"/>
                <w:bdr w:val="none" w:color="auto" w:sz="0" w:space="0"/>
                <w:lang w:val="en-US" w:eastAsia="zh-CN" w:bidi="ar"/>
              </w:rPr>
              <w:t>（万元）</w:t>
            </w:r>
          </w:p>
        </w:tc>
      </w:tr>
      <w:tr w14:paraId="3AA3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90" w:hRule="atLeast"/>
          <w:jc w:val="center"/>
        </w:trPr>
        <w:tc>
          <w:tcPr>
            <w:tcW w:w="563" w:type="dxa"/>
            <w:tcBorders>
              <w:top w:val="single" w:color="auto" w:sz="4" w:space="0"/>
              <w:left w:val="single" w:color="auto" w:sz="4" w:space="0"/>
              <w:bottom w:val="single" w:color="auto" w:sz="4" w:space="0"/>
              <w:right w:val="single" w:color="auto" w:sz="4" w:space="0"/>
            </w:tcBorders>
            <w:shd w:val="clear"/>
            <w:vAlign w:val="center"/>
          </w:tcPr>
          <w:p w14:paraId="3BC69818">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1</w:t>
            </w:r>
          </w:p>
        </w:tc>
        <w:tc>
          <w:tcPr>
            <w:tcW w:w="1560" w:type="dxa"/>
            <w:tcBorders>
              <w:top w:val="single" w:color="auto" w:sz="4" w:space="0"/>
              <w:left w:val="single" w:color="auto" w:sz="4" w:space="0"/>
              <w:bottom w:val="single" w:color="auto" w:sz="4" w:space="0"/>
              <w:right w:val="single" w:color="auto" w:sz="4" w:space="0"/>
            </w:tcBorders>
            <w:shd w:val="clear"/>
            <w:vAlign w:val="center"/>
          </w:tcPr>
          <w:p w14:paraId="2F254C94">
            <w:pPr>
              <w:keepNext w:val="0"/>
              <w:keepLines w:val="0"/>
              <w:widowControl/>
              <w:suppressLineNumbers w:val="0"/>
              <w:spacing w:before="0" w:beforeAutospacing="0" w:after="0" w:afterAutospacing="0" w:line="360" w:lineRule="exact"/>
              <w:ind w:left="0" w:right="0"/>
              <w:jc w:val="both"/>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滴水洞一号楼保护展示设施提升项目</w:t>
            </w:r>
          </w:p>
        </w:tc>
        <w:tc>
          <w:tcPr>
            <w:tcW w:w="896" w:type="dxa"/>
            <w:tcBorders>
              <w:top w:val="single" w:color="auto" w:sz="4" w:space="0"/>
              <w:left w:val="single" w:color="auto" w:sz="4" w:space="0"/>
              <w:bottom w:val="single" w:color="auto" w:sz="4" w:space="0"/>
              <w:right w:val="single" w:color="auto" w:sz="4" w:space="0"/>
            </w:tcBorders>
            <w:shd w:val="clear"/>
            <w:vAlign w:val="center"/>
          </w:tcPr>
          <w:p w14:paraId="67BBD6FC">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韶山滴水洞景区内</w:t>
            </w:r>
          </w:p>
        </w:tc>
        <w:tc>
          <w:tcPr>
            <w:tcW w:w="975" w:type="dxa"/>
            <w:tcBorders>
              <w:top w:val="single" w:color="auto" w:sz="4" w:space="0"/>
              <w:left w:val="single" w:color="auto" w:sz="4" w:space="0"/>
              <w:bottom w:val="single" w:color="auto" w:sz="4" w:space="0"/>
              <w:right w:val="single" w:color="auto" w:sz="4" w:space="0"/>
            </w:tcBorders>
            <w:shd w:val="clear"/>
            <w:vAlign w:val="center"/>
          </w:tcPr>
          <w:p w14:paraId="04DA0651">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续建</w:t>
            </w:r>
          </w:p>
        </w:tc>
        <w:tc>
          <w:tcPr>
            <w:tcW w:w="1078" w:type="dxa"/>
            <w:tcBorders>
              <w:top w:val="single" w:color="auto" w:sz="4" w:space="0"/>
              <w:left w:val="single" w:color="auto" w:sz="4" w:space="0"/>
              <w:bottom w:val="single" w:color="auto" w:sz="4" w:space="0"/>
              <w:right w:val="single" w:color="auto" w:sz="4" w:space="0"/>
            </w:tcBorders>
            <w:shd w:val="clear"/>
            <w:vAlign w:val="center"/>
          </w:tcPr>
          <w:p w14:paraId="7AE81DC6">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w:t>
            </w:r>
          </w:p>
          <w:p w14:paraId="6E820CC3">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宾馆</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53C4B6FA">
            <w:pPr>
              <w:keepNext w:val="0"/>
              <w:keepLines w:val="0"/>
              <w:widowControl/>
              <w:suppressLineNumbers w:val="0"/>
              <w:spacing w:before="0" w:beforeAutospacing="0" w:after="0" w:afterAutospacing="0" w:line="360" w:lineRule="exact"/>
              <w:ind w:left="0" w:right="0" w:firstLine="480" w:firstLineChars="200"/>
              <w:jc w:val="left"/>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包括建筑保护修缮、滴水洞周边环境整治、配套基础设施提质等。具体为：滴水洞一号楼周边建筑保护修缮面积</w:t>
            </w:r>
            <w:r>
              <w:rPr>
                <w:rFonts w:hint="default" w:ascii="Times New Roman" w:hAnsi="Times New Roman" w:eastAsia="仿宋_GB2312" w:cs="Times New Roman"/>
                <w:color w:val="000000"/>
                <w:kern w:val="0"/>
                <w:sz w:val="24"/>
                <w:szCs w:val="24"/>
                <w:bdr w:val="none" w:color="auto" w:sz="0" w:space="0"/>
                <w:lang w:val="en-US" w:eastAsia="zh-CN" w:bidi="ar"/>
              </w:rPr>
              <w:t>5932.13m</w:t>
            </w:r>
            <w:r>
              <w:rPr>
                <w:rFonts w:hint="default" w:ascii="Times New Roman" w:hAnsi="Times New Roman" w:eastAsia="仿宋_GB2312" w:cs="Times New Roman"/>
                <w:color w:val="000000"/>
                <w:kern w:val="0"/>
                <w:sz w:val="24"/>
                <w:szCs w:val="24"/>
                <w:bdr w:val="none" w:color="auto" w:sz="0" w:space="0"/>
                <w:vertAlign w:val="superscript"/>
                <w:lang w:val="en-US" w:eastAsia="zh-CN" w:bidi="ar"/>
              </w:rPr>
              <w:t>2</w:t>
            </w:r>
            <w:r>
              <w:rPr>
                <w:rFonts w:hint="eastAsia" w:ascii="仿宋_GB2312" w:hAnsi="Times New Roman" w:eastAsia="仿宋_GB2312" w:cs="仿宋_GB2312"/>
                <w:color w:val="000000"/>
                <w:kern w:val="0"/>
                <w:sz w:val="24"/>
                <w:szCs w:val="24"/>
                <w:bdr w:val="none" w:color="auto" w:sz="0" w:space="0"/>
                <w:lang w:val="en-US" w:eastAsia="zh-CN" w:bidi="ar"/>
              </w:rPr>
              <w:t>，推出首展</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独领风骚</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滴水洞三号楼诗词书法手札艺术展</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，滴水洞景区周边环境整治</w:t>
            </w:r>
            <w:r>
              <w:rPr>
                <w:rFonts w:hint="default" w:ascii="Times New Roman" w:hAnsi="Times New Roman" w:eastAsia="仿宋_GB2312" w:cs="Times New Roman"/>
                <w:color w:val="000000"/>
                <w:kern w:val="0"/>
                <w:sz w:val="24"/>
                <w:szCs w:val="24"/>
                <w:bdr w:val="none" w:color="auto" w:sz="0" w:space="0"/>
                <w:lang w:val="en-US" w:eastAsia="zh-CN" w:bidi="ar"/>
              </w:rPr>
              <w:t>17032</w:t>
            </w:r>
            <w:r>
              <w:rPr>
                <w:rFonts w:hint="eastAsia" w:ascii="仿宋_GB2312" w:hAnsi="Times New Roman" w:eastAsia="仿宋_GB2312" w:cs="仿宋_GB2312"/>
                <w:color w:val="000000"/>
                <w:kern w:val="0"/>
                <w:sz w:val="24"/>
                <w:szCs w:val="24"/>
                <w:bdr w:val="none" w:color="auto" w:sz="0" w:space="0"/>
                <w:lang w:val="en-US" w:eastAsia="zh-CN" w:bidi="ar"/>
              </w:rPr>
              <w:t>㎡，提质改造内部道路</w:t>
            </w:r>
            <w:r>
              <w:rPr>
                <w:rFonts w:hint="default" w:ascii="Times New Roman" w:hAnsi="Times New Roman" w:eastAsia="仿宋_GB2312" w:cs="Times New Roman"/>
                <w:color w:val="000000"/>
                <w:kern w:val="0"/>
                <w:sz w:val="24"/>
                <w:szCs w:val="24"/>
                <w:bdr w:val="none" w:color="auto" w:sz="0" w:space="0"/>
                <w:lang w:val="en-US" w:eastAsia="zh-CN" w:bidi="ar"/>
              </w:rPr>
              <w:t>5.82km</w:t>
            </w:r>
            <w:r>
              <w:rPr>
                <w:rFonts w:hint="eastAsia" w:ascii="仿宋_GB2312" w:hAnsi="Times New Roman" w:eastAsia="仿宋_GB2312" w:cs="仿宋_GB2312"/>
                <w:color w:val="000000"/>
                <w:kern w:val="0"/>
                <w:sz w:val="24"/>
                <w:szCs w:val="24"/>
                <w:bdr w:val="none" w:color="auto" w:sz="0" w:space="0"/>
                <w:lang w:val="en-US" w:eastAsia="zh-CN" w:bidi="ar"/>
              </w:rPr>
              <w:t>（其中主游道</w:t>
            </w:r>
            <w:r>
              <w:rPr>
                <w:rFonts w:hint="default" w:ascii="Times New Roman" w:hAnsi="Times New Roman" w:eastAsia="仿宋_GB2312" w:cs="Times New Roman"/>
                <w:color w:val="000000"/>
                <w:kern w:val="0"/>
                <w:sz w:val="24"/>
                <w:szCs w:val="24"/>
                <w:bdr w:val="none" w:color="auto" w:sz="0" w:space="0"/>
                <w:lang w:val="en-US" w:eastAsia="zh-CN" w:bidi="ar"/>
              </w:rPr>
              <w:t>2.20km</w:t>
            </w:r>
            <w:r>
              <w:rPr>
                <w:rFonts w:hint="eastAsia" w:ascii="仿宋_GB2312" w:hAnsi="Times New Roman" w:eastAsia="仿宋_GB2312" w:cs="仿宋_GB2312"/>
                <w:color w:val="000000"/>
                <w:kern w:val="0"/>
                <w:sz w:val="24"/>
                <w:szCs w:val="24"/>
                <w:bdr w:val="none" w:color="auto" w:sz="0" w:space="0"/>
                <w:lang w:val="en-US" w:eastAsia="zh-CN" w:bidi="ar"/>
              </w:rPr>
              <w:t>、步道</w:t>
            </w:r>
            <w:r>
              <w:rPr>
                <w:rFonts w:hint="default" w:ascii="Times New Roman" w:hAnsi="Times New Roman" w:eastAsia="仿宋_GB2312" w:cs="Times New Roman"/>
                <w:color w:val="000000"/>
                <w:kern w:val="0"/>
                <w:sz w:val="24"/>
                <w:szCs w:val="24"/>
                <w:bdr w:val="none" w:color="auto" w:sz="0" w:space="0"/>
                <w:lang w:val="en-US" w:eastAsia="zh-CN" w:bidi="ar"/>
              </w:rPr>
              <w:t>2.12km</w:t>
            </w:r>
            <w:r>
              <w:rPr>
                <w:rFonts w:hint="eastAsia" w:ascii="仿宋_GB2312" w:hAnsi="Times New Roman" w:eastAsia="仿宋_GB2312" w:cs="仿宋_GB2312"/>
                <w:color w:val="000000"/>
                <w:kern w:val="0"/>
                <w:sz w:val="24"/>
                <w:szCs w:val="24"/>
                <w:bdr w:val="none" w:color="auto" w:sz="0" w:space="0"/>
                <w:lang w:val="en-US" w:eastAsia="zh-CN" w:bidi="ar"/>
              </w:rPr>
              <w:t>、木栈道</w:t>
            </w:r>
            <w:r>
              <w:rPr>
                <w:rFonts w:hint="default" w:ascii="Times New Roman" w:hAnsi="Times New Roman" w:eastAsia="仿宋_GB2312" w:cs="Times New Roman"/>
                <w:color w:val="000000"/>
                <w:kern w:val="0"/>
                <w:sz w:val="24"/>
                <w:szCs w:val="24"/>
                <w:bdr w:val="none" w:color="auto" w:sz="0" w:space="0"/>
                <w:lang w:val="en-US" w:eastAsia="zh-CN" w:bidi="ar"/>
              </w:rPr>
              <w:t>1.50km</w:t>
            </w:r>
            <w:r>
              <w:rPr>
                <w:rFonts w:hint="eastAsia" w:ascii="仿宋_GB2312" w:hAnsi="Times New Roman" w:eastAsia="仿宋_GB2312" w:cs="仿宋_GB2312"/>
                <w:color w:val="000000"/>
                <w:kern w:val="0"/>
                <w:sz w:val="24"/>
                <w:szCs w:val="24"/>
                <w:bdr w:val="none" w:color="auto" w:sz="0" w:space="0"/>
                <w:lang w:val="en-US" w:eastAsia="zh-CN" w:bidi="ar"/>
              </w:rPr>
              <w:t>），以及配套公用工程及室外附属工程。</w:t>
            </w:r>
          </w:p>
        </w:tc>
        <w:tc>
          <w:tcPr>
            <w:tcW w:w="862" w:type="dxa"/>
            <w:tcBorders>
              <w:top w:val="single" w:color="auto" w:sz="4" w:space="0"/>
              <w:left w:val="single" w:color="auto" w:sz="4" w:space="0"/>
              <w:bottom w:val="single" w:color="auto" w:sz="4" w:space="0"/>
              <w:right w:val="single" w:color="auto" w:sz="4" w:space="0"/>
            </w:tcBorders>
            <w:shd w:val="clear"/>
            <w:vAlign w:val="center"/>
          </w:tcPr>
          <w:p w14:paraId="51587A03">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2026</w:t>
            </w:r>
          </w:p>
        </w:tc>
        <w:tc>
          <w:tcPr>
            <w:tcW w:w="732" w:type="dxa"/>
            <w:tcBorders>
              <w:top w:val="single" w:color="auto" w:sz="4" w:space="0"/>
              <w:left w:val="single" w:color="auto" w:sz="4" w:space="0"/>
              <w:bottom w:val="single" w:color="auto" w:sz="4" w:space="0"/>
              <w:right w:val="single" w:color="auto" w:sz="4" w:space="0"/>
            </w:tcBorders>
            <w:shd w:val="clear"/>
            <w:vAlign w:val="center"/>
          </w:tcPr>
          <w:p w14:paraId="77B2514E">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2027</w:t>
            </w: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5CA5B44B">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6835.69</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7534418A">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6835.69</w:t>
            </w:r>
          </w:p>
        </w:tc>
      </w:tr>
      <w:tr w14:paraId="0167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104" w:hRule="atLeast"/>
          <w:jc w:val="center"/>
        </w:trPr>
        <w:tc>
          <w:tcPr>
            <w:tcW w:w="563" w:type="dxa"/>
            <w:tcBorders>
              <w:top w:val="single" w:color="auto" w:sz="4" w:space="0"/>
              <w:left w:val="single" w:color="auto" w:sz="4" w:space="0"/>
              <w:bottom w:val="single" w:color="auto" w:sz="4" w:space="0"/>
              <w:right w:val="single" w:color="auto" w:sz="4" w:space="0"/>
            </w:tcBorders>
            <w:shd w:val="clear"/>
            <w:vAlign w:val="center"/>
          </w:tcPr>
          <w:p w14:paraId="45C13285">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w:t>
            </w:r>
          </w:p>
        </w:tc>
        <w:tc>
          <w:tcPr>
            <w:tcW w:w="1560" w:type="dxa"/>
            <w:tcBorders>
              <w:top w:val="single" w:color="auto" w:sz="4" w:space="0"/>
              <w:left w:val="single" w:color="auto" w:sz="4" w:space="0"/>
              <w:bottom w:val="single" w:color="auto" w:sz="4" w:space="0"/>
              <w:right w:val="single" w:color="auto" w:sz="4" w:space="0"/>
            </w:tcBorders>
            <w:shd w:val="clear"/>
            <w:vAlign w:val="center"/>
          </w:tcPr>
          <w:p w14:paraId="08A1116D">
            <w:pPr>
              <w:keepNext w:val="0"/>
              <w:keepLines w:val="0"/>
              <w:widowControl/>
              <w:suppressLineNumbers w:val="0"/>
              <w:spacing w:before="0" w:beforeAutospacing="0" w:after="0" w:afterAutospacing="0" w:line="360" w:lineRule="exact"/>
              <w:ind w:left="0" w:right="0"/>
              <w:jc w:val="both"/>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毛泽东同志诞辰</w:t>
            </w:r>
            <w:r>
              <w:rPr>
                <w:rFonts w:hint="default" w:ascii="Times New Roman" w:hAnsi="Times New Roman" w:eastAsia="仿宋_GB2312" w:cs="Times New Roman"/>
                <w:color w:val="000000"/>
                <w:kern w:val="0"/>
                <w:sz w:val="24"/>
                <w:szCs w:val="24"/>
                <w:bdr w:val="none" w:color="auto" w:sz="0" w:space="0"/>
                <w:lang w:val="en-US" w:eastAsia="zh-CN" w:bidi="ar"/>
              </w:rPr>
              <w:t>135</w:t>
            </w:r>
            <w:r>
              <w:rPr>
                <w:rFonts w:hint="eastAsia" w:ascii="仿宋_GB2312" w:hAnsi="Times New Roman" w:eastAsia="仿宋_GB2312" w:cs="仿宋_GB2312"/>
                <w:color w:val="000000"/>
                <w:kern w:val="0"/>
                <w:sz w:val="24"/>
                <w:szCs w:val="24"/>
                <w:bdr w:val="none" w:color="auto" w:sz="0" w:space="0"/>
                <w:lang w:val="en-US" w:eastAsia="zh-CN" w:bidi="ar"/>
              </w:rPr>
              <w:t>周年专题馆综合提质及智慧治理数字平台一体化项目</w:t>
            </w:r>
          </w:p>
        </w:tc>
        <w:tc>
          <w:tcPr>
            <w:tcW w:w="896" w:type="dxa"/>
            <w:tcBorders>
              <w:top w:val="single" w:color="auto" w:sz="4" w:space="0"/>
              <w:left w:val="single" w:color="auto" w:sz="4" w:space="0"/>
              <w:bottom w:val="single" w:color="auto" w:sz="4" w:space="0"/>
              <w:right w:val="single" w:color="auto" w:sz="4" w:space="0"/>
            </w:tcBorders>
            <w:shd w:val="clear"/>
            <w:vAlign w:val="center"/>
          </w:tcPr>
          <w:p w14:paraId="001344E6">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韶山革命纪念地</w:t>
            </w:r>
          </w:p>
        </w:tc>
        <w:tc>
          <w:tcPr>
            <w:tcW w:w="975" w:type="dxa"/>
            <w:tcBorders>
              <w:top w:val="single" w:color="auto" w:sz="4" w:space="0"/>
              <w:left w:val="single" w:color="auto" w:sz="4" w:space="0"/>
              <w:bottom w:val="single" w:color="auto" w:sz="4" w:space="0"/>
              <w:right w:val="single" w:color="auto" w:sz="4" w:space="0"/>
            </w:tcBorders>
            <w:shd w:val="clear"/>
            <w:vAlign w:val="center"/>
          </w:tcPr>
          <w:p w14:paraId="665E474D">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拟改建</w:t>
            </w:r>
          </w:p>
        </w:tc>
        <w:tc>
          <w:tcPr>
            <w:tcW w:w="1078" w:type="dxa"/>
            <w:tcBorders>
              <w:top w:val="single" w:color="auto" w:sz="4" w:space="0"/>
              <w:left w:val="single" w:color="auto" w:sz="4" w:space="0"/>
              <w:bottom w:val="single" w:color="auto" w:sz="4" w:space="0"/>
              <w:right w:val="single" w:color="auto" w:sz="4" w:space="0"/>
            </w:tcBorders>
            <w:shd w:val="clear"/>
            <w:vAlign w:val="center"/>
          </w:tcPr>
          <w:p w14:paraId="7561792B">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2"/>
                <w:sz w:val="24"/>
                <w:szCs w:val="24"/>
                <w:bdr w:val="none" w:color="auto" w:sz="0" w:space="0"/>
                <w:lang w:val="en-US" w:eastAsia="zh-CN" w:bidi="ar"/>
              </w:rPr>
              <w:t>毛泽东同志</w:t>
            </w:r>
          </w:p>
          <w:p w14:paraId="485217B6">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2"/>
                <w:sz w:val="24"/>
                <w:szCs w:val="24"/>
                <w:bdr w:val="none" w:color="auto" w:sz="0" w:space="0"/>
                <w:lang w:val="en-US" w:eastAsia="zh-CN" w:bidi="ar"/>
              </w:rPr>
              <w:t>纪念馆</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4C1C782C">
            <w:pPr>
              <w:keepNext w:val="0"/>
              <w:keepLines w:val="0"/>
              <w:widowControl/>
              <w:suppressLineNumbers w:val="0"/>
              <w:spacing w:before="0" w:beforeAutospacing="0" w:after="0" w:afterAutospacing="0" w:line="360" w:lineRule="exact"/>
              <w:ind w:left="0" w:right="0" w:firstLine="480" w:firstLineChars="200"/>
              <w:jc w:val="both"/>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包括三个方面内容：</w:t>
            </w:r>
            <w:r>
              <w:rPr>
                <w:rFonts w:hint="default" w:ascii="Times New Roman" w:hAnsi="Times New Roman" w:eastAsia="仿宋_GB2312" w:cs="Times New Roman"/>
                <w:color w:val="000000"/>
                <w:kern w:val="0"/>
                <w:sz w:val="24"/>
                <w:szCs w:val="24"/>
                <w:bdr w:val="none" w:color="auto" w:sz="0" w:space="0"/>
                <w:lang w:val="en-US" w:eastAsia="zh-CN" w:bidi="ar"/>
              </w:rPr>
              <w:t>1.</w:t>
            </w:r>
            <w:r>
              <w:rPr>
                <w:rFonts w:hint="eastAsia" w:ascii="仿宋_GB2312" w:hAnsi="Times New Roman" w:eastAsia="仿宋_GB2312" w:cs="仿宋_GB2312"/>
                <w:color w:val="000000"/>
                <w:kern w:val="0"/>
                <w:sz w:val="24"/>
                <w:szCs w:val="24"/>
                <w:bdr w:val="none" w:color="auto" w:sz="0" w:space="0"/>
                <w:lang w:val="en-US" w:eastAsia="zh-CN" w:bidi="ar"/>
              </w:rPr>
              <w:t>完善基础设施，修缮锈蚀渗漏屋面、升级中央空调、优化安防监控、改造消防设施、扩容变配电系统。</w:t>
            </w:r>
            <w:r>
              <w:rPr>
                <w:rFonts w:hint="default" w:ascii="Times New Roman" w:hAnsi="Times New Roman" w:eastAsia="仿宋_GB2312" w:cs="Times New Roman"/>
                <w:color w:val="000000"/>
                <w:kern w:val="0"/>
                <w:sz w:val="24"/>
                <w:szCs w:val="24"/>
                <w:bdr w:val="none" w:color="auto" w:sz="0" w:space="0"/>
                <w:lang w:val="en-US" w:eastAsia="zh-CN" w:bidi="ar"/>
              </w:rPr>
              <w:t>2.</w:t>
            </w:r>
            <w:r>
              <w:rPr>
                <w:rFonts w:hint="eastAsia" w:ascii="仿宋_GB2312" w:hAnsi="Times New Roman" w:eastAsia="仿宋_GB2312" w:cs="仿宋_GB2312"/>
                <w:color w:val="000000"/>
                <w:kern w:val="0"/>
                <w:sz w:val="24"/>
                <w:szCs w:val="24"/>
                <w:bdr w:val="none" w:color="auto" w:sz="0" w:space="0"/>
                <w:lang w:val="en-US" w:eastAsia="zh-CN" w:bidi="ar"/>
              </w:rPr>
              <w:t>提质常设展览，优化三大专题展内容，更新老化展柜、照明等设施，融入新征集文物与最新研究成果，引入数字化技术，优化展厅布局与导览服务，全面提升文物保护水平、场馆运营安全及参观体验。</w:t>
            </w:r>
            <w:r>
              <w:rPr>
                <w:rFonts w:hint="default" w:ascii="Times New Roman" w:hAnsi="Times New Roman" w:eastAsia="仿宋_GB2312" w:cs="Times New Roman"/>
                <w:color w:val="000000"/>
                <w:kern w:val="0"/>
                <w:sz w:val="24"/>
                <w:szCs w:val="24"/>
                <w:bdr w:val="none" w:color="auto" w:sz="0" w:space="0"/>
                <w:lang w:val="en-US" w:eastAsia="zh-CN" w:bidi="ar"/>
              </w:rPr>
              <w:t>3.</w:t>
            </w:r>
            <w:r>
              <w:rPr>
                <w:rFonts w:hint="eastAsia" w:ascii="仿宋_GB2312" w:hAnsi="Times New Roman" w:eastAsia="仿宋_GB2312" w:cs="仿宋_GB2312"/>
                <w:color w:val="000000"/>
                <w:kern w:val="0"/>
                <w:sz w:val="24"/>
                <w:szCs w:val="24"/>
                <w:bdr w:val="none" w:color="auto" w:sz="0" w:space="0"/>
                <w:lang w:val="en-US" w:eastAsia="zh-CN" w:bidi="ar"/>
              </w:rPr>
              <w:t>建设韶山革命纪念地一体化数字平台，整合文物管理、数字孪生、生态监测、数字文创等各方面的数据，形成全维度数据池，构建一体化指挥调度体系。</w:t>
            </w:r>
          </w:p>
        </w:tc>
        <w:tc>
          <w:tcPr>
            <w:tcW w:w="862" w:type="dxa"/>
            <w:tcBorders>
              <w:top w:val="single" w:color="auto" w:sz="4" w:space="0"/>
              <w:left w:val="single" w:color="auto" w:sz="4" w:space="0"/>
              <w:bottom w:val="single" w:color="auto" w:sz="4" w:space="0"/>
              <w:right w:val="single" w:color="auto" w:sz="4" w:space="0"/>
            </w:tcBorders>
            <w:shd w:val="clear"/>
            <w:vAlign w:val="center"/>
          </w:tcPr>
          <w:p w14:paraId="2DD8AED1">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2026</w:t>
            </w:r>
          </w:p>
        </w:tc>
        <w:tc>
          <w:tcPr>
            <w:tcW w:w="732" w:type="dxa"/>
            <w:tcBorders>
              <w:top w:val="single" w:color="auto" w:sz="4" w:space="0"/>
              <w:left w:val="single" w:color="auto" w:sz="4" w:space="0"/>
              <w:bottom w:val="single" w:color="auto" w:sz="4" w:space="0"/>
              <w:right w:val="single" w:color="auto" w:sz="4" w:space="0"/>
            </w:tcBorders>
            <w:shd w:val="clear"/>
            <w:vAlign w:val="center"/>
          </w:tcPr>
          <w:p w14:paraId="14390357">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2030</w:t>
            </w: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14FDBA9E">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4500</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24CD0A96">
            <w:pPr>
              <w:keepNext w:val="0"/>
              <w:keepLines w:val="0"/>
              <w:widowControl/>
              <w:suppressLineNumbers w:val="0"/>
              <w:spacing w:before="0" w:beforeAutospacing="0" w:after="0" w:afterAutospacing="0" w:line="36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4500</w:t>
            </w:r>
          </w:p>
        </w:tc>
      </w:tr>
      <w:tr w14:paraId="5D8F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427" w:hRule="atLeast"/>
          <w:jc w:val="center"/>
        </w:trPr>
        <w:tc>
          <w:tcPr>
            <w:tcW w:w="563" w:type="dxa"/>
            <w:tcBorders>
              <w:top w:val="single" w:color="auto" w:sz="4" w:space="0"/>
              <w:left w:val="single" w:color="auto" w:sz="4" w:space="0"/>
              <w:bottom w:val="single" w:color="auto" w:sz="4" w:space="0"/>
              <w:right w:val="single" w:color="auto" w:sz="4" w:space="0"/>
            </w:tcBorders>
            <w:shd w:val="clear"/>
            <w:vAlign w:val="center"/>
          </w:tcPr>
          <w:p w14:paraId="4B50DA9E">
            <w:pPr>
              <w:keepNext w:val="0"/>
              <w:keepLines w:val="0"/>
              <w:widowControl/>
              <w:suppressLineNumbers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3</w:t>
            </w:r>
          </w:p>
        </w:tc>
        <w:tc>
          <w:tcPr>
            <w:tcW w:w="1560" w:type="dxa"/>
            <w:tcBorders>
              <w:top w:val="single" w:color="auto" w:sz="4" w:space="0"/>
              <w:left w:val="single" w:color="auto" w:sz="4" w:space="0"/>
              <w:bottom w:val="single" w:color="auto" w:sz="4" w:space="0"/>
              <w:right w:val="single" w:color="auto" w:sz="4" w:space="0"/>
            </w:tcBorders>
            <w:shd w:val="clear"/>
            <w:vAlign w:val="center"/>
          </w:tcPr>
          <w:p w14:paraId="241F0517">
            <w:pPr>
              <w:keepNext w:val="0"/>
              <w:keepLines w:val="0"/>
              <w:widowControl/>
              <w:suppressLineNumbers w:val="0"/>
              <w:spacing w:before="0" w:beforeAutospacing="0" w:after="0" w:afterAutospacing="0" w:line="320" w:lineRule="exact"/>
              <w:ind w:left="0" w:right="0"/>
              <w:jc w:val="both"/>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韶山毛泽东广场配套设施提质改造项目</w:t>
            </w:r>
          </w:p>
        </w:tc>
        <w:tc>
          <w:tcPr>
            <w:tcW w:w="896" w:type="dxa"/>
            <w:tcBorders>
              <w:top w:val="single" w:color="auto" w:sz="4" w:space="0"/>
              <w:left w:val="single" w:color="auto" w:sz="4" w:space="0"/>
              <w:bottom w:val="single" w:color="auto" w:sz="4" w:space="0"/>
              <w:right w:val="single" w:color="auto" w:sz="4" w:space="0"/>
            </w:tcBorders>
            <w:shd w:val="clear"/>
            <w:vAlign w:val="center"/>
          </w:tcPr>
          <w:p w14:paraId="5D9BA9F2">
            <w:pPr>
              <w:keepNext w:val="0"/>
              <w:keepLines w:val="0"/>
              <w:widowControl/>
              <w:suppressLineNumbers w:val="0"/>
              <w:spacing w:before="0" w:beforeAutospacing="0" w:after="0" w:afterAutospacing="0" w:line="32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韶山毛泽东广场</w:t>
            </w:r>
          </w:p>
        </w:tc>
        <w:tc>
          <w:tcPr>
            <w:tcW w:w="975" w:type="dxa"/>
            <w:tcBorders>
              <w:top w:val="single" w:color="auto" w:sz="4" w:space="0"/>
              <w:left w:val="single" w:color="auto" w:sz="4" w:space="0"/>
              <w:bottom w:val="single" w:color="auto" w:sz="4" w:space="0"/>
              <w:right w:val="single" w:color="auto" w:sz="4" w:space="0"/>
            </w:tcBorders>
            <w:shd w:val="clear"/>
            <w:vAlign w:val="center"/>
          </w:tcPr>
          <w:p w14:paraId="2854D321">
            <w:pPr>
              <w:keepNext w:val="0"/>
              <w:keepLines w:val="0"/>
              <w:widowControl/>
              <w:suppressLineNumbers w:val="0"/>
              <w:spacing w:before="0" w:beforeAutospacing="0" w:after="0" w:afterAutospacing="0" w:line="32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拟改建</w:t>
            </w:r>
          </w:p>
        </w:tc>
        <w:tc>
          <w:tcPr>
            <w:tcW w:w="1078" w:type="dxa"/>
            <w:tcBorders>
              <w:top w:val="single" w:color="auto" w:sz="4" w:space="0"/>
              <w:left w:val="single" w:color="auto" w:sz="4" w:space="0"/>
              <w:bottom w:val="single" w:color="auto" w:sz="4" w:space="0"/>
              <w:right w:val="single" w:color="auto" w:sz="4" w:space="0"/>
            </w:tcBorders>
            <w:shd w:val="clear"/>
            <w:vAlign w:val="center"/>
          </w:tcPr>
          <w:p w14:paraId="7F2376F9">
            <w:pPr>
              <w:keepNext w:val="0"/>
              <w:keepLines w:val="0"/>
              <w:widowControl/>
              <w:suppressLineNumbers w:val="0"/>
              <w:spacing w:before="0" w:beforeAutospacing="0" w:after="0" w:afterAutospacing="0" w:line="32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韶山毛泽东广场管理处</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0C4A80DF">
            <w:pPr>
              <w:keepNext w:val="0"/>
              <w:keepLines w:val="0"/>
              <w:widowControl/>
              <w:suppressLineNumbers w:val="0"/>
              <w:spacing w:before="0" w:beforeAutospacing="0" w:after="0" w:afterAutospacing="0" w:line="320" w:lineRule="exact"/>
              <w:ind w:left="0" w:right="0" w:firstLine="480" w:firstLineChars="200"/>
              <w:jc w:val="left"/>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包括广场灯光和休闲区绿化改造、韶河周边区域提质、公厕扩容、防暑降温设施提质、铺装排水以及广场和纪念馆周边植物优化和特色花境设施建设等。</w:t>
            </w:r>
          </w:p>
        </w:tc>
        <w:tc>
          <w:tcPr>
            <w:tcW w:w="862" w:type="dxa"/>
            <w:tcBorders>
              <w:top w:val="single" w:color="auto" w:sz="4" w:space="0"/>
              <w:left w:val="single" w:color="auto" w:sz="4" w:space="0"/>
              <w:bottom w:val="single" w:color="auto" w:sz="4" w:space="0"/>
              <w:right w:val="single" w:color="auto" w:sz="4" w:space="0"/>
            </w:tcBorders>
            <w:shd w:val="clear"/>
            <w:vAlign w:val="center"/>
          </w:tcPr>
          <w:p w14:paraId="1C98C409">
            <w:pPr>
              <w:keepNext w:val="0"/>
              <w:keepLines w:val="0"/>
              <w:widowControl/>
              <w:suppressLineNumbers w:val="0"/>
              <w:spacing w:before="0" w:beforeAutospacing="0" w:after="0" w:afterAutospacing="0" w:line="32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2026</w:t>
            </w:r>
          </w:p>
        </w:tc>
        <w:tc>
          <w:tcPr>
            <w:tcW w:w="732" w:type="dxa"/>
            <w:tcBorders>
              <w:top w:val="single" w:color="auto" w:sz="4" w:space="0"/>
              <w:left w:val="single" w:color="auto" w:sz="4" w:space="0"/>
              <w:bottom w:val="single" w:color="auto" w:sz="4" w:space="0"/>
              <w:right w:val="single" w:color="auto" w:sz="4" w:space="0"/>
            </w:tcBorders>
            <w:shd w:val="clear"/>
            <w:vAlign w:val="center"/>
          </w:tcPr>
          <w:p w14:paraId="15DC9FA0">
            <w:pPr>
              <w:keepNext w:val="0"/>
              <w:keepLines w:val="0"/>
              <w:widowControl/>
              <w:suppressLineNumbers w:val="0"/>
              <w:spacing w:before="0" w:beforeAutospacing="0" w:after="0" w:afterAutospacing="0" w:line="32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2028</w:t>
            </w: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347471C6">
            <w:pPr>
              <w:keepNext w:val="0"/>
              <w:keepLines w:val="0"/>
              <w:widowControl/>
              <w:suppressLineNumbers w:val="0"/>
              <w:spacing w:before="0" w:beforeAutospacing="0" w:after="0" w:afterAutospacing="0" w:line="32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1500</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42BF5109">
            <w:pPr>
              <w:keepNext w:val="0"/>
              <w:keepLines w:val="0"/>
              <w:widowControl/>
              <w:suppressLineNumbers w:val="0"/>
              <w:spacing w:before="0" w:beforeAutospacing="0" w:after="0" w:afterAutospacing="0" w:line="32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1500</w:t>
            </w:r>
          </w:p>
        </w:tc>
      </w:tr>
      <w:tr w14:paraId="43CA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310" w:hRule="atLeast"/>
          <w:jc w:val="center"/>
        </w:trPr>
        <w:tc>
          <w:tcPr>
            <w:tcW w:w="563" w:type="dxa"/>
            <w:tcBorders>
              <w:top w:val="single" w:color="auto" w:sz="4" w:space="0"/>
              <w:left w:val="single" w:color="auto" w:sz="4" w:space="0"/>
              <w:bottom w:val="single" w:color="auto" w:sz="4" w:space="0"/>
              <w:right w:val="single" w:color="auto" w:sz="4" w:space="0"/>
            </w:tcBorders>
            <w:shd w:val="clear"/>
            <w:vAlign w:val="center"/>
          </w:tcPr>
          <w:p w14:paraId="2A1A98CF">
            <w:pPr>
              <w:keepNext w:val="0"/>
              <w:keepLines w:val="0"/>
              <w:widowControl/>
              <w:suppressLineNumbers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4</w:t>
            </w:r>
          </w:p>
        </w:tc>
        <w:tc>
          <w:tcPr>
            <w:tcW w:w="1560" w:type="dxa"/>
            <w:tcBorders>
              <w:top w:val="single" w:color="auto" w:sz="4" w:space="0"/>
              <w:left w:val="single" w:color="auto" w:sz="4" w:space="0"/>
              <w:bottom w:val="single" w:color="auto" w:sz="4" w:space="0"/>
              <w:right w:val="single" w:color="auto" w:sz="4" w:space="0"/>
            </w:tcBorders>
            <w:shd w:val="clear"/>
            <w:vAlign w:val="center"/>
          </w:tcPr>
          <w:p w14:paraId="6AD96FAB">
            <w:pPr>
              <w:keepNext w:val="0"/>
              <w:keepLines w:val="0"/>
              <w:widowControl/>
              <w:suppressLineNumbers w:val="0"/>
              <w:spacing w:before="0" w:beforeAutospacing="0" w:after="0" w:afterAutospacing="0" w:line="340" w:lineRule="exact"/>
              <w:ind w:left="0" w:right="0"/>
              <w:jc w:val="both"/>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毛泽东图书馆改造更新项目</w:t>
            </w:r>
          </w:p>
        </w:tc>
        <w:tc>
          <w:tcPr>
            <w:tcW w:w="896" w:type="dxa"/>
            <w:tcBorders>
              <w:top w:val="single" w:color="auto" w:sz="4" w:space="0"/>
              <w:left w:val="single" w:color="auto" w:sz="4" w:space="0"/>
              <w:bottom w:val="single" w:color="auto" w:sz="4" w:space="0"/>
              <w:right w:val="single" w:color="auto" w:sz="4" w:space="0"/>
            </w:tcBorders>
            <w:shd w:val="clear"/>
            <w:vAlign w:val="center"/>
          </w:tcPr>
          <w:p w14:paraId="3A189E3C">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韶山毛泽东图书馆</w:t>
            </w:r>
          </w:p>
        </w:tc>
        <w:tc>
          <w:tcPr>
            <w:tcW w:w="975" w:type="dxa"/>
            <w:tcBorders>
              <w:top w:val="single" w:color="auto" w:sz="4" w:space="0"/>
              <w:left w:val="single" w:color="auto" w:sz="4" w:space="0"/>
              <w:bottom w:val="single" w:color="auto" w:sz="4" w:space="0"/>
              <w:right w:val="single" w:color="auto" w:sz="4" w:space="0"/>
            </w:tcBorders>
            <w:shd w:val="clear"/>
            <w:vAlign w:val="center"/>
          </w:tcPr>
          <w:p w14:paraId="356ABCAF">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拟改建</w:t>
            </w:r>
          </w:p>
        </w:tc>
        <w:tc>
          <w:tcPr>
            <w:tcW w:w="1078" w:type="dxa"/>
            <w:tcBorders>
              <w:top w:val="single" w:color="auto" w:sz="4" w:space="0"/>
              <w:left w:val="single" w:color="auto" w:sz="4" w:space="0"/>
              <w:bottom w:val="single" w:color="auto" w:sz="4" w:space="0"/>
              <w:right w:val="single" w:color="auto" w:sz="4" w:space="0"/>
            </w:tcBorders>
            <w:shd w:val="clear"/>
            <w:vAlign w:val="center"/>
          </w:tcPr>
          <w:p w14:paraId="225F1F92">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毛泽东图书馆</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4C82B01D">
            <w:pPr>
              <w:keepNext w:val="0"/>
              <w:keepLines w:val="0"/>
              <w:widowControl/>
              <w:suppressLineNumbers w:val="0"/>
              <w:spacing w:before="0" w:beforeAutospacing="0" w:after="0" w:afterAutospacing="0" w:line="340" w:lineRule="exact"/>
              <w:ind w:left="0" w:right="0" w:firstLine="480" w:firstLineChars="200"/>
              <w:jc w:val="left"/>
              <w:textAlignment w:val="center"/>
              <w:rPr>
                <w:rFonts w:hint="default" w:ascii="Times New Roman" w:hAnsi="Times New Roman" w:eastAsia="仿宋_GB2312" w:cs="Times New Roman"/>
                <w:color w:val="000000"/>
                <w:kern w:val="2"/>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改造毛泽东图书馆总建筑面积约</w:t>
            </w:r>
            <w:r>
              <w:rPr>
                <w:rFonts w:hint="default" w:ascii="Times New Roman" w:hAnsi="Times New Roman" w:eastAsia="仿宋_GB2312" w:cs="Times New Roman"/>
                <w:color w:val="000000"/>
                <w:kern w:val="0"/>
                <w:sz w:val="24"/>
                <w:szCs w:val="24"/>
                <w:bdr w:val="none" w:color="auto" w:sz="0" w:space="0"/>
                <w:lang w:val="en-US" w:eastAsia="zh-CN" w:bidi="ar"/>
              </w:rPr>
              <w:t>5000m</w:t>
            </w:r>
            <w:r>
              <w:rPr>
                <w:rFonts w:hint="default" w:ascii="Times New Roman" w:hAnsi="Times New Roman" w:eastAsia="仿宋_GB2312" w:cs="Times New Roman"/>
                <w:color w:val="000000"/>
                <w:kern w:val="0"/>
                <w:sz w:val="24"/>
                <w:szCs w:val="24"/>
                <w:bdr w:val="none" w:color="auto" w:sz="0" w:space="0"/>
                <w:vertAlign w:val="superscript"/>
                <w:lang w:val="en-US" w:eastAsia="zh-CN" w:bidi="ar"/>
              </w:rPr>
              <w:t>2</w:t>
            </w:r>
            <w:r>
              <w:rPr>
                <w:rFonts w:hint="eastAsia" w:ascii="仿宋_GB2312" w:hAnsi="Times New Roman" w:eastAsia="仿宋_GB2312" w:cs="仿宋_GB2312"/>
                <w:color w:val="000000"/>
                <w:kern w:val="0"/>
                <w:sz w:val="24"/>
                <w:szCs w:val="24"/>
                <w:bdr w:val="none" w:color="auto" w:sz="0" w:space="0"/>
                <w:lang w:val="en-US" w:eastAsia="zh-CN" w:bidi="ar"/>
              </w:rPr>
              <w:t>，主要包括：</w:t>
            </w:r>
            <w:r>
              <w:rPr>
                <w:rFonts w:hint="default" w:ascii="Times New Roman" w:hAnsi="Times New Roman" w:eastAsia="仿宋_GB2312" w:cs="Times New Roman"/>
                <w:color w:val="000000"/>
                <w:kern w:val="0"/>
                <w:sz w:val="24"/>
                <w:szCs w:val="24"/>
                <w:bdr w:val="none" w:color="auto" w:sz="0" w:space="0"/>
                <w:lang w:val="en-US" w:eastAsia="zh-CN" w:bidi="ar"/>
              </w:rPr>
              <w:t>1.</w:t>
            </w:r>
            <w:r>
              <w:rPr>
                <w:rFonts w:hint="eastAsia" w:ascii="仿宋_GB2312" w:hAnsi="Times New Roman" w:eastAsia="仿宋_GB2312" w:cs="仿宋_GB2312"/>
                <w:color w:val="000000"/>
                <w:kern w:val="0"/>
                <w:sz w:val="24"/>
                <w:szCs w:val="24"/>
                <w:bdr w:val="none" w:color="auto" w:sz="0" w:space="0"/>
                <w:lang w:val="en-US" w:eastAsia="zh-CN" w:bidi="ar"/>
              </w:rPr>
              <w:t>建筑结构改造，聚焦图书馆主楼前地形高差，采用架空设计解决</w:t>
            </w:r>
            <w:r>
              <w:rPr>
                <w:rFonts w:hint="default" w:ascii="Times New Roman" w:hAnsi="Times New Roman" w:eastAsia="仿宋_GB2312" w:cs="Times New Roman"/>
                <w:color w:val="000000"/>
                <w:kern w:val="0"/>
                <w:sz w:val="24"/>
                <w:szCs w:val="24"/>
                <w:bdr w:val="none" w:color="auto" w:sz="0" w:space="0"/>
                <w:lang w:val="en-US" w:eastAsia="zh-CN" w:bidi="ar"/>
              </w:rPr>
              <w:t>5m</w:t>
            </w:r>
            <w:r>
              <w:rPr>
                <w:rFonts w:hint="eastAsia" w:ascii="仿宋_GB2312" w:hAnsi="Times New Roman" w:eastAsia="仿宋_GB2312" w:cs="仿宋_GB2312"/>
                <w:color w:val="000000"/>
                <w:kern w:val="0"/>
                <w:sz w:val="24"/>
                <w:szCs w:val="24"/>
                <w:bdr w:val="none" w:color="auto" w:sz="0" w:space="0"/>
                <w:lang w:val="en-US" w:eastAsia="zh-CN" w:bidi="ar"/>
              </w:rPr>
              <w:t>高差问题，充分利用地下空间建设红色文化广场，打造成为</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绿色生态广场（地面）</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红色文化广场（架空层）</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w:t>
            </w:r>
            <w:r>
              <w:rPr>
                <w:rFonts w:hint="default" w:ascii="Times New Roman" w:hAnsi="Times New Roman" w:eastAsia="仿宋_GB2312" w:cs="Times New Roman"/>
                <w:color w:val="000000"/>
                <w:kern w:val="0"/>
                <w:sz w:val="24"/>
                <w:szCs w:val="24"/>
                <w:bdr w:val="none" w:color="auto" w:sz="0" w:space="0"/>
                <w:lang w:val="en-US" w:eastAsia="zh-CN" w:bidi="ar"/>
              </w:rPr>
              <w:t>2.</w:t>
            </w:r>
            <w:r>
              <w:rPr>
                <w:rFonts w:hint="eastAsia" w:ascii="仿宋_GB2312" w:hAnsi="Times New Roman" w:eastAsia="仿宋_GB2312" w:cs="仿宋_GB2312"/>
                <w:color w:val="000000"/>
                <w:kern w:val="0"/>
                <w:sz w:val="24"/>
                <w:szCs w:val="24"/>
                <w:bdr w:val="none" w:color="auto" w:sz="0" w:space="0"/>
                <w:lang w:val="en-US" w:eastAsia="zh-CN" w:bidi="ar"/>
              </w:rPr>
              <w:t>对主楼屋面琉璃瓦、外立面等进行改造，使其与周边环境更加协调、美观。</w:t>
            </w:r>
            <w:r>
              <w:rPr>
                <w:rFonts w:hint="default" w:ascii="Times New Roman" w:hAnsi="Times New Roman" w:eastAsia="仿宋_GB2312" w:cs="Times New Roman"/>
                <w:color w:val="000000"/>
                <w:kern w:val="0"/>
                <w:sz w:val="24"/>
                <w:szCs w:val="24"/>
                <w:bdr w:val="none" w:color="auto" w:sz="0" w:space="0"/>
                <w:lang w:val="en-US" w:eastAsia="zh-CN" w:bidi="ar"/>
              </w:rPr>
              <w:t>3.</w:t>
            </w:r>
            <w:r>
              <w:rPr>
                <w:rFonts w:hint="eastAsia" w:ascii="仿宋_GB2312" w:hAnsi="Times New Roman" w:eastAsia="仿宋_GB2312" w:cs="仿宋_GB2312"/>
                <w:color w:val="000000"/>
                <w:kern w:val="0"/>
                <w:sz w:val="24"/>
                <w:szCs w:val="24"/>
                <w:bdr w:val="none" w:color="auto" w:sz="0" w:space="0"/>
                <w:lang w:val="en-US" w:eastAsia="zh-CN" w:bidi="ar"/>
              </w:rPr>
              <w:t>对室内书库、办公等区域重新进行调整提质，力争书库藏书容量达到</w:t>
            </w:r>
            <w:r>
              <w:rPr>
                <w:rFonts w:hint="default" w:ascii="Times New Roman" w:hAnsi="Times New Roman" w:eastAsia="仿宋_GB2312" w:cs="Times New Roman"/>
                <w:color w:val="000000"/>
                <w:kern w:val="0"/>
                <w:sz w:val="24"/>
                <w:szCs w:val="24"/>
                <w:bdr w:val="none" w:color="auto" w:sz="0" w:space="0"/>
                <w:lang w:val="en-US" w:eastAsia="zh-CN" w:bidi="ar"/>
              </w:rPr>
              <w:t>50</w:t>
            </w:r>
            <w:r>
              <w:rPr>
                <w:rFonts w:hint="eastAsia" w:ascii="仿宋_GB2312" w:hAnsi="Times New Roman" w:eastAsia="仿宋_GB2312" w:cs="仿宋_GB2312"/>
                <w:color w:val="000000"/>
                <w:kern w:val="0"/>
                <w:sz w:val="24"/>
                <w:szCs w:val="24"/>
                <w:bdr w:val="none" w:color="auto" w:sz="0" w:space="0"/>
                <w:lang w:val="en-US" w:eastAsia="zh-CN" w:bidi="ar"/>
              </w:rPr>
              <w:t>万册。</w:t>
            </w:r>
          </w:p>
        </w:tc>
        <w:tc>
          <w:tcPr>
            <w:tcW w:w="862" w:type="dxa"/>
            <w:tcBorders>
              <w:top w:val="single" w:color="auto" w:sz="4" w:space="0"/>
              <w:left w:val="single" w:color="auto" w:sz="4" w:space="0"/>
              <w:bottom w:val="single" w:color="auto" w:sz="4" w:space="0"/>
              <w:right w:val="single" w:color="auto" w:sz="4" w:space="0"/>
            </w:tcBorders>
            <w:shd w:val="clear"/>
            <w:vAlign w:val="center"/>
          </w:tcPr>
          <w:p w14:paraId="76C6B438">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2027</w:t>
            </w:r>
          </w:p>
        </w:tc>
        <w:tc>
          <w:tcPr>
            <w:tcW w:w="732" w:type="dxa"/>
            <w:tcBorders>
              <w:top w:val="single" w:color="auto" w:sz="4" w:space="0"/>
              <w:left w:val="single" w:color="auto" w:sz="4" w:space="0"/>
              <w:bottom w:val="single" w:color="auto" w:sz="4" w:space="0"/>
              <w:right w:val="single" w:color="auto" w:sz="4" w:space="0"/>
            </w:tcBorders>
            <w:shd w:val="clear"/>
            <w:vAlign w:val="center"/>
          </w:tcPr>
          <w:p w14:paraId="65E02C14">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2030</w:t>
            </w: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74A0E233">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4500</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1A0E1B68">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4500</w:t>
            </w:r>
          </w:p>
        </w:tc>
      </w:tr>
      <w:tr w14:paraId="2887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4" w:hRule="atLeast"/>
          <w:jc w:val="center"/>
        </w:trPr>
        <w:tc>
          <w:tcPr>
            <w:tcW w:w="563" w:type="dxa"/>
            <w:tcBorders>
              <w:top w:val="single" w:color="auto" w:sz="4" w:space="0"/>
              <w:left w:val="single" w:color="auto" w:sz="4" w:space="0"/>
              <w:bottom w:val="single" w:color="auto" w:sz="4" w:space="0"/>
              <w:right w:val="single" w:color="auto" w:sz="4" w:space="0"/>
            </w:tcBorders>
            <w:shd w:val="clear"/>
            <w:vAlign w:val="center"/>
          </w:tcPr>
          <w:p w14:paraId="00DB2D8B">
            <w:pPr>
              <w:keepNext w:val="0"/>
              <w:keepLines w:val="0"/>
              <w:widowControl/>
              <w:suppressLineNumbers w:val="0"/>
              <w:spacing w:before="0" w:beforeAutospacing="0" w:after="0" w:afterAutospacing="0" w:line="30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5</w:t>
            </w:r>
          </w:p>
        </w:tc>
        <w:tc>
          <w:tcPr>
            <w:tcW w:w="1560" w:type="dxa"/>
            <w:tcBorders>
              <w:top w:val="single" w:color="auto" w:sz="4" w:space="0"/>
              <w:left w:val="single" w:color="auto" w:sz="4" w:space="0"/>
              <w:bottom w:val="single" w:color="auto" w:sz="4" w:space="0"/>
              <w:right w:val="single" w:color="auto" w:sz="4" w:space="0"/>
            </w:tcBorders>
            <w:shd w:val="clear"/>
            <w:vAlign w:val="center"/>
          </w:tcPr>
          <w:p w14:paraId="6DB9B676">
            <w:pPr>
              <w:keepNext w:val="0"/>
              <w:keepLines w:val="0"/>
              <w:widowControl/>
              <w:suppressLineNumbers w:val="0"/>
              <w:spacing w:before="0" w:beforeAutospacing="0" w:after="0" w:afterAutospacing="0" w:line="340" w:lineRule="exact"/>
              <w:ind w:left="0" w:right="0"/>
              <w:jc w:val="both"/>
              <w:textAlignment w:val="center"/>
              <w:rPr>
                <w:rFonts w:hint="default" w:ascii="Times New Roman" w:hAnsi="Times New Roman" w:eastAsia="仿宋_GB2312" w:cs="Times New Roman"/>
                <w:color w:val="000000"/>
                <w:kern w:val="0"/>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韶山故居土地冲闲置资产提质改造项目</w:t>
            </w:r>
          </w:p>
        </w:tc>
        <w:tc>
          <w:tcPr>
            <w:tcW w:w="896" w:type="dxa"/>
            <w:tcBorders>
              <w:top w:val="single" w:color="auto" w:sz="4" w:space="0"/>
              <w:left w:val="single" w:color="auto" w:sz="4" w:space="0"/>
              <w:bottom w:val="single" w:color="auto" w:sz="4" w:space="0"/>
              <w:right w:val="single" w:color="auto" w:sz="4" w:space="0"/>
            </w:tcBorders>
            <w:shd w:val="clear"/>
            <w:vAlign w:val="center"/>
          </w:tcPr>
          <w:p w14:paraId="5A25710C">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韶山乡土地冲</w:t>
            </w:r>
          </w:p>
        </w:tc>
        <w:tc>
          <w:tcPr>
            <w:tcW w:w="975" w:type="dxa"/>
            <w:tcBorders>
              <w:top w:val="single" w:color="auto" w:sz="4" w:space="0"/>
              <w:left w:val="single" w:color="auto" w:sz="4" w:space="0"/>
              <w:bottom w:val="single" w:color="auto" w:sz="4" w:space="0"/>
              <w:right w:val="single" w:color="auto" w:sz="4" w:space="0"/>
            </w:tcBorders>
            <w:shd w:val="clear"/>
            <w:vAlign w:val="center"/>
          </w:tcPr>
          <w:p w14:paraId="0A67B19A">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拟改建</w:t>
            </w:r>
          </w:p>
        </w:tc>
        <w:tc>
          <w:tcPr>
            <w:tcW w:w="1078" w:type="dxa"/>
            <w:tcBorders>
              <w:top w:val="single" w:color="auto" w:sz="4" w:space="0"/>
              <w:left w:val="single" w:color="auto" w:sz="4" w:space="0"/>
              <w:bottom w:val="single" w:color="auto" w:sz="4" w:space="0"/>
              <w:right w:val="single" w:color="auto" w:sz="4" w:space="0"/>
            </w:tcBorders>
            <w:shd w:val="clear"/>
            <w:vAlign w:val="center"/>
          </w:tcPr>
          <w:p w14:paraId="745A6CEB">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毛泽东同志</w:t>
            </w:r>
          </w:p>
          <w:p w14:paraId="57F8D2A1">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纪念馆</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5B955CB5">
            <w:pPr>
              <w:keepNext w:val="0"/>
              <w:keepLines w:val="0"/>
              <w:widowControl/>
              <w:suppressLineNumbers w:val="0"/>
              <w:spacing w:before="0" w:beforeAutospacing="0" w:after="0" w:afterAutospacing="0" w:line="340" w:lineRule="exact"/>
              <w:ind w:left="0" w:right="0" w:firstLine="480" w:firstLineChars="200"/>
              <w:jc w:val="left"/>
              <w:textAlignment w:val="center"/>
              <w:rPr>
                <w:rFonts w:hint="default" w:ascii="Times New Roman" w:hAnsi="Times New Roman" w:eastAsia="仿宋_GB2312" w:cs="Times New Roman"/>
                <w:color w:val="000000"/>
                <w:kern w:val="0"/>
                <w:sz w:val="24"/>
                <w:szCs w:val="24"/>
                <w:bdr w:val="none" w:color="auto" w:sz="0" w:space="0"/>
              </w:rPr>
            </w:pPr>
            <w:r>
              <w:rPr>
                <w:rFonts w:hint="eastAsia" w:ascii="仿宋_GB2312" w:hAnsi="Times New Roman" w:eastAsia="仿宋_GB2312" w:cs="仿宋_GB2312"/>
                <w:color w:val="000000"/>
                <w:kern w:val="0"/>
                <w:sz w:val="24"/>
                <w:szCs w:val="24"/>
                <w:bdr w:val="none" w:color="auto" w:sz="0" w:space="0"/>
                <w:lang w:val="en-US" w:eastAsia="zh-CN" w:bidi="ar"/>
              </w:rPr>
              <w:t>包括：</w:t>
            </w:r>
            <w:r>
              <w:rPr>
                <w:rFonts w:hint="default" w:ascii="Times New Roman" w:hAnsi="Times New Roman" w:eastAsia="仿宋_GB2312" w:cs="Times New Roman"/>
                <w:color w:val="000000"/>
                <w:kern w:val="0"/>
                <w:sz w:val="24"/>
                <w:szCs w:val="24"/>
                <w:bdr w:val="none" w:color="auto" w:sz="0" w:space="0"/>
                <w:lang w:val="en-US" w:eastAsia="zh-CN" w:bidi="ar"/>
              </w:rPr>
              <w:t>1.</w:t>
            </w:r>
            <w:r>
              <w:rPr>
                <w:rFonts w:hint="eastAsia" w:ascii="仿宋_GB2312" w:hAnsi="Times New Roman" w:eastAsia="仿宋_GB2312" w:cs="仿宋_GB2312"/>
                <w:color w:val="000000"/>
                <w:kern w:val="0"/>
                <w:sz w:val="24"/>
                <w:szCs w:val="24"/>
                <w:bdr w:val="none" w:color="auto" w:sz="0" w:space="0"/>
                <w:lang w:val="en-US" w:eastAsia="zh-CN" w:bidi="ar"/>
              </w:rPr>
              <w:t>完成土地冲内居民的整体外迁工作；对</w:t>
            </w:r>
            <w:r>
              <w:rPr>
                <w:rFonts w:hint="default" w:ascii="Times New Roman" w:hAnsi="Times New Roman" w:eastAsia="仿宋_GB2312" w:cs="Times New Roman"/>
                <w:color w:val="000000"/>
                <w:kern w:val="0"/>
                <w:sz w:val="24"/>
                <w:szCs w:val="24"/>
                <w:bdr w:val="none" w:color="auto" w:sz="0" w:space="0"/>
                <w:lang w:val="en-US" w:eastAsia="zh-CN" w:bidi="ar"/>
              </w:rPr>
              <w:t>1959</w:t>
            </w:r>
            <w:r>
              <w:rPr>
                <w:rFonts w:hint="eastAsia" w:ascii="仿宋_GB2312" w:hAnsi="Times New Roman" w:eastAsia="仿宋_GB2312" w:cs="仿宋_GB2312"/>
                <w:color w:val="000000"/>
                <w:kern w:val="0"/>
                <w:sz w:val="24"/>
                <w:szCs w:val="24"/>
                <w:bdr w:val="none" w:color="auto" w:sz="0" w:space="0"/>
                <w:lang w:val="en-US" w:eastAsia="zh-CN" w:bidi="ar"/>
              </w:rPr>
              <w:t>年之后新建的、与历史风貌不符的建筑进行拆除；依据历史资料，对原李家屋场、原李春华家等历史建筑进行复原。</w:t>
            </w:r>
            <w:r>
              <w:rPr>
                <w:rFonts w:hint="default" w:ascii="Times New Roman" w:hAnsi="Times New Roman" w:eastAsia="仿宋_GB2312" w:cs="Times New Roman"/>
                <w:color w:val="000000"/>
                <w:kern w:val="0"/>
                <w:sz w:val="24"/>
                <w:szCs w:val="24"/>
                <w:bdr w:val="none" w:color="auto" w:sz="0" w:space="0"/>
                <w:lang w:val="en-US" w:eastAsia="zh-CN" w:bidi="ar"/>
              </w:rPr>
              <w:t>2.</w:t>
            </w:r>
            <w:r>
              <w:rPr>
                <w:rFonts w:hint="eastAsia" w:ascii="仿宋_GB2312" w:hAnsi="Times New Roman" w:eastAsia="仿宋_GB2312" w:cs="仿宋_GB2312"/>
                <w:color w:val="000000"/>
                <w:kern w:val="0"/>
                <w:sz w:val="24"/>
                <w:szCs w:val="24"/>
                <w:bdr w:val="none" w:color="auto" w:sz="0" w:space="0"/>
                <w:lang w:val="en-US" w:eastAsia="zh-CN" w:bidi="ar"/>
              </w:rPr>
              <w:t>历史环境风貌恢复。对南岸塘、上屋塘的硬质驳岸进行改造，恢复为自然驳岸；将土地冲耕地恢复种植水稻，重现</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稻浪</w:t>
            </w:r>
            <w:r>
              <w:rPr>
                <w:rFonts w:hint="default" w:ascii="Times New Roman" w:hAnsi="Times New Roman" w:eastAsia="仿宋_GB2312" w:cs="Times New Roman"/>
                <w:color w:val="000000"/>
                <w:kern w:val="0"/>
                <w:sz w:val="24"/>
                <w:szCs w:val="24"/>
                <w:bdr w:val="none" w:color="auto" w:sz="0" w:space="0"/>
                <w:lang w:val="en-US" w:eastAsia="zh-CN" w:bidi="ar"/>
              </w:rPr>
              <w:t>”</w:t>
            </w:r>
            <w:r>
              <w:rPr>
                <w:rFonts w:hint="eastAsia" w:ascii="仿宋_GB2312" w:hAnsi="Times New Roman" w:eastAsia="仿宋_GB2312" w:cs="仿宋_GB2312"/>
                <w:color w:val="000000"/>
                <w:kern w:val="0"/>
                <w:sz w:val="24"/>
                <w:szCs w:val="24"/>
                <w:bdr w:val="none" w:color="auto" w:sz="0" w:space="0"/>
                <w:lang w:val="en-US" w:eastAsia="zh-CN" w:bidi="ar"/>
              </w:rPr>
              <w:t>情景；对晒谷坪场地进行风貌恢复，采用固化土质地面与台阶；对田间道路进行自然化改造。</w:t>
            </w:r>
            <w:r>
              <w:rPr>
                <w:rFonts w:hint="default" w:ascii="Times New Roman" w:hAnsi="Times New Roman" w:eastAsia="仿宋_GB2312" w:cs="Times New Roman"/>
                <w:color w:val="000000"/>
                <w:kern w:val="0"/>
                <w:sz w:val="24"/>
                <w:szCs w:val="24"/>
                <w:bdr w:val="none" w:color="auto" w:sz="0" w:space="0"/>
                <w:lang w:val="en-US" w:eastAsia="zh-CN" w:bidi="ar"/>
              </w:rPr>
              <w:t>3.</w:t>
            </w:r>
            <w:r>
              <w:rPr>
                <w:rFonts w:hint="eastAsia" w:ascii="仿宋_GB2312" w:hAnsi="Times New Roman" w:eastAsia="仿宋_GB2312" w:cs="仿宋_GB2312"/>
                <w:color w:val="000000"/>
                <w:kern w:val="0"/>
                <w:sz w:val="24"/>
                <w:szCs w:val="24"/>
                <w:bdr w:val="none" w:color="auto" w:sz="0" w:space="0"/>
                <w:lang w:val="en-US" w:eastAsia="zh-CN" w:bidi="ar"/>
              </w:rPr>
              <w:t>基础设施与环境提升。对毛泽东同志故居东侧隧道进行通风与环境整治；对张旭冲道路及沿线环境进行整修与整治；逐步将土地冲、张旭冲区域的架空电线改为地埋方式。</w:t>
            </w:r>
          </w:p>
        </w:tc>
        <w:tc>
          <w:tcPr>
            <w:tcW w:w="862" w:type="dxa"/>
            <w:tcBorders>
              <w:top w:val="single" w:color="auto" w:sz="4" w:space="0"/>
              <w:left w:val="single" w:color="auto" w:sz="4" w:space="0"/>
              <w:bottom w:val="single" w:color="auto" w:sz="4" w:space="0"/>
              <w:right w:val="single" w:color="auto" w:sz="4" w:space="0"/>
            </w:tcBorders>
            <w:shd w:val="clear"/>
            <w:vAlign w:val="center"/>
          </w:tcPr>
          <w:p w14:paraId="515B355B">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2028</w:t>
            </w:r>
          </w:p>
        </w:tc>
        <w:tc>
          <w:tcPr>
            <w:tcW w:w="732" w:type="dxa"/>
            <w:tcBorders>
              <w:top w:val="single" w:color="auto" w:sz="4" w:space="0"/>
              <w:left w:val="single" w:color="auto" w:sz="4" w:space="0"/>
              <w:bottom w:val="single" w:color="auto" w:sz="4" w:space="0"/>
              <w:right w:val="single" w:color="auto" w:sz="4" w:space="0"/>
            </w:tcBorders>
            <w:shd w:val="clear"/>
            <w:vAlign w:val="center"/>
          </w:tcPr>
          <w:p w14:paraId="7E598B3B">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2030</w:t>
            </w: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76C136DF">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3929</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524E4BCD">
            <w:pPr>
              <w:keepNext w:val="0"/>
              <w:keepLines w:val="0"/>
              <w:widowControl/>
              <w:suppressLineNumbers w:val="0"/>
              <w:spacing w:before="0" w:beforeAutospacing="0" w:after="0" w:afterAutospacing="0" w:line="340" w:lineRule="exact"/>
              <w:ind w:left="0" w:right="0"/>
              <w:jc w:val="center"/>
              <w:textAlignment w:val="center"/>
              <w:rPr>
                <w:rFonts w:hint="default" w:ascii="Times New Roman" w:hAnsi="Times New Roman" w:eastAsia="仿宋_GB2312" w:cs="Times New Roman"/>
                <w:color w:val="000000"/>
                <w:kern w:val="0"/>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3929</w:t>
            </w:r>
          </w:p>
        </w:tc>
      </w:tr>
      <w:tr w14:paraId="29105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658" w:hRule="atLeast"/>
          <w:jc w:val="center"/>
        </w:trPr>
        <w:tc>
          <w:tcPr>
            <w:tcW w:w="563" w:type="dxa"/>
            <w:tcBorders>
              <w:top w:val="single" w:color="auto" w:sz="4" w:space="0"/>
              <w:left w:val="single" w:color="auto" w:sz="4" w:space="0"/>
              <w:bottom w:val="single" w:color="auto" w:sz="4" w:space="0"/>
              <w:right w:val="single" w:color="auto" w:sz="4" w:space="0"/>
            </w:tcBorders>
            <w:shd w:val="clear"/>
            <w:vAlign w:val="center"/>
          </w:tcPr>
          <w:p w14:paraId="70E61A28">
            <w:pPr>
              <w:keepNext w:val="0"/>
              <w:keepLines w:val="0"/>
              <w:widowControl/>
              <w:suppressLineNumbers w:val="0"/>
              <w:spacing w:before="0" w:beforeAutospacing="0" w:after="0" w:afterAutospacing="0" w:line="30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6</w:t>
            </w:r>
          </w:p>
        </w:tc>
        <w:tc>
          <w:tcPr>
            <w:tcW w:w="1560" w:type="dxa"/>
            <w:tcBorders>
              <w:top w:val="single" w:color="auto" w:sz="4" w:space="0"/>
              <w:left w:val="single" w:color="auto" w:sz="4" w:space="0"/>
              <w:bottom w:val="single" w:color="auto" w:sz="4" w:space="0"/>
              <w:right w:val="single" w:color="auto" w:sz="4" w:space="0"/>
            </w:tcBorders>
            <w:shd w:val="clear"/>
            <w:vAlign w:val="center"/>
          </w:tcPr>
          <w:p w14:paraId="0FA32175">
            <w:pPr>
              <w:keepNext w:val="0"/>
              <w:keepLines w:val="0"/>
              <w:widowControl/>
              <w:suppressLineNumbers w:val="0"/>
              <w:spacing w:before="0" w:beforeAutospacing="0" w:after="0" w:afterAutospacing="0" w:line="340" w:lineRule="exact"/>
              <w:ind w:left="0" w:right="0"/>
              <w:jc w:val="both"/>
              <w:textAlignment w:val="center"/>
              <w:rPr>
                <w:rFonts w:hint="eastAsia" w:ascii="仿宋_GB2312" w:eastAsia="仿宋_GB2312" w:cs="仿宋_GB2312"/>
                <w:color w:val="000000"/>
                <w:kern w:val="2"/>
                <w:sz w:val="24"/>
                <w:szCs w:val="24"/>
                <w:bdr w:val="none" w:color="auto" w:sz="0" w:space="0"/>
              </w:rPr>
            </w:pPr>
            <w:r>
              <w:rPr>
                <w:rFonts w:hint="eastAsia" w:ascii="仿宋_GB2312" w:hAnsi="Calibri" w:eastAsia="仿宋_GB2312" w:cs="仿宋_GB2312"/>
                <w:color w:val="000000"/>
                <w:kern w:val="0"/>
                <w:sz w:val="24"/>
                <w:szCs w:val="24"/>
                <w:bdr w:val="none" w:color="auto" w:sz="0" w:space="0"/>
                <w:lang w:val="en-US" w:eastAsia="zh-CN" w:bidi="ar"/>
              </w:rPr>
              <w:t>韶山核心景区生态保护工程项目</w:t>
            </w:r>
          </w:p>
        </w:tc>
        <w:tc>
          <w:tcPr>
            <w:tcW w:w="896" w:type="dxa"/>
            <w:tcBorders>
              <w:top w:val="single" w:color="auto" w:sz="4" w:space="0"/>
              <w:left w:val="single" w:color="auto" w:sz="4" w:space="0"/>
              <w:bottom w:val="single" w:color="auto" w:sz="4" w:space="0"/>
              <w:right w:val="single" w:color="auto" w:sz="4" w:space="0"/>
            </w:tcBorders>
            <w:shd w:val="clear"/>
            <w:vAlign w:val="center"/>
          </w:tcPr>
          <w:p w14:paraId="0AE37CBE">
            <w:pPr>
              <w:keepNext w:val="0"/>
              <w:keepLines w:val="0"/>
              <w:widowControl/>
              <w:suppressLineNumbers w:val="0"/>
              <w:spacing w:before="0" w:beforeAutospacing="0" w:after="0" w:afterAutospacing="0" w:line="34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eastAsia" w:ascii="仿宋_GB2312" w:hAnsi="Calibri" w:eastAsia="仿宋_GB2312" w:cs="仿宋_GB2312"/>
                <w:color w:val="000000"/>
                <w:kern w:val="0"/>
                <w:sz w:val="24"/>
                <w:szCs w:val="24"/>
                <w:bdr w:val="none" w:color="auto" w:sz="0" w:space="0"/>
                <w:lang w:val="en-US" w:eastAsia="zh-CN" w:bidi="ar"/>
              </w:rPr>
              <w:t>韶山革命纪念地</w:t>
            </w:r>
          </w:p>
        </w:tc>
        <w:tc>
          <w:tcPr>
            <w:tcW w:w="975" w:type="dxa"/>
            <w:tcBorders>
              <w:top w:val="single" w:color="auto" w:sz="4" w:space="0"/>
              <w:left w:val="single" w:color="auto" w:sz="4" w:space="0"/>
              <w:bottom w:val="single" w:color="auto" w:sz="4" w:space="0"/>
              <w:right w:val="single" w:color="auto" w:sz="4" w:space="0"/>
            </w:tcBorders>
            <w:shd w:val="clear"/>
            <w:vAlign w:val="center"/>
          </w:tcPr>
          <w:p w14:paraId="490161AE">
            <w:pPr>
              <w:keepNext w:val="0"/>
              <w:keepLines w:val="0"/>
              <w:widowControl/>
              <w:suppressLineNumbers w:val="0"/>
              <w:spacing w:before="0" w:beforeAutospacing="0" w:after="0" w:afterAutospacing="0" w:line="34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eastAsia" w:ascii="仿宋_GB2312" w:hAnsi="Calibri" w:eastAsia="仿宋_GB2312" w:cs="仿宋_GB2312"/>
                <w:color w:val="000000"/>
                <w:kern w:val="0"/>
                <w:sz w:val="24"/>
                <w:szCs w:val="24"/>
                <w:bdr w:val="none" w:color="auto" w:sz="0" w:space="0"/>
                <w:lang w:val="en-US" w:eastAsia="zh-CN" w:bidi="ar"/>
              </w:rPr>
              <w:t>拟改建</w:t>
            </w:r>
          </w:p>
        </w:tc>
        <w:tc>
          <w:tcPr>
            <w:tcW w:w="1078" w:type="dxa"/>
            <w:tcBorders>
              <w:top w:val="single" w:color="auto" w:sz="4" w:space="0"/>
              <w:left w:val="single" w:color="auto" w:sz="4" w:space="0"/>
              <w:bottom w:val="single" w:color="auto" w:sz="4" w:space="0"/>
              <w:right w:val="single" w:color="auto" w:sz="4" w:space="0"/>
            </w:tcBorders>
            <w:shd w:val="clear"/>
            <w:vAlign w:val="center"/>
          </w:tcPr>
          <w:p w14:paraId="03E40131">
            <w:pPr>
              <w:keepNext w:val="0"/>
              <w:keepLines w:val="0"/>
              <w:widowControl/>
              <w:suppressLineNumbers w:val="0"/>
              <w:spacing w:before="0" w:beforeAutospacing="0" w:after="0" w:afterAutospacing="0" w:line="34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eastAsia" w:ascii="仿宋_GB2312" w:hAnsi="Calibri" w:eastAsia="仿宋_GB2312" w:cs="仿宋_GB2312"/>
                <w:color w:val="000000"/>
                <w:kern w:val="0"/>
                <w:sz w:val="24"/>
                <w:szCs w:val="24"/>
                <w:bdr w:val="none" w:color="auto" w:sz="0" w:space="0"/>
                <w:lang w:val="en-US" w:eastAsia="zh-CN" w:bidi="ar"/>
              </w:rPr>
              <w:t>园林环卫管理处</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16841653">
            <w:pPr>
              <w:keepNext w:val="0"/>
              <w:keepLines w:val="0"/>
              <w:widowControl/>
              <w:suppressLineNumbers w:val="0"/>
              <w:spacing w:before="0" w:beforeAutospacing="0" w:after="0" w:afterAutospacing="0" w:line="340" w:lineRule="exact"/>
              <w:ind w:left="0" w:right="0" w:firstLine="480" w:firstLineChars="200"/>
              <w:jc w:val="left"/>
              <w:textAlignment w:val="center"/>
              <w:rPr>
                <w:rFonts w:hint="eastAsia" w:ascii="仿宋_GB2312" w:eastAsia="仿宋_GB2312" w:cs="仿宋_GB2312"/>
                <w:color w:val="000000"/>
                <w:kern w:val="2"/>
                <w:sz w:val="24"/>
                <w:szCs w:val="24"/>
                <w:bdr w:val="none" w:color="auto" w:sz="0" w:space="0"/>
              </w:rPr>
            </w:pPr>
            <w:r>
              <w:rPr>
                <w:rFonts w:hint="eastAsia" w:ascii="仿宋_GB2312" w:hAnsi="Calibri" w:eastAsia="仿宋_GB2312" w:cs="仿宋_GB2312"/>
                <w:color w:val="000000"/>
                <w:kern w:val="2"/>
                <w:sz w:val="24"/>
                <w:szCs w:val="24"/>
                <w:bdr w:val="none" w:color="auto" w:sz="0" w:space="0"/>
                <w:lang w:val="en-US" w:eastAsia="zh-CN" w:bidi="ar"/>
              </w:rPr>
              <w:t>包括：</w:t>
            </w:r>
            <w:r>
              <w:rPr>
                <w:rFonts w:hint="default" w:ascii="Times New Roman" w:hAnsi="Times New Roman" w:eastAsia="仿宋_GB2312" w:cs="Times New Roman"/>
                <w:color w:val="000000"/>
                <w:kern w:val="2"/>
                <w:sz w:val="24"/>
                <w:szCs w:val="24"/>
                <w:bdr w:val="none" w:color="auto" w:sz="0" w:space="0"/>
                <w:lang w:val="en-US" w:eastAsia="zh-CN" w:bidi="ar"/>
              </w:rPr>
              <w:t>1</w:t>
            </w:r>
            <w:r>
              <w:rPr>
                <w:rFonts w:hint="eastAsia" w:ascii="仿宋_GB2312" w:hAnsi="Calibri" w:eastAsia="仿宋_GB2312" w:cs="仿宋_GB2312"/>
                <w:color w:val="000000"/>
                <w:kern w:val="2"/>
                <w:sz w:val="24"/>
                <w:szCs w:val="24"/>
                <w:bdr w:val="none" w:color="auto" w:sz="0" w:space="0"/>
                <w:lang w:val="en-US" w:eastAsia="zh-CN" w:bidi="ar"/>
              </w:rPr>
              <w:t>.对</w:t>
            </w:r>
            <w:r>
              <w:rPr>
                <w:rFonts w:hint="default" w:ascii="Times New Roman" w:hAnsi="Times New Roman" w:eastAsia="仿宋_GB2312" w:cs="Times New Roman"/>
                <w:color w:val="000000"/>
                <w:kern w:val="2"/>
                <w:sz w:val="24"/>
                <w:szCs w:val="24"/>
                <w:bdr w:val="none" w:color="auto" w:sz="0" w:space="0"/>
                <w:lang w:val="en-US" w:eastAsia="zh-CN" w:bidi="ar"/>
              </w:rPr>
              <w:t>3000</w:t>
            </w:r>
            <w:r>
              <w:rPr>
                <w:rFonts w:hint="eastAsia" w:ascii="仿宋_GB2312" w:hAnsi="Calibri" w:eastAsia="仿宋_GB2312" w:cs="仿宋_GB2312"/>
                <w:color w:val="000000"/>
                <w:kern w:val="2"/>
                <w:sz w:val="24"/>
                <w:szCs w:val="24"/>
                <w:bdr w:val="none" w:color="auto" w:sz="0" w:space="0"/>
                <w:lang w:val="en-US" w:eastAsia="zh-CN" w:bidi="ar"/>
              </w:rPr>
              <w:t>亩国有林区开展林业有害生物可持续控制及古树名木抢救复壮与系统性保护。</w:t>
            </w:r>
            <w:bookmarkStart w:id="0" w:name="_GoBack"/>
            <w:bookmarkEnd w:id="0"/>
            <w:r>
              <w:rPr>
                <w:rFonts w:hint="default" w:ascii="Times New Roman" w:hAnsi="Times New Roman" w:eastAsia="仿宋_GB2312" w:cs="Times New Roman"/>
                <w:color w:val="000000"/>
                <w:kern w:val="2"/>
                <w:sz w:val="24"/>
                <w:szCs w:val="24"/>
                <w:bdr w:val="none" w:color="auto" w:sz="0" w:space="0"/>
                <w:lang w:val="en-US" w:eastAsia="zh-CN" w:bidi="ar"/>
              </w:rPr>
              <w:t>2</w:t>
            </w:r>
            <w:r>
              <w:rPr>
                <w:rFonts w:hint="eastAsia" w:ascii="仿宋_GB2312" w:hAnsi="Calibri" w:eastAsia="仿宋_GB2312" w:cs="仿宋_GB2312"/>
                <w:color w:val="000000"/>
                <w:kern w:val="2"/>
                <w:sz w:val="24"/>
                <w:szCs w:val="24"/>
                <w:bdr w:val="none" w:color="auto" w:sz="0" w:space="0"/>
                <w:lang w:val="en-US" w:eastAsia="zh-CN" w:bidi="ar"/>
              </w:rPr>
              <w:t>.森林防火基础设施强化升级，新建瞭望塔、视频监控点、林火阻隔系统（生物防火林带），完善“以水灭火”管网体系，配备先进灭火装备和无人机，结合“智慧生态韶山”一体化管理平台构建空地一体、人防技防物防结合的现代化防火体系。</w:t>
            </w:r>
          </w:p>
        </w:tc>
        <w:tc>
          <w:tcPr>
            <w:tcW w:w="862" w:type="dxa"/>
            <w:tcBorders>
              <w:top w:val="single" w:color="auto" w:sz="4" w:space="0"/>
              <w:left w:val="single" w:color="auto" w:sz="4" w:space="0"/>
              <w:bottom w:val="single" w:color="auto" w:sz="4" w:space="0"/>
              <w:right w:val="single" w:color="auto" w:sz="4" w:space="0"/>
            </w:tcBorders>
            <w:shd w:val="clear"/>
            <w:vAlign w:val="center"/>
          </w:tcPr>
          <w:p w14:paraId="2E7FB4CF">
            <w:pPr>
              <w:keepNext w:val="0"/>
              <w:keepLines w:val="0"/>
              <w:widowControl/>
              <w:suppressLineNumbers w:val="0"/>
              <w:spacing w:before="0" w:beforeAutospacing="0" w:after="0" w:afterAutospacing="0" w:line="34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2026</w:t>
            </w:r>
          </w:p>
        </w:tc>
        <w:tc>
          <w:tcPr>
            <w:tcW w:w="732" w:type="dxa"/>
            <w:tcBorders>
              <w:top w:val="single" w:color="auto" w:sz="4" w:space="0"/>
              <w:left w:val="single" w:color="auto" w:sz="4" w:space="0"/>
              <w:bottom w:val="single" w:color="auto" w:sz="4" w:space="0"/>
              <w:right w:val="single" w:color="auto" w:sz="4" w:space="0"/>
            </w:tcBorders>
            <w:shd w:val="clear"/>
            <w:vAlign w:val="center"/>
          </w:tcPr>
          <w:p w14:paraId="5B1DD4BF">
            <w:pPr>
              <w:keepNext w:val="0"/>
              <w:keepLines w:val="0"/>
              <w:widowControl/>
              <w:suppressLineNumbers w:val="0"/>
              <w:spacing w:before="0" w:beforeAutospacing="0" w:after="0" w:afterAutospacing="0" w:line="34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2030</w:t>
            </w: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3900CA34">
            <w:pPr>
              <w:keepNext w:val="0"/>
              <w:keepLines w:val="0"/>
              <w:widowControl/>
              <w:suppressLineNumbers w:val="0"/>
              <w:spacing w:before="0" w:beforeAutospacing="0" w:after="0" w:afterAutospacing="0" w:line="34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4850</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6095E077">
            <w:pPr>
              <w:keepNext w:val="0"/>
              <w:keepLines w:val="0"/>
              <w:widowControl/>
              <w:suppressLineNumbers w:val="0"/>
              <w:spacing w:before="0" w:beforeAutospacing="0" w:after="0" w:afterAutospacing="0" w:line="340" w:lineRule="exact"/>
              <w:ind w:left="0" w:right="0"/>
              <w:jc w:val="center"/>
              <w:textAlignment w:val="center"/>
              <w:rPr>
                <w:rFonts w:hint="eastAsia" w:ascii="仿宋_GB2312" w:eastAsia="仿宋_GB2312" w:cs="仿宋_GB2312"/>
                <w:color w:val="000000"/>
                <w:kern w:val="2"/>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4850</w:t>
            </w:r>
          </w:p>
        </w:tc>
      </w:tr>
      <w:tr w14:paraId="7CBB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31" w:hRule="atLeast"/>
          <w:jc w:val="center"/>
        </w:trPr>
        <w:tc>
          <w:tcPr>
            <w:tcW w:w="5072" w:type="dxa"/>
            <w:gridSpan w:val="5"/>
            <w:tcBorders>
              <w:top w:val="single" w:color="auto" w:sz="4" w:space="0"/>
              <w:left w:val="single" w:color="auto" w:sz="4" w:space="0"/>
              <w:bottom w:val="single" w:color="auto" w:sz="4" w:space="0"/>
              <w:right w:val="single" w:color="auto" w:sz="4" w:space="0"/>
            </w:tcBorders>
            <w:shd w:val="clear"/>
            <w:vAlign w:val="center"/>
          </w:tcPr>
          <w:p w14:paraId="6E82EB18">
            <w:pPr>
              <w:keepNext w:val="0"/>
              <w:keepLines w:val="0"/>
              <w:widowControl/>
              <w:suppressLineNumbers w:val="0"/>
              <w:tabs>
                <w:tab w:val="left" w:pos="1044"/>
              </w:tabs>
              <w:spacing w:before="0" w:beforeAutospacing="0" w:after="0" w:afterAutospacing="0" w:line="300" w:lineRule="exact"/>
              <w:ind w:left="0" w:right="0"/>
              <w:jc w:val="both"/>
              <w:textAlignment w:val="center"/>
              <w:rPr>
                <w:rFonts w:hint="eastAsia" w:ascii="仿宋_GB2312" w:eastAsia="仿宋_GB2312" w:cs="仿宋_GB2312"/>
                <w:color w:val="000000"/>
                <w:kern w:val="0"/>
                <w:sz w:val="24"/>
                <w:szCs w:val="24"/>
                <w:bdr w:val="none" w:color="auto" w:sz="0" w:space="0"/>
              </w:rPr>
            </w:pPr>
            <w:r>
              <w:rPr>
                <w:rFonts w:hint="eastAsia" w:ascii="仿宋_GB2312" w:hAnsi="Calibri" w:eastAsia="仿宋_GB2312" w:cs="仿宋_GB2312"/>
                <w:color w:val="000000"/>
                <w:kern w:val="0"/>
                <w:sz w:val="24"/>
                <w:szCs w:val="24"/>
                <w:bdr w:val="none" w:color="auto" w:sz="0" w:space="0"/>
                <w:lang w:val="en-US" w:eastAsia="zh-CN" w:bidi="ar"/>
              </w:rPr>
              <w:tab/>
              <w:t>小计</w:t>
            </w:r>
          </w:p>
        </w:tc>
        <w:tc>
          <w:tcPr>
            <w:tcW w:w="5431" w:type="dxa"/>
            <w:tcBorders>
              <w:top w:val="single" w:color="auto" w:sz="4" w:space="0"/>
              <w:left w:val="single" w:color="auto" w:sz="4" w:space="0"/>
              <w:bottom w:val="single" w:color="auto" w:sz="4" w:space="0"/>
              <w:right w:val="single" w:color="auto" w:sz="4" w:space="0"/>
            </w:tcBorders>
            <w:shd w:val="clear"/>
            <w:vAlign w:val="center"/>
          </w:tcPr>
          <w:p w14:paraId="01BAD4C2">
            <w:pPr>
              <w:keepNext w:val="0"/>
              <w:keepLines w:val="0"/>
              <w:widowControl/>
              <w:suppressLineNumbers w:val="0"/>
              <w:spacing w:before="0" w:beforeAutospacing="0" w:after="0" w:afterAutospacing="0" w:line="300" w:lineRule="exact"/>
              <w:ind w:left="0" w:right="0" w:firstLine="480" w:firstLineChars="200"/>
              <w:jc w:val="left"/>
              <w:textAlignment w:val="center"/>
              <w:rPr>
                <w:rFonts w:hint="eastAsia" w:ascii="仿宋_GB2312" w:eastAsia="仿宋_GB2312" w:cs="仿宋_GB2312"/>
                <w:color w:val="000000"/>
                <w:kern w:val="2"/>
                <w:sz w:val="24"/>
                <w:szCs w:val="24"/>
                <w:bdr w:val="none" w:color="auto" w:sz="0" w:space="0"/>
              </w:rPr>
            </w:pPr>
          </w:p>
        </w:tc>
        <w:tc>
          <w:tcPr>
            <w:tcW w:w="862" w:type="dxa"/>
            <w:tcBorders>
              <w:top w:val="single" w:color="auto" w:sz="4" w:space="0"/>
              <w:left w:val="single" w:color="auto" w:sz="4" w:space="0"/>
              <w:bottom w:val="single" w:color="auto" w:sz="4" w:space="0"/>
              <w:right w:val="single" w:color="auto" w:sz="4" w:space="0"/>
            </w:tcBorders>
            <w:shd w:val="clear"/>
            <w:vAlign w:val="center"/>
          </w:tcPr>
          <w:p w14:paraId="6295F73D">
            <w:pPr>
              <w:keepNext w:val="0"/>
              <w:keepLines w:val="0"/>
              <w:widowControl/>
              <w:suppressLineNumbers w:val="0"/>
              <w:spacing w:before="0" w:beforeAutospacing="0" w:after="0" w:afterAutospacing="0" w:line="300" w:lineRule="exact"/>
              <w:ind w:left="0" w:right="0"/>
              <w:jc w:val="center"/>
              <w:textAlignment w:val="center"/>
              <w:rPr>
                <w:rFonts w:hint="eastAsia" w:ascii="仿宋_GB2312" w:eastAsia="仿宋_GB2312" w:cs="仿宋_GB2312"/>
                <w:color w:val="000000"/>
                <w:kern w:val="0"/>
                <w:sz w:val="24"/>
                <w:szCs w:val="24"/>
                <w:bdr w:val="none" w:color="auto" w:sz="0" w:space="0"/>
              </w:rPr>
            </w:pPr>
          </w:p>
        </w:tc>
        <w:tc>
          <w:tcPr>
            <w:tcW w:w="732" w:type="dxa"/>
            <w:tcBorders>
              <w:top w:val="single" w:color="auto" w:sz="4" w:space="0"/>
              <w:left w:val="single" w:color="auto" w:sz="4" w:space="0"/>
              <w:bottom w:val="single" w:color="auto" w:sz="4" w:space="0"/>
              <w:right w:val="single" w:color="auto" w:sz="4" w:space="0"/>
            </w:tcBorders>
            <w:shd w:val="clear"/>
            <w:vAlign w:val="center"/>
          </w:tcPr>
          <w:p w14:paraId="46EA517E">
            <w:pPr>
              <w:keepNext w:val="0"/>
              <w:keepLines w:val="0"/>
              <w:widowControl/>
              <w:suppressLineNumbers w:val="0"/>
              <w:spacing w:before="0" w:beforeAutospacing="0" w:after="0" w:afterAutospacing="0" w:line="300" w:lineRule="exact"/>
              <w:ind w:left="0" w:right="0"/>
              <w:jc w:val="center"/>
              <w:textAlignment w:val="center"/>
              <w:rPr>
                <w:rFonts w:hint="eastAsia" w:ascii="仿宋_GB2312" w:eastAsia="仿宋_GB2312" w:cs="仿宋_GB2312"/>
                <w:color w:val="000000"/>
                <w:kern w:val="0"/>
                <w:sz w:val="24"/>
                <w:szCs w:val="24"/>
                <w:bdr w:val="none" w:color="auto" w:sz="0" w:space="0"/>
              </w:rPr>
            </w:pPr>
          </w:p>
        </w:tc>
        <w:tc>
          <w:tcPr>
            <w:tcW w:w="1296" w:type="dxa"/>
            <w:tcBorders>
              <w:top w:val="single" w:color="auto" w:sz="4" w:space="0"/>
              <w:left w:val="single" w:color="auto" w:sz="4" w:space="0"/>
              <w:bottom w:val="single" w:color="auto" w:sz="4" w:space="0"/>
              <w:right w:val="single" w:color="auto" w:sz="4" w:space="0"/>
            </w:tcBorders>
            <w:shd w:val="clear"/>
            <w:vAlign w:val="center"/>
          </w:tcPr>
          <w:p w14:paraId="04BAF1EA">
            <w:pPr>
              <w:keepNext w:val="0"/>
              <w:keepLines w:val="0"/>
              <w:widowControl/>
              <w:suppressLineNumbers w:val="0"/>
              <w:spacing w:before="0" w:beforeAutospacing="0" w:after="0" w:afterAutospacing="0" w:line="300" w:lineRule="exact"/>
              <w:ind w:left="0" w:right="0"/>
              <w:jc w:val="center"/>
              <w:textAlignment w:val="center"/>
              <w:rPr>
                <w:rFonts w:hint="eastAsia" w:ascii="仿宋_GB2312" w:eastAsia="仿宋_GB2312" w:cs="仿宋_GB2312"/>
                <w:color w:val="000000"/>
                <w:kern w:val="0"/>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26114</w:t>
            </w:r>
            <w:r>
              <w:rPr>
                <w:rFonts w:hint="eastAsia" w:ascii="仿宋_GB2312" w:hAnsi="Calibri" w:eastAsia="仿宋_GB2312" w:cs="仿宋_GB2312"/>
                <w:color w:val="000000"/>
                <w:kern w:val="0"/>
                <w:sz w:val="24"/>
                <w:szCs w:val="24"/>
                <w:bdr w:val="none" w:color="auto" w:sz="0" w:space="0"/>
                <w:lang w:val="en-US" w:eastAsia="zh-CN" w:bidi="ar"/>
              </w:rPr>
              <w:t>.</w:t>
            </w:r>
            <w:r>
              <w:rPr>
                <w:rFonts w:hint="default" w:ascii="Times New Roman" w:hAnsi="Times New Roman" w:eastAsia="仿宋_GB2312" w:cs="Times New Roman"/>
                <w:color w:val="000000"/>
                <w:kern w:val="0"/>
                <w:sz w:val="24"/>
                <w:szCs w:val="24"/>
                <w:bdr w:val="none" w:color="auto" w:sz="0" w:space="0"/>
                <w:lang w:val="en-US" w:eastAsia="zh-CN" w:bidi="ar"/>
              </w:rPr>
              <w:t>69</w:t>
            </w:r>
          </w:p>
        </w:tc>
        <w:tc>
          <w:tcPr>
            <w:tcW w:w="1405" w:type="dxa"/>
            <w:tcBorders>
              <w:top w:val="single" w:color="auto" w:sz="4" w:space="0"/>
              <w:left w:val="single" w:color="auto" w:sz="4" w:space="0"/>
              <w:bottom w:val="single" w:color="auto" w:sz="4" w:space="0"/>
              <w:right w:val="single" w:color="auto" w:sz="4" w:space="0"/>
            </w:tcBorders>
            <w:shd w:val="clear"/>
            <w:vAlign w:val="center"/>
          </w:tcPr>
          <w:p w14:paraId="1EBC312F">
            <w:pPr>
              <w:keepNext w:val="0"/>
              <w:keepLines w:val="0"/>
              <w:widowControl/>
              <w:suppressLineNumbers w:val="0"/>
              <w:spacing w:before="0" w:beforeAutospacing="0" w:after="0" w:afterAutospacing="0" w:line="300" w:lineRule="exact"/>
              <w:ind w:left="0" w:right="0"/>
              <w:jc w:val="center"/>
              <w:textAlignment w:val="center"/>
              <w:rPr>
                <w:rFonts w:hint="eastAsia" w:ascii="仿宋_GB2312" w:eastAsia="仿宋_GB2312" w:cs="仿宋_GB2312"/>
                <w:color w:val="000000"/>
                <w:kern w:val="0"/>
                <w:sz w:val="24"/>
                <w:szCs w:val="24"/>
                <w:bdr w:val="none" w:color="auto" w:sz="0" w:space="0"/>
              </w:rPr>
            </w:pPr>
            <w:r>
              <w:rPr>
                <w:rFonts w:hint="default" w:ascii="Times New Roman" w:hAnsi="Times New Roman" w:eastAsia="仿宋_GB2312" w:cs="Times New Roman"/>
                <w:color w:val="000000"/>
                <w:kern w:val="0"/>
                <w:sz w:val="24"/>
                <w:szCs w:val="24"/>
                <w:bdr w:val="none" w:color="auto" w:sz="0" w:space="0"/>
                <w:lang w:val="en-US" w:eastAsia="zh-CN" w:bidi="ar"/>
              </w:rPr>
              <w:t>26114</w:t>
            </w:r>
            <w:r>
              <w:rPr>
                <w:rFonts w:hint="eastAsia" w:ascii="仿宋_GB2312" w:hAnsi="Calibri" w:eastAsia="仿宋_GB2312" w:cs="仿宋_GB2312"/>
                <w:color w:val="000000"/>
                <w:kern w:val="0"/>
                <w:sz w:val="24"/>
                <w:szCs w:val="24"/>
                <w:bdr w:val="none" w:color="auto" w:sz="0" w:space="0"/>
                <w:lang w:val="en-US" w:eastAsia="zh-CN" w:bidi="ar"/>
              </w:rPr>
              <w:t>.</w:t>
            </w:r>
            <w:r>
              <w:rPr>
                <w:rFonts w:hint="default" w:ascii="Times New Roman" w:hAnsi="Times New Roman" w:eastAsia="仿宋_GB2312" w:cs="Times New Roman"/>
                <w:color w:val="000000"/>
                <w:kern w:val="0"/>
                <w:sz w:val="24"/>
                <w:szCs w:val="24"/>
                <w:bdr w:val="none" w:color="auto" w:sz="0" w:space="0"/>
                <w:lang w:val="en-US" w:eastAsia="zh-CN" w:bidi="ar"/>
              </w:rPr>
              <w:t>69</w:t>
            </w:r>
          </w:p>
        </w:tc>
      </w:tr>
    </w:tbl>
    <w:p w14:paraId="680BC9D1">
      <w:pPr>
        <w:keepNext w:val="0"/>
        <w:keepLines w:val="0"/>
        <w:widowControl/>
        <w:suppressLineNumbers w:val="0"/>
        <w:jc w:val="left"/>
        <w:rPr>
          <w:rFonts w:hint="default" w:ascii="Times New Roman" w:hAnsi="Times New Roman" w:cs="Times New Roman"/>
          <w:kern w:val="2"/>
          <w:sz w:val="21"/>
          <w:szCs w:val="21"/>
        </w:rPr>
        <w:sectPr>
          <w:pgSz w:w="15842" w:h="12242" w:orient="landscape"/>
          <w:pgMar w:top="1440" w:right="1800" w:bottom="1440" w:left="1800" w:header="851" w:footer="992" w:gutter="0"/>
          <w:cols w:space="425" w:num="1"/>
          <w:docGrid w:type="lines" w:linePitch="312" w:charSpace="0"/>
        </w:sectPr>
      </w:pPr>
    </w:p>
    <w:p w14:paraId="2503C498"/>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EDF267-59EF-4DAA-86D3-B3CD7A25BF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8D8D7B7-E515-4BD2-B9A2-A7F5B06FEF6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script"/>
    <w:pitch w:val="default"/>
    <w:sig w:usb0="A00002BF" w:usb1="38CF7CFA" w:usb2="00082016" w:usb3="00000000" w:csb0="00040001" w:csb1="00000000"/>
    <w:embedRegular r:id="rId3" w:fontKey="{D09BD171-C278-4C0A-ACD1-C10C0AE02AA9}"/>
  </w:font>
  <w:font w:name="仿宋_GB2312">
    <w:panose1 w:val="02010609030101010101"/>
    <w:charset w:val="86"/>
    <w:family w:val="modern"/>
    <w:pitch w:val="default"/>
    <w:sig w:usb0="00000001" w:usb1="080E0000" w:usb2="00000000" w:usb3="00000000" w:csb0="00040000" w:csb1="00000000"/>
    <w:embedRegular r:id="rId4" w:fontKey="{08404C1C-6881-4035-A279-B2E72782E2C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9236D7"/>
    <w:rsid w:val="3B923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1</Lines>
  <Paragraphs>1</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2026-08-28T01:51:00Z</dcterms:created>
  <dc:creator>郭玟0440</dc:creator>
  <cp:lastModifiedBy>郭玟0440</cp:lastModifiedBy>
  <dcterms:modified xsi:type="dcterms:W3CDTF">2026-08-28T01:52:56Z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89F0E082C979462FBFCB30BAFB58305B_11</vt:lpwstr>
  </property>
  <property fmtid="{D5CDD505-2E9C-101B-9397-08002B2CF9AE}" pid="4" name="KSOTemplateDocerSaveRecord">
    <vt:lpwstr>eyJoZGlkIjoiYWIzZGZjZmY1MTI2ZjlhNTI0MDBhZjdhYTQ0MDQyMmYiLCJ1c2VySWQiOiIxODIxNzQ4OTE5In0=</vt:lpwstr>
  </property>
</Properties>
</file>