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CD" w:rsidRDefault="00FD6BCD" w:rsidP="002D7A05">
      <w:pPr>
        <w:adjustRightInd w:val="0"/>
        <w:snapToGrid w:val="0"/>
        <w:spacing w:line="600" w:lineRule="exact"/>
        <w:jc w:val="left"/>
        <w:rPr>
          <w:rFonts w:ascii="Times New Roman" w:eastAsia="方正小标宋_GBK" w:hAnsi="Times New Roman"/>
          <w:sz w:val="32"/>
          <w:szCs w:val="32"/>
          <w:lang w:bidi="zh-CN"/>
        </w:rPr>
      </w:pPr>
    </w:p>
    <w:p w:rsidR="002D7A05" w:rsidRDefault="002D7A05">
      <w:pPr>
        <w:adjustRightInd w:val="0"/>
        <w:snapToGrid w:val="0"/>
        <w:spacing w:line="600" w:lineRule="exact"/>
        <w:jc w:val="center"/>
        <w:rPr>
          <w:rFonts w:ascii="Times New Roman" w:eastAsia="方正小标宋_GBK" w:hAnsi="Times New Roman"/>
          <w:sz w:val="32"/>
          <w:szCs w:val="32"/>
          <w:lang w:bidi="zh-CN"/>
        </w:rPr>
      </w:pPr>
    </w:p>
    <w:p w:rsidR="002D7A05" w:rsidRDefault="002D7A05">
      <w:pPr>
        <w:adjustRightInd w:val="0"/>
        <w:snapToGrid w:val="0"/>
        <w:spacing w:line="600" w:lineRule="exact"/>
        <w:jc w:val="center"/>
        <w:rPr>
          <w:rFonts w:ascii="Times New Roman" w:eastAsia="方正小标宋_GBK" w:hAnsi="Times New Roman"/>
          <w:sz w:val="32"/>
          <w:szCs w:val="32"/>
          <w:lang w:bidi="zh-CN"/>
        </w:rPr>
      </w:pPr>
    </w:p>
    <w:p w:rsidR="00506146" w:rsidRDefault="00506146" w:rsidP="00506146">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湖南省人民政府办公厅</w:t>
      </w:r>
    </w:p>
    <w:p w:rsidR="00506146" w:rsidRDefault="00506146" w:rsidP="00506146">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关于印发《湖南省加快场景创新和大规模应用</w:t>
      </w:r>
    </w:p>
    <w:p w:rsidR="00506146" w:rsidRDefault="00506146" w:rsidP="00506146">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三年行动方案（2026</w:t>
      </w:r>
      <w:r>
        <w:rPr>
          <w:rFonts w:ascii="仿宋_GB2312" w:eastAsia="仿宋_GB2312" w:hAnsi="仿宋_GB2312" w:cs="仿宋_GB2312" w:hint="eastAsia"/>
          <w:sz w:val="44"/>
          <w:szCs w:val="44"/>
        </w:rPr>
        <w:t>—</w:t>
      </w:r>
      <w:r>
        <w:rPr>
          <w:rFonts w:ascii="方正小标宋简体" w:eastAsia="方正小标宋简体" w:hAnsi="方正小标宋简体" w:cs="方正小标宋简体" w:hint="eastAsia"/>
          <w:sz w:val="44"/>
          <w:szCs w:val="44"/>
        </w:rPr>
        <w:t>2028年）》的通知</w:t>
      </w:r>
    </w:p>
    <w:p w:rsidR="00185A13" w:rsidRDefault="002D7A05" w:rsidP="00636CC2">
      <w:pPr>
        <w:adjustRightInd w:val="0"/>
        <w:snapToGrid w:val="0"/>
        <w:spacing w:line="600" w:lineRule="exact"/>
        <w:jc w:val="center"/>
        <w:rPr>
          <w:rStyle w:val="a3"/>
          <w:rFonts w:ascii="Times New Roman" w:eastAsia="方正仿宋_GBK" w:hAnsi="Times New Roman"/>
          <w:b w:val="0"/>
          <w:sz w:val="32"/>
          <w:szCs w:val="32"/>
        </w:rPr>
      </w:pPr>
      <w:r w:rsidRPr="002D7A05">
        <w:rPr>
          <w:rStyle w:val="a3"/>
          <w:rFonts w:ascii="Times New Roman" w:eastAsia="方正仿宋_GBK" w:hAnsi="Times New Roman" w:hint="eastAsia"/>
          <w:b w:val="0"/>
          <w:sz w:val="32"/>
          <w:szCs w:val="32"/>
        </w:rPr>
        <w:t>湘政办发〔</w:t>
      </w:r>
      <w:r w:rsidRPr="002D7A05">
        <w:rPr>
          <w:rStyle w:val="a3"/>
          <w:rFonts w:ascii="Times New Roman" w:eastAsia="方正仿宋_GBK" w:hAnsi="Times New Roman" w:hint="eastAsia"/>
          <w:b w:val="0"/>
          <w:sz w:val="32"/>
          <w:szCs w:val="32"/>
        </w:rPr>
        <w:t>2026</w:t>
      </w:r>
      <w:r w:rsidRPr="002D7A05">
        <w:rPr>
          <w:rStyle w:val="a3"/>
          <w:rFonts w:ascii="Times New Roman" w:eastAsia="方正仿宋_GBK" w:hAnsi="Times New Roman" w:hint="eastAsia"/>
          <w:b w:val="0"/>
          <w:sz w:val="32"/>
          <w:szCs w:val="32"/>
        </w:rPr>
        <w:t>〕</w:t>
      </w:r>
      <w:r w:rsidR="004B19D1">
        <w:rPr>
          <w:rStyle w:val="a3"/>
          <w:rFonts w:ascii="Times New Roman" w:eastAsia="方正仿宋_GBK" w:hAnsi="Times New Roman" w:hint="eastAsia"/>
          <w:b w:val="0"/>
          <w:sz w:val="32"/>
          <w:szCs w:val="32"/>
        </w:rPr>
        <w:t>2</w:t>
      </w:r>
      <w:r w:rsidR="00506146">
        <w:rPr>
          <w:rStyle w:val="a3"/>
          <w:rFonts w:ascii="Times New Roman" w:eastAsia="方正仿宋_GBK" w:hAnsi="Times New Roman" w:hint="eastAsia"/>
          <w:b w:val="0"/>
          <w:sz w:val="32"/>
          <w:szCs w:val="32"/>
        </w:rPr>
        <w:t>3</w:t>
      </w:r>
      <w:r w:rsidRPr="002D7A05">
        <w:rPr>
          <w:rStyle w:val="a3"/>
          <w:rFonts w:ascii="Times New Roman" w:eastAsia="方正仿宋_GBK" w:hAnsi="Times New Roman" w:hint="eastAsia"/>
          <w:b w:val="0"/>
          <w:sz w:val="32"/>
          <w:szCs w:val="32"/>
        </w:rPr>
        <w:t>号</w:t>
      </w:r>
    </w:p>
    <w:p w:rsidR="00185A13" w:rsidRPr="00185A13" w:rsidRDefault="00185A13">
      <w:pPr>
        <w:adjustRightInd w:val="0"/>
        <w:snapToGrid w:val="0"/>
        <w:spacing w:line="600" w:lineRule="exact"/>
        <w:jc w:val="left"/>
        <w:rPr>
          <w:rStyle w:val="a3"/>
          <w:rFonts w:ascii="Times New Roman" w:eastAsia="方正仿宋_GBK" w:hAnsi="Times New Roman"/>
          <w:b w:val="0"/>
          <w:sz w:val="32"/>
          <w:szCs w:val="32"/>
        </w:rPr>
      </w:pPr>
    </w:p>
    <w:p w:rsidR="00506146" w:rsidRDefault="00506146" w:rsidP="00506146">
      <w:pPr>
        <w:adjustRightInd w:val="0"/>
        <w:snapToGrid w:val="0"/>
        <w:spacing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各市州、县市区人民政府，省政府各厅委、各直属机构：</w:t>
      </w:r>
    </w:p>
    <w:p w:rsidR="00506146" w:rsidRDefault="00506146" w:rsidP="0050614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湖南省加快场景创新和大规模应用三年行动方案（</w:t>
      </w:r>
      <w:r>
        <w:rPr>
          <w:rFonts w:ascii="Times New Roman" w:eastAsia="仿宋_GB2312" w:hAnsi="Times New Roman"/>
          <w:color w:val="000000"/>
          <w:kern w:val="0"/>
          <w:sz w:val="32"/>
          <w:szCs w:val="32"/>
        </w:rPr>
        <w:t>2026</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2028</w:t>
      </w:r>
      <w:r>
        <w:rPr>
          <w:rFonts w:ascii="Times New Roman" w:eastAsia="仿宋_GB2312" w:hAnsi="Times New Roman"/>
          <w:color w:val="000000"/>
          <w:kern w:val="0"/>
          <w:sz w:val="32"/>
          <w:szCs w:val="32"/>
        </w:rPr>
        <w:t>年）</w:t>
      </w:r>
      <w:r>
        <w:rPr>
          <w:rFonts w:ascii="Times New Roman" w:eastAsia="仿宋_GB2312" w:hAnsi="Times New Roman"/>
          <w:color w:val="000000"/>
          <w:sz w:val="32"/>
          <w:szCs w:val="32"/>
        </w:rPr>
        <w:t>》已经</w:t>
      </w:r>
      <w:r>
        <w:rPr>
          <w:rFonts w:ascii="Times New Roman" w:eastAsia="仿宋_GB2312" w:hAnsi="Times New Roman" w:hint="eastAsia"/>
          <w:color w:val="000000"/>
          <w:sz w:val="32"/>
          <w:szCs w:val="32"/>
        </w:rPr>
        <w:t>省委、</w:t>
      </w:r>
      <w:r>
        <w:rPr>
          <w:rFonts w:ascii="Times New Roman" w:eastAsia="仿宋_GB2312" w:hAnsi="Times New Roman"/>
          <w:color w:val="000000"/>
          <w:sz w:val="32"/>
          <w:szCs w:val="32"/>
        </w:rPr>
        <w:t>省人民政府同意，现印发给你们，请结合实际认真贯彻落实。</w:t>
      </w:r>
    </w:p>
    <w:p w:rsidR="00506146" w:rsidRDefault="00506146" w:rsidP="00506146">
      <w:pPr>
        <w:adjustRightInd w:val="0"/>
        <w:snapToGrid w:val="0"/>
        <w:spacing w:line="600" w:lineRule="exact"/>
        <w:ind w:firstLineChars="1800" w:firstLine="5760"/>
        <w:rPr>
          <w:rFonts w:ascii="Times New Roman" w:eastAsia="仿宋_GB2312" w:hAnsi="Times New Roman"/>
          <w:color w:val="000000"/>
          <w:sz w:val="32"/>
          <w:szCs w:val="32"/>
        </w:rPr>
      </w:pPr>
    </w:p>
    <w:p w:rsidR="00506146" w:rsidRDefault="00506146" w:rsidP="00506146">
      <w:pPr>
        <w:adjustRightInd w:val="0"/>
        <w:snapToGrid w:val="0"/>
        <w:spacing w:line="600" w:lineRule="exact"/>
        <w:ind w:firstLineChars="1800" w:firstLine="5760"/>
        <w:rPr>
          <w:rFonts w:ascii="Times New Roman" w:eastAsia="仿宋_GB2312" w:hAnsi="Times New Roman"/>
          <w:color w:val="000000"/>
          <w:sz w:val="32"/>
          <w:szCs w:val="32"/>
        </w:rPr>
      </w:pPr>
    </w:p>
    <w:p w:rsidR="00506146" w:rsidRDefault="00506146" w:rsidP="00506146">
      <w:pPr>
        <w:adjustRightInd w:val="0"/>
        <w:snapToGrid w:val="0"/>
        <w:spacing w:line="600" w:lineRule="exact"/>
        <w:ind w:rightChars="386" w:right="811"/>
        <w:jc w:val="right"/>
        <w:rPr>
          <w:rFonts w:ascii="Times New Roman" w:eastAsia="仿宋_GB2312" w:hAnsi="Times New Roman"/>
          <w:color w:val="000000"/>
          <w:sz w:val="32"/>
          <w:szCs w:val="32"/>
        </w:rPr>
      </w:pPr>
      <w:r>
        <w:rPr>
          <w:rFonts w:ascii="Times New Roman" w:eastAsia="仿宋_GB2312" w:hAnsi="Times New Roman"/>
          <w:color w:val="000000"/>
          <w:sz w:val="32"/>
          <w:szCs w:val="32"/>
        </w:rPr>
        <w:t>湖南省人民政府办公厅</w:t>
      </w:r>
    </w:p>
    <w:p w:rsidR="00506146" w:rsidRDefault="00506146" w:rsidP="00506146">
      <w:pPr>
        <w:adjustRightInd w:val="0"/>
        <w:snapToGrid w:val="0"/>
        <w:spacing w:line="600" w:lineRule="exact"/>
        <w:ind w:rightChars="624" w:right="1310"/>
        <w:jc w:val="right"/>
        <w:rPr>
          <w:rFonts w:ascii="Times New Roman" w:eastAsia="仿宋_GB2312" w:hAnsi="Times New Roman"/>
          <w:color w:val="000000"/>
          <w:sz w:val="32"/>
          <w:szCs w:val="32"/>
        </w:rPr>
      </w:pPr>
      <w:r>
        <w:rPr>
          <w:rFonts w:ascii="Times New Roman" w:eastAsia="仿宋_GB2312" w:hAnsi="Times New Roman"/>
          <w:color w:val="000000"/>
          <w:sz w:val="32"/>
          <w:szCs w:val="32"/>
        </w:rPr>
        <w:t>2026</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月</w:t>
      </w:r>
      <w:r w:rsidR="0044775F">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日</w:t>
      </w:r>
    </w:p>
    <w:p w:rsidR="00506146" w:rsidRDefault="00506146" w:rsidP="00506146">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（此件主动公开）</w:t>
      </w:r>
    </w:p>
    <w:p w:rsidR="00506146" w:rsidRDefault="00506146" w:rsidP="00506146">
      <w:pPr>
        <w:pStyle w:val="a8"/>
        <w:spacing w:line="600" w:lineRule="exact"/>
        <w:rPr>
          <w:rFonts w:ascii="Times New Roman" w:eastAsia="仿宋_GB2312" w:hAnsi="Times New Roman" w:hint="default"/>
          <w:color w:val="000000"/>
          <w:sz w:val="32"/>
          <w:szCs w:val="32"/>
        </w:rPr>
      </w:pPr>
    </w:p>
    <w:p w:rsidR="00506146" w:rsidRDefault="00506146" w:rsidP="00506146">
      <w:pPr>
        <w:pStyle w:val="5"/>
        <w:spacing w:line="600" w:lineRule="exact"/>
        <w:rPr>
          <w:rFonts w:eastAsia="仿宋_GB2312"/>
          <w:color w:val="000000"/>
          <w:sz w:val="32"/>
          <w:szCs w:val="32"/>
        </w:rPr>
      </w:pPr>
    </w:p>
    <w:p w:rsidR="00506146" w:rsidRDefault="00506146" w:rsidP="00506146">
      <w:pPr>
        <w:adjustRightInd w:val="0"/>
        <w:snapToGrid w:val="0"/>
        <w:spacing w:line="60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br w:type="page"/>
      </w:r>
    </w:p>
    <w:p w:rsidR="00506146" w:rsidRDefault="00506146" w:rsidP="00506146">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湖南省加快场景创新和大规模应用三年</w:t>
      </w:r>
    </w:p>
    <w:p w:rsidR="00506146" w:rsidRDefault="00506146" w:rsidP="00506146">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行动方案（2026</w:t>
      </w:r>
      <w:r>
        <w:rPr>
          <w:rFonts w:ascii="仿宋_GB2312" w:eastAsia="仿宋_GB2312" w:hAnsi="仿宋_GB2312" w:cs="仿宋_GB2312" w:hint="eastAsia"/>
          <w:sz w:val="44"/>
          <w:szCs w:val="44"/>
        </w:rPr>
        <w:t>—</w:t>
      </w:r>
      <w:r>
        <w:rPr>
          <w:rFonts w:ascii="方正小标宋简体" w:eastAsia="方正小标宋简体" w:hAnsi="方正小标宋简体" w:cs="方正小标宋简体" w:hint="eastAsia"/>
          <w:sz w:val="44"/>
          <w:szCs w:val="44"/>
        </w:rPr>
        <w:t>2028年）</w:t>
      </w:r>
    </w:p>
    <w:p w:rsidR="00506146" w:rsidRDefault="00506146" w:rsidP="00506146">
      <w:pPr>
        <w:adjustRightInd w:val="0"/>
        <w:snapToGrid w:val="0"/>
        <w:spacing w:line="600" w:lineRule="exact"/>
        <w:jc w:val="center"/>
        <w:rPr>
          <w:rFonts w:ascii="Times New Roman" w:eastAsia="方正小标宋简体" w:hAnsi="Times New Roman"/>
          <w:sz w:val="32"/>
          <w:szCs w:val="32"/>
        </w:rPr>
      </w:pPr>
    </w:p>
    <w:p w:rsidR="00506146" w:rsidRDefault="00506146" w:rsidP="00506146">
      <w:pPr>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为贯彻落实党中央、国务院关于开展新技术新产品新场景大规模应用示范行动的决策部署，加快场景培育和开放，推动更多新技术、新产品、新模式、新制度率先在湖南验证和推广，因地制宜培育发展新质生产力，赋能经济社会高质量发展，制定本行动方案。</w:t>
      </w:r>
    </w:p>
    <w:p w:rsidR="00506146" w:rsidRDefault="00506146" w:rsidP="00506146">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一、行动目标</w:t>
      </w:r>
    </w:p>
    <w:p w:rsidR="00506146" w:rsidRDefault="00506146" w:rsidP="00506146">
      <w:pPr>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锚定“一年见成效、两年树标杆、三年全提升”目标，按照“以湖南特色优势领域带动全领域、以长株潭为核心带动全省域、以标志性项目和试验区带动全维度”的思路，围绕产业升级、社会治理、民生服务、重大项目和活动等方向，聚焦先进制造、文化</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科技等</w:t>
      </w:r>
      <w:r>
        <w:rPr>
          <w:rFonts w:ascii="Times New Roman" w:eastAsia="仿宋_GB2312" w:hAnsi="Times New Roman"/>
          <w:color w:val="000000"/>
          <w:kern w:val="0"/>
          <w:sz w:val="32"/>
          <w:szCs w:val="32"/>
        </w:rPr>
        <w:t>14</w:t>
      </w:r>
      <w:r>
        <w:rPr>
          <w:rFonts w:ascii="Times New Roman" w:eastAsia="仿宋_GB2312" w:hAnsi="Times New Roman" w:hint="eastAsia"/>
          <w:color w:val="000000"/>
          <w:kern w:val="0"/>
          <w:sz w:val="32"/>
          <w:szCs w:val="32"/>
        </w:rPr>
        <w:t>个重点领域，逐步构建覆盖全域、协调联动、大规模应用的场景创新网络，打造场景创新“湖南模式”，推动以场景倒逼技术创新、拓展产业矩阵、提升治理效能、增进民生福祉、创新体制机制取得明显成效。到</w:t>
      </w:r>
      <w:r>
        <w:rPr>
          <w:rFonts w:ascii="Times New Roman" w:eastAsia="仿宋_GB2312" w:hAnsi="Times New Roman" w:hint="eastAsia"/>
          <w:color w:val="000000"/>
          <w:kern w:val="0"/>
          <w:sz w:val="32"/>
          <w:szCs w:val="32"/>
        </w:rPr>
        <w:t>2028</w:t>
      </w:r>
      <w:r>
        <w:rPr>
          <w:rFonts w:ascii="Times New Roman" w:eastAsia="仿宋_GB2312" w:hAnsi="Times New Roman" w:hint="eastAsia"/>
          <w:color w:val="000000"/>
          <w:kern w:val="0"/>
          <w:sz w:val="32"/>
          <w:szCs w:val="32"/>
        </w:rPr>
        <w:t>年，累计建成具有湖南特色的场景创新试验区不少于</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个、形成具有核心竞争力和大规模应用价值的场景不少于</w:t>
      </w:r>
      <w:r>
        <w:rPr>
          <w:rFonts w:ascii="Times New Roman" w:eastAsia="仿宋_GB2312" w:hAnsi="Times New Roman" w:hint="eastAsia"/>
          <w:color w:val="000000"/>
          <w:kern w:val="0"/>
          <w:sz w:val="32"/>
          <w:szCs w:val="32"/>
        </w:rPr>
        <w:t>50</w:t>
      </w:r>
      <w:r>
        <w:rPr>
          <w:rFonts w:ascii="Times New Roman" w:eastAsia="仿宋_GB2312" w:hAnsi="Times New Roman" w:hint="eastAsia"/>
          <w:color w:val="000000"/>
          <w:kern w:val="0"/>
          <w:sz w:val="32"/>
          <w:szCs w:val="32"/>
        </w:rPr>
        <w:t>项，每年落地不少于</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项综合性重大场景、建设不少于</w:t>
      </w:r>
      <w:r>
        <w:rPr>
          <w:rFonts w:ascii="Times New Roman" w:eastAsia="仿宋_GB2312" w:hAnsi="Times New Roman" w:hint="eastAsia"/>
          <w:color w:val="000000"/>
          <w:kern w:val="0"/>
          <w:sz w:val="32"/>
          <w:szCs w:val="32"/>
        </w:rPr>
        <w:t>10</w:t>
      </w:r>
      <w:r>
        <w:rPr>
          <w:rFonts w:ascii="Times New Roman" w:eastAsia="仿宋_GB2312" w:hAnsi="Times New Roman" w:hint="eastAsia"/>
          <w:color w:val="000000"/>
          <w:kern w:val="0"/>
          <w:sz w:val="32"/>
          <w:szCs w:val="32"/>
        </w:rPr>
        <w:t>项行业领域集成式场景、发布不少于</w:t>
      </w:r>
      <w:r>
        <w:rPr>
          <w:rFonts w:ascii="Times New Roman" w:eastAsia="仿宋_GB2312" w:hAnsi="Times New Roman" w:hint="eastAsia"/>
          <w:color w:val="000000"/>
          <w:kern w:val="0"/>
          <w:sz w:val="32"/>
          <w:szCs w:val="32"/>
        </w:rPr>
        <w:t>100</w:t>
      </w:r>
      <w:r>
        <w:rPr>
          <w:rFonts w:ascii="Times New Roman" w:eastAsia="仿宋_GB2312" w:hAnsi="Times New Roman" w:hint="eastAsia"/>
          <w:color w:val="000000"/>
          <w:kern w:val="0"/>
          <w:sz w:val="32"/>
          <w:szCs w:val="32"/>
        </w:rPr>
        <w:t>项高价值小切口场景、为不少于</w:t>
      </w:r>
      <w:r>
        <w:rPr>
          <w:rFonts w:ascii="Times New Roman" w:eastAsia="仿宋_GB2312" w:hAnsi="Times New Roman" w:hint="eastAsia"/>
          <w:color w:val="000000"/>
          <w:kern w:val="0"/>
          <w:sz w:val="32"/>
          <w:szCs w:val="32"/>
        </w:rPr>
        <w:t>1000</w:t>
      </w:r>
      <w:r>
        <w:rPr>
          <w:rFonts w:ascii="Times New Roman" w:eastAsia="仿宋_GB2312" w:hAnsi="Times New Roman" w:hint="eastAsia"/>
          <w:color w:val="000000"/>
          <w:kern w:val="0"/>
          <w:sz w:val="32"/>
          <w:szCs w:val="32"/>
        </w:rPr>
        <w:t>家企业开展场景对接。</w:t>
      </w:r>
    </w:p>
    <w:p w:rsidR="00506146" w:rsidRDefault="00506146" w:rsidP="0050614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二、统筹场景创新重点领域</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lastRenderedPageBreak/>
        <w:t>（一）打造重点产业创新发展应用场景</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hint="eastAsia"/>
          <w:color w:val="000000"/>
          <w:kern w:val="0"/>
          <w:sz w:val="32"/>
          <w:szCs w:val="32"/>
        </w:rPr>
        <w:t>先进制造领域。深入实施“人工智能</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制造”行动，围绕研发设计、生产制造、营销服务、运营管理等关键环节，打造全流程智能调度排产、工业机器人、智慧仓储、柔性生产线、产线自动升级、企业智慧服务、零碳园区等应用场景，支持工程机械、轨道交通领域等领军企业向自主基础软硬件、工业软件等产品开放应用场景，推动制造业智能化、绿色化、融合化发展。加快培育工业设计、中试验证等生产性服务业应用场景。</w:t>
      </w:r>
      <w:r>
        <w:rPr>
          <w:rFonts w:ascii="Times New Roman" w:eastAsia="方正楷体_GBK" w:hAnsi="Times New Roman"/>
          <w:color w:val="000000"/>
          <w:sz w:val="32"/>
          <w:szCs w:val="32"/>
        </w:rPr>
        <w:t>（省工业和信息化厅牵头，省发展改革委、省科技厅按职责分工负责）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文化和科技融合领域。围绕音视频、数字文博、非遗传承、数字出版、动漫游戏、演艺娱乐等优势领域，打造智慧景区、数字演艺、沉浸式体验、</w:t>
      </w:r>
      <w:r>
        <w:rPr>
          <w:rFonts w:ascii="Times New Roman" w:eastAsia="仿宋_GB2312" w:hAnsi="Times New Roman"/>
          <w:color w:val="000000"/>
          <w:kern w:val="0"/>
          <w:sz w:val="32"/>
          <w:szCs w:val="32"/>
        </w:rPr>
        <w:t>AIGC</w:t>
      </w:r>
      <w:r>
        <w:rPr>
          <w:rFonts w:ascii="Times New Roman" w:eastAsia="仿宋_GB2312" w:hAnsi="Times New Roman"/>
          <w:color w:val="000000"/>
          <w:kern w:val="0"/>
          <w:sz w:val="32"/>
          <w:szCs w:val="32"/>
        </w:rPr>
        <w:t>、数字藏品、元宇宙云展会等带动面广、显示度高的应用场景，推动文化资源数字化、文创产业智能化、文化消费多元化发展。加快文化、旅游、体育、健康、跨境贸易、商贸会展等消费跨界融合，打造数字商圈等消费新场景，推出一批</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小而美</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的文旅融合创新场景项目。</w:t>
      </w:r>
      <w:r>
        <w:rPr>
          <w:rFonts w:ascii="Times New Roman" w:eastAsia="方正楷体_GBK" w:hAnsi="Times New Roman"/>
          <w:color w:val="000000"/>
          <w:sz w:val="32"/>
          <w:szCs w:val="32"/>
        </w:rPr>
        <w:t>（省委宣传部牵头，省科技厅、省工业和信息化厅、省商务厅、省文化和旅游厅、省广电局按职责分工负责）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现代农业领域。围绕水稻、油菜、茶叶、油茶等特色细分产业，聚焦智慧农业、绿色农产品及食品加工、秸秆综合利用等重点方向，打造数字育种、智慧农场、智慧林场、农业机器人、农产品溯源、秸秆</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五化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利用等标杆应用场景，提升农业生产智能化、产品绿色化、废弃物资源化水平。</w:t>
      </w:r>
      <w:r>
        <w:rPr>
          <w:rFonts w:ascii="Times New Roman" w:eastAsia="方正楷体_GBK" w:hAnsi="Times New Roman"/>
          <w:color w:val="000000"/>
          <w:sz w:val="32"/>
          <w:szCs w:val="32"/>
        </w:rPr>
        <w:t>（省农业农村厅牵头，省林业局按职责分工负责）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低空经济领域。围绕通航制造和运营、低空物流、综合服务等重点领域，逐步拓展无人机即时配送、低空游览、无人机巡检、无人机应急救援、无人机地理测绘等应用场景，着力推动湖南低空改革试点成果向低空经济发展效益转化。</w:t>
      </w:r>
      <w:r>
        <w:rPr>
          <w:rFonts w:ascii="Times New Roman" w:eastAsia="方正楷体_GBK" w:hAnsi="Times New Roman"/>
          <w:color w:val="000000"/>
          <w:sz w:val="32"/>
          <w:szCs w:val="32"/>
        </w:rPr>
        <w:t>（省发展改革委牵头，省自然资源厅按职责分工负责）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未来产业领域。围绕人工智能、量子科技、生命工程、前沿材料、未来能源等重点领域，主动谋划垂直大模型、人形机器人、脑机交互、量子精密测量、新药智能创制、空天海洋装备、氢能高速走廊等小切口、高价值应用场景，加快培育新的增长引擎。</w:t>
      </w:r>
      <w:r>
        <w:rPr>
          <w:rFonts w:ascii="Times New Roman" w:eastAsia="方正楷体_GBK" w:hAnsi="Times New Roman"/>
          <w:color w:val="000000"/>
          <w:sz w:val="32"/>
          <w:szCs w:val="32"/>
        </w:rPr>
        <w:t>（省发展改革委牵头，省科技厅、省工业和信息化厅、省能源局按职责分工负责）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（二）开放社会治理应用场景</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政务服务领域。深化数字湖南、数据强省建设，加快整合人工智能、机器视觉、区块链、隐私计算等新技术，持续做优</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湘办通</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湘易办</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机器管招投标</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、社会信用体系建设、数字孪生水利、自然资源全要素市场、数字人社智慧大应用等应用场景，力争在全国打造标杆。拓展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互联网</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公安政务服务</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、电子证照互认互通、可信身份认证等公安特色应用场景。统筹开展场景策划，探索创新高校毕业生、新就业形态劳动者、农民工等群体就业公共服务场景、数字社保场景及企业用工需求场景。</w:t>
      </w:r>
      <w:r>
        <w:rPr>
          <w:rFonts w:ascii="Times New Roman" w:eastAsia="方正楷体_GBK" w:hAnsi="Times New Roman"/>
          <w:color w:val="000000"/>
          <w:sz w:val="32"/>
          <w:szCs w:val="32"/>
        </w:rPr>
        <w:t>（省数据局牵头，省委机要局、省发展改革委、省公安厅、省人力资源社会保障厅、省自然资源厅按职责分工负责）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城乡治理领域。围绕城乡规划、治安防控、应急指挥、城市建设管理、基层治理和服务等重点领域，加快培育和开放智慧城市、智慧社区、智慧警务、智慧水务与管网监测、灾害智能监测预警、智能装备与建筑机器人、智慧工地、建筑智能安全监测预警、智能应急指挥与救援、数字乡村、和美乡村、智慧林业、数字城建档案馆等应用场景，促进城市治理精细化、智能化，赋能城乡协调发展。</w:t>
      </w:r>
      <w:r>
        <w:rPr>
          <w:rFonts w:ascii="Times New Roman" w:eastAsia="方正楷体_GBK" w:hAnsi="Times New Roman"/>
          <w:color w:val="000000"/>
          <w:sz w:val="32"/>
          <w:szCs w:val="32"/>
        </w:rPr>
        <w:t>（省公安厅、省自然资源厅、省住房城乡建设厅、省农业农村厅、省应急管理厅、省林业局按职责分工负责）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交通运输领域。围绕智慧公路、智慧站点、智慧航道、智慧港口等领域，打造交通运输</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数据大脑</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交通设施智能建造和监管养护、智能网联汽车、智能船舶运输、港口智能调度与自动化装卸、区域物流运力智能调度等应用场景，持续提升交通物流效率。围绕事故预防、违法治理、交通组织优化等交通安全领域，打造智能交通管理、重点车辆动态监管、农村道路风险识别等应用场景，提升道路交通安全水平。</w:t>
      </w:r>
      <w:r>
        <w:rPr>
          <w:rFonts w:ascii="Times New Roman" w:eastAsia="方正楷体_GBK" w:hAnsi="Times New Roman"/>
          <w:color w:val="000000"/>
          <w:sz w:val="32"/>
          <w:szCs w:val="32"/>
        </w:rPr>
        <w:t>（省交通运输厅牵头，省公安厅、省发展改革委按职责分工负责）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生态环保领域。围绕生态环境监测、环境污染治理、碳汇监测等重点领域，打造自然资源</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天空地网</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综合监测、污染物动态监测、固废供需智能匹配、可回收资源智能回收利用、绿色建筑、生态补偿与碳交易、生态环境分区管控等应用场景，全面提升监测、处理、修复等全流程生态保护能力。</w:t>
      </w:r>
      <w:r>
        <w:rPr>
          <w:rFonts w:ascii="Times New Roman" w:eastAsia="方正楷体_GBK" w:hAnsi="Times New Roman"/>
          <w:color w:val="000000"/>
          <w:sz w:val="32"/>
          <w:szCs w:val="32"/>
        </w:rPr>
        <w:t>（省生态环境厅牵头，省自然资源厅、省林业局按职责分工负责）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新型基础设施领域。围绕信息基础设施、融合基础设施、创新基础设施等领域，打造智算中心、新型数据中心、实景三维时空底座、工业互联网、算力电力协同、能源电力设施智能巡检与维护等应用场景，提升新型基础设施服务经济社会发展能力。</w:t>
      </w:r>
      <w:r>
        <w:rPr>
          <w:rFonts w:ascii="Times New Roman" w:eastAsia="方正楷体_GBK" w:hAnsi="Times New Roman"/>
          <w:color w:val="000000"/>
          <w:sz w:val="32"/>
          <w:szCs w:val="32"/>
        </w:rPr>
        <w:t>（省发展改革委、省科技厅、省工业和信息化厅、省自然资源厅、省能源局按职责分工负责）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（三）丰富民生服务应用场景</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医疗卫生领域。围绕基层应用、临床诊疗、患者服务、中医药、公共卫生、行业治理等领域，打造基层慢病智能管理、临床专病智能辅助诊疗、智能转诊、中医药智能诊疗、突发公共卫生事件智能监测预警、卫生健康行业智能监管、</w:t>
      </w:r>
      <w:r>
        <w:rPr>
          <w:rFonts w:ascii="Times New Roman" w:eastAsia="仿宋_GB2312" w:hAnsi="Times New Roman"/>
          <w:color w:val="000000"/>
          <w:kern w:val="0"/>
          <w:sz w:val="32"/>
          <w:szCs w:val="32"/>
        </w:rPr>
        <w:t>AI</w:t>
      </w:r>
      <w:r>
        <w:rPr>
          <w:rFonts w:ascii="Times New Roman" w:eastAsia="仿宋_GB2312" w:hAnsi="Times New Roman"/>
          <w:color w:val="000000"/>
          <w:kern w:val="0"/>
          <w:sz w:val="32"/>
          <w:szCs w:val="32"/>
        </w:rPr>
        <w:t>医疗监管等场景，促进</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人工智能</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医疗卫生</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应用发展。</w:t>
      </w:r>
      <w:r>
        <w:rPr>
          <w:rFonts w:ascii="Times New Roman" w:eastAsia="方正楷体_GBK" w:hAnsi="Times New Roman"/>
          <w:color w:val="000000"/>
          <w:sz w:val="32"/>
          <w:szCs w:val="32"/>
        </w:rPr>
        <w:t>（省卫生健康委牵头）</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教育领域。围绕基础教育、职业教育、高等教育、终身教育等领域，将人工智能技术融入教育教学全要素全过程，打造智慧课堂、智慧教研、智能阅卷与评测、</w:t>
      </w:r>
      <w:r>
        <w:rPr>
          <w:rFonts w:ascii="Times New Roman" w:eastAsia="仿宋_GB2312" w:hAnsi="Times New Roman"/>
          <w:color w:val="000000"/>
          <w:kern w:val="0"/>
          <w:sz w:val="32"/>
          <w:szCs w:val="32"/>
        </w:rPr>
        <w:t>AI</w:t>
      </w:r>
      <w:r>
        <w:rPr>
          <w:rFonts w:ascii="Times New Roman" w:eastAsia="仿宋_GB2312" w:hAnsi="Times New Roman"/>
          <w:color w:val="000000"/>
          <w:kern w:val="0"/>
          <w:sz w:val="32"/>
          <w:szCs w:val="32"/>
        </w:rPr>
        <w:t>教室、虚拟实验室、教务智能体、个性化学习、智能助教、智能学伴、协同教育教学平台、未来学校等应用场景，构建以人为本的智慧教育新生态，助力实现优质教育资源均衡供给。</w:t>
      </w:r>
      <w:r>
        <w:rPr>
          <w:rFonts w:ascii="Times New Roman" w:eastAsia="方正楷体_GBK" w:hAnsi="Times New Roman"/>
          <w:color w:val="000000"/>
          <w:sz w:val="32"/>
          <w:szCs w:val="32"/>
        </w:rPr>
        <w:t>（省教育厅牵头）</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养老托育领域。围绕居家照护、社区服务、医养结合、健康管理等领域，创新服务机器人、智能健康监测与预警、线上康养、养老托育综合体、智慧育儿驿站等应用场景，构建全周期、多层次、智能化的养老托育服务新生态。</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（四）部署重大活动和项目应用场景</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仿宋_GB2312" w:hAnsi="Times New Roman"/>
          <w:color w:val="000000"/>
          <w:kern w:val="0"/>
          <w:sz w:val="32"/>
          <w:szCs w:val="32"/>
        </w:rPr>
        <w:t>聚焦</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人工智能</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行动、湘江科学城、省</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四个十大</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等重大工程项目，以及世界计算大会、中非经贸博览会、北斗规模应用国际峰会、岳麓峰会、全运会等重大活动和会议，围绕工程建设、场馆运营、展览展示等重点环节挖掘和设计一批高集成性、高影响力、高展示度的应用场景，推动新技术、新产品应用推广。</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三、构建场景创新推进机制</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（五）健全应用场景全流程促进机制。</w:t>
      </w:r>
      <w:r>
        <w:rPr>
          <w:rFonts w:ascii="Times New Roman" w:eastAsia="仿宋_GB2312" w:hAnsi="Times New Roman"/>
          <w:color w:val="000000"/>
          <w:kern w:val="0"/>
          <w:sz w:val="32"/>
          <w:szCs w:val="32"/>
        </w:rPr>
        <w:t>建立场景能力、场景机会、场景示范</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三张清单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结合场景对接会、项目路演、现场观摩会等形式，常态化开展应用场景征集、遴选、发布、对接、落地、推广等促进服务。鼓励多元主体参与应用场景建设，完善场景资源配置规则，构建公平竞争、择优培育的应用场景供需对接生态。</w:t>
      </w:r>
      <w:r>
        <w:rPr>
          <w:rFonts w:ascii="Times New Roman" w:eastAsia="方正楷体_GBK" w:hAnsi="Times New Roman"/>
          <w:color w:val="000000"/>
          <w:sz w:val="32"/>
          <w:szCs w:val="32"/>
        </w:rPr>
        <w:t>（省发展改革委</w:t>
      </w:r>
      <w:r w:rsidR="001B7E74">
        <w:rPr>
          <w:rFonts w:ascii="Times New Roman" w:eastAsia="方正楷体_GBK" w:hAnsi="Times New Roman" w:hint="eastAsia"/>
          <w:color w:val="000000"/>
          <w:sz w:val="32"/>
          <w:szCs w:val="32"/>
        </w:rPr>
        <w:t>等</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（六）持续挖掘推介新技术、新产品。</w:t>
      </w:r>
      <w:r>
        <w:rPr>
          <w:rFonts w:ascii="Times New Roman" w:eastAsia="仿宋_GB2312" w:hAnsi="Times New Roman"/>
          <w:color w:val="000000"/>
          <w:kern w:val="0"/>
          <w:sz w:val="32"/>
          <w:szCs w:val="32"/>
        </w:rPr>
        <w:t>面向高校、科研院所、领军企业、专精特新</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小巨人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企业、大学生初创企业等，持续挖掘技术引领性强、产业带动效益突出的新技术、新产品。支持</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4+4</w:t>
      </w:r>
      <w:r>
        <w:rPr>
          <w:rFonts w:ascii="Times New Roman" w:eastAsia="仿宋_GB2312" w:hAnsi="Times New Roman"/>
          <w:color w:val="000000"/>
          <w:kern w:val="0"/>
          <w:sz w:val="32"/>
          <w:szCs w:val="32"/>
        </w:rPr>
        <w:t>科创工程</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、各类研发中心、高能级创新平台，开展前沿性、颠覆性技术研发，加快催生新场景新业态新模式，培育壮大更多未来产业。支持各类创新主体面向重大应用场景加强高质量创新成果研发。</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仿宋_GBK" w:hAnsi="Times New Roman"/>
          <w:color w:val="000000"/>
          <w:sz w:val="32"/>
          <w:szCs w:val="32"/>
        </w:rPr>
      </w:pPr>
      <w:r>
        <w:rPr>
          <w:rFonts w:ascii="Times New Roman" w:eastAsia="方正楷体_GBK" w:hAnsi="Times New Roman"/>
          <w:color w:val="000000"/>
          <w:sz w:val="32"/>
          <w:szCs w:val="32"/>
        </w:rPr>
        <w:t>（七）加快应用场景培育和开放。</w:t>
      </w:r>
      <w:r>
        <w:rPr>
          <w:rFonts w:ascii="Times New Roman" w:eastAsia="仿宋_GB2312" w:hAnsi="Times New Roman"/>
          <w:color w:val="000000"/>
          <w:kern w:val="0"/>
          <w:sz w:val="32"/>
          <w:szCs w:val="32"/>
        </w:rPr>
        <w:t>主动培育和开放跨主体、跨领域、跨区域的综合性重大场景。统筹政府投资、政务服务、政府采购等资源，围绕城市治理、交通出行、生态环保、能源供应等领域，推动行业部门深入挖掘、主动开放应用场景。引导国有企业、龙头企业围绕重点布局的新领域、新方向，联合上下游企业共同谋划、精准设计应用场景，推进产业全链条场景开放。鼓励中试基地、概念验证中心率先搭建早期应用场景，为新技术新产品提供应用验证机会。</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（八）推进应用场景落地和推广。</w:t>
      </w:r>
      <w:r>
        <w:rPr>
          <w:rFonts w:ascii="Times New Roman" w:eastAsia="仿宋_GB2312" w:hAnsi="Times New Roman"/>
          <w:color w:val="000000"/>
          <w:kern w:val="0"/>
          <w:sz w:val="32"/>
          <w:szCs w:val="32"/>
        </w:rPr>
        <w:t>探索先试用后付费等机制，征集免费试用的新技术、新产品，支持政府部门、国资平台率先试用并择优出具报告。探索在重大政府投资项目中开展应用场景策划设计。将验证成功的创新产品纳入</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场景示范清单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，通过政府采购、</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五首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清单、重大工程项目和活动等形式加以推广。</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（九）推广应用场景招商新模式。</w:t>
      </w:r>
      <w:r>
        <w:rPr>
          <w:rFonts w:ascii="Times New Roman" w:eastAsia="仿宋_GB2312" w:hAnsi="Times New Roman"/>
          <w:color w:val="000000"/>
          <w:kern w:val="0"/>
          <w:sz w:val="32"/>
          <w:szCs w:val="32"/>
        </w:rPr>
        <w:t>深入挖掘全省高价值应用场景资源，发展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市场</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资源</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应用场景</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招商新模式。支持长株潭共同发布城市场景机会清单，打响长株潭一体化场景招商品牌。加强与场景创新城市联盟，以及合肥、上海、深圳等先发地区的交流合作，共享创新成果、创新场景资源。</w:t>
      </w:r>
      <w:r>
        <w:rPr>
          <w:rFonts w:ascii="Times New Roman" w:eastAsia="方正楷体_GBK" w:hAnsi="Times New Roman"/>
          <w:color w:val="000000"/>
          <w:sz w:val="32"/>
          <w:szCs w:val="32"/>
        </w:rPr>
        <w:t>（省商务厅</w:t>
      </w:r>
      <w:r w:rsidR="001B7E74">
        <w:rPr>
          <w:rFonts w:ascii="Times New Roman" w:eastAsia="方正楷体_GBK" w:hAnsi="Times New Roman" w:hint="eastAsia"/>
          <w:color w:val="000000"/>
          <w:sz w:val="32"/>
          <w:szCs w:val="32"/>
        </w:rPr>
        <w:t>等</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四、建设场景创新特色载体</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（十）建设应用场景一站式服务平台。</w:t>
      </w:r>
      <w:r>
        <w:rPr>
          <w:rFonts w:ascii="Times New Roman" w:eastAsia="仿宋_GB2312" w:hAnsi="Times New Roman"/>
          <w:color w:val="000000"/>
          <w:kern w:val="0"/>
          <w:sz w:val="32"/>
          <w:szCs w:val="32"/>
        </w:rPr>
        <w:t>搭建全省应用场景数字化服务平台，建立全省应用场景信息和资源统一归集机制，为应用场景发布、对接、展示、推广等提供体系化服务。建设应用场景展示中心，打造应用场景展示体验、对接路演和宣传推介的枢纽平台。</w:t>
      </w:r>
      <w:r>
        <w:rPr>
          <w:rFonts w:ascii="Times New Roman" w:eastAsia="方正楷体_GBK" w:hAnsi="Times New Roman"/>
          <w:color w:val="000000"/>
          <w:sz w:val="32"/>
          <w:szCs w:val="32"/>
        </w:rPr>
        <w:t>（省发展改革委、省数据局</w:t>
      </w:r>
      <w:r w:rsidR="001B7E74">
        <w:rPr>
          <w:rFonts w:ascii="Times New Roman" w:eastAsia="方正楷体_GBK" w:hAnsi="Times New Roman" w:hint="eastAsia"/>
          <w:color w:val="000000"/>
          <w:sz w:val="32"/>
          <w:szCs w:val="32"/>
        </w:rPr>
        <w:t>等</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（十一）打造一批应用场景试验区。</w:t>
      </w:r>
      <w:r>
        <w:rPr>
          <w:rFonts w:ascii="Times New Roman" w:eastAsia="仿宋_GB2312" w:hAnsi="Times New Roman"/>
          <w:color w:val="000000"/>
          <w:kern w:val="0"/>
          <w:sz w:val="32"/>
          <w:szCs w:val="32"/>
        </w:rPr>
        <w:t>支持长沙、株洲、湘潭、岳阳、衡阳等有条件的地区，在供需对接、场景培育开放、数据流通使用等方面先行先试，推动应用场景集中布局、集中展示体验</w:t>
      </w:r>
      <w:r w:rsidR="001B7E74">
        <w:rPr>
          <w:rFonts w:ascii="Times New Roman" w:eastAsia="仿宋_GB2312" w:hAnsi="Times New Roman" w:hint="eastAsia"/>
          <w:color w:val="000000"/>
          <w:kern w:val="0"/>
          <w:sz w:val="32"/>
          <w:szCs w:val="32"/>
        </w:rPr>
        <w:t>和</w:t>
      </w:r>
      <w:r>
        <w:rPr>
          <w:rFonts w:ascii="Times New Roman" w:eastAsia="仿宋_GB2312" w:hAnsi="Times New Roman"/>
          <w:color w:val="000000"/>
          <w:kern w:val="0"/>
          <w:sz w:val="32"/>
          <w:szCs w:val="32"/>
        </w:rPr>
        <w:t>政策集中支持，打造一批</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综合性重大场景试验区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。鼓励湘江科学城、马栏山视频文创产业园、中国（湖南）自由贸易试验区等创新和产业集聚区，聚焦特色优势领域，打造一批</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行业领域集成式场景试验区</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（十二）谋划落地一批标志性项目。</w:t>
      </w:r>
      <w:r>
        <w:rPr>
          <w:rFonts w:ascii="Times New Roman" w:eastAsia="仿宋_GB2312" w:hAnsi="Times New Roman"/>
          <w:color w:val="000000"/>
          <w:kern w:val="0"/>
          <w:sz w:val="32"/>
          <w:szCs w:val="32"/>
        </w:rPr>
        <w:t>加快人工智能、量子科技、生物制造、未来能源等前沿技术创新和推广应用，持续扩大科技、产业、消费、民生、治理、全球合作等各领域场景供给，策划设计和遴选发布一批高价值、小切口的标志性应用场景项目。</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五、提升应用场景保障能力</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z w:val="32"/>
          <w:szCs w:val="32"/>
        </w:rPr>
      </w:pPr>
      <w:r>
        <w:rPr>
          <w:rFonts w:ascii="Times New Roman" w:eastAsia="方正楷体_GBK" w:hAnsi="Times New Roman"/>
          <w:color w:val="000000"/>
          <w:sz w:val="32"/>
          <w:szCs w:val="32"/>
        </w:rPr>
        <w:t>（十三）加大政策保障。</w:t>
      </w:r>
      <w:r>
        <w:rPr>
          <w:rFonts w:ascii="Times New Roman" w:eastAsia="仿宋_GB2312" w:hAnsi="Times New Roman"/>
          <w:color w:val="000000"/>
          <w:kern w:val="0"/>
          <w:sz w:val="32"/>
          <w:szCs w:val="32"/>
        </w:rPr>
        <w:t>统筹用好现有专项资金、产业基金、创新资源，强化人才、技术、数据、资本等要素集聚，支持场景建设工作。培育组建实体化运作的场景创新促进中心，支撑全省场景创新研究和服务工作，提升市场化服务能力。对全省场景创新工作进行定期调度、跟踪问效和督导落实，及时总结、提炼和宣传推广典型经验做法。</w:t>
      </w:r>
      <w:r>
        <w:rPr>
          <w:rFonts w:ascii="Times New Roman" w:eastAsia="方正楷体_GBK" w:hAnsi="Times New Roman"/>
          <w:color w:val="000000"/>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楷体_GBK" w:hAnsi="Times New Roman"/>
          <w:color w:val="000000"/>
          <w:spacing w:val="6"/>
          <w:sz w:val="32"/>
          <w:szCs w:val="32"/>
        </w:rPr>
      </w:pPr>
      <w:r>
        <w:rPr>
          <w:rFonts w:ascii="Times New Roman" w:eastAsia="方正楷体_GBK" w:hAnsi="Times New Roman"/>
          <w:color w:val="000000"/>
          <w:sz w:val="32"/>
          <w:szCs w:val="32"/>
        </w:rPr>
        <w:t>（十四）加快机制创新。</w:t>
      </w:r>
      <w:r>
        <w:rPr>
          <w:rFonts w:ascii="Times New Roman" w:eastAsia="仿宋_GB2312" w:hAnsi="Times New Roman"/>
          <w:color w:val="000000"/>
          <w:kern w:val="0"/>
          <w:sz w:val="32"/>
          <w:szCs w:val="32"/>
        </w:rPr>
        <w:t>协同推进准入、场景、要素改革，完善新业态新领域市场准入制度，对新技术新产品实施</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观察期</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管理和柔性监管、负面清单等新型监管制度，探索创新空天、数据等新型要素市场化配置方式。注重发挥场景对制度建设的试验作用，推动健全完善相关法律法规。支持行业部门、国有企业在首用首试、场景对接等方面先行先试，对</w:t>
      </w:r>
      <w:r>
        <w:rPr>
          <w:rFonts w:ascii="Times New Roman" w:eastAsia="仿宋_GB2312" w:hAnsi="Times New Roman" w:hint="eastAsia"/>
          <w:color w:val="000000"/>
          <w:kern w:val="0"/>
          <w:sz w:val="32"/>
          <w:szCs w:val="32"/>
        </w:rPr>
        <w:t>负责</w:t>
      </w:r>
      <w:r>
        <w:rPr>
          <w:rFonts w:ascii="Times New Roman" w:eastAsia="仿宋_GB2312" w:hAnsi="Times New Roman"/>
          <w:color w:val="000000"/>
          <w:kern w:val="0"/>
          <w:sz w:val="32"/>
          <w:szCs w:val="32"/>
        </w:rPr>
        <w:t>场景创新解决方案采购</w:t>
      </w:r>
      <w:r>
        <w:rPr>
          <w:rFonts w:ascii="Times New Roman" w:eastAsia="仿宋_GB2312" w:hAnsi="Times New Roman" w:hint="eastAsia"/>
          <w:color w:val="000000"/>
          <w:kern w:val="0"/>
          <w:sz w:val="32"/>
          <w:szCs w:val="32"/>
        </w:rPr>
        <w:t>的</w:t>
      </w:r>
      <w:r>
        <w:rPr>
          <w:rFonts w:ascii="Times New Roman" w:eastAsia="仿宋_GB2312" w:hAnsi="Times New Roman"/>
          <w:color w:val="000000"/>
          <w:kern w:val="0"/>
          <w:sz w:val="32"/>
          <w:szCs w:val="32"/>
        </w:rPr>
        <w:t>相关责</w:t>
      </w:r>
      <w:r>
        <w:rPr>
          <w:rFonts w:ascii="Times New Roman" w:eastAsia="仿宋_GB2312" w:hAnsi="Times New Roman" w:hint="eastAsia"/>
          <w:color w:val="000000"/>
          <w:kern w:val="0"/>
          <w:sz w:val="32"/>
          <w:szCs w:val="32"/>
        </w:rPr>
        <w:t>任</w:t>
      </w:r>
      <w:r>
        <w:rPr>
          <w:rFonts w:ascii="Times New Roman" w:eastAsia="仿宋_GB2312" w:hAnsi="Times New Roman"/>
          <w:color w:val="000000"/>
          <w:kern w:val="0"/>
          <w:sz w:val="32"/>
          <w:szCs w:val="32"/>
        </w:rPr>
        <w:t>人，依法依规采取</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尽职免责</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监管模式。推进市场化场景合作新机制。探索财政资金</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补改投</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改革，通过股权直投的方式投向创新场景建设。试点发放</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场景创新券</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支持场景对接落地。鼓励银行、保险等金融机构面向中小企业研发场景创新的金融产品，为场景项目建设提供资金支持。构建场景与概念验证中心、中试基地、专业化孵化机构、技术经理人、产业基金协同联动工作机制。充分挖掘数据要素乘数效应，规范推</w:t>
      </w:r>
      <w:r>
        <w:rPr>
          <w:rFonts w:ascii="Times New Roman" w:eastAsia="仿宋_GB2312" w:hAnsi="Times New Roman"/>
          <w:color w:val="000000"/>
          <w:spacing w:val="6"/>
          <w:kern w:val="0"/>
          <w:sz w:val="32"/>
          <w:szCs w:val="32"/>
        </w:rPr>
        <w:t>进公共数据资源授权运营，促进数据资源开发利用。涉及公共安全、个人敏感信息的应用场景，探索建立分级分类授权使用机制，强化数据全生命周期安全管理。</w:t>
      </w:r>
      <w:r>
        <w:rPr>
          <w:rFonts w:ascii="Times New Roman" w:eastAsia="方正楷体_GBK" w:hAnsi="Times New Roman"/>
          <w:color w:val="000000"/>
          <w:spacing w:val="6"/>
          <w:sz w:val="32"/>
          <w:szCs w:val="32"/>
        </w:rPr>
        <w:t>（省直相关单位按职责分工负责）</w:t>
      </w:r>
    </w:p>
    <w:p w:rsidR="00506146" w:rsidRDefault="00506146" w:rsidP="00506146">
      <w:pPr>
        <w:adjustRightInd w:val="0"/>
        <w:snapToGrid w:val="0"/>
        <w:spacing w:line="600" w:lineRule="exact"/>
        <w:ind w:firstLineChars="200" w:firstLine="640"/>
        <w:rPr>
          <w:rFonts w:ascii="Times New Roman" w:eastAsia="方正黑体_GBK" w:hAnsi="Times New Roman"/>
          <w:color w:val="000000"/>
          <w:sz w:val="32"/>
          <w:szCs w:val="32"/>
        </w:rPr>
      </w:pPr>
      <w:r>
        <w:rPr>
          <w:rFonts w:ascii="Times New Roman" w:eastAsia="方正黑体_GBK" w:hAnsi="Times New Roman"/>
          <w:color w:val="000000"/>
          <w:sz w:val="32"/>
          <w:szCs w:val="32"/>
        </w:rPr>
        <w:t>六、强化组织实施</w:t>
      </w:r>
    </w:p>
    <w:p w:rsidR="00506146" w:rsidRDefault="00506146" w:rsidP="00506146">
      <w:pPr>
        <w:adjustRightInd w:val="0"/>
        <w:snapToGrid w:val="0"/>
        <w:spacing w:line="600" w:lineRule="exact"/>
        <w:ind w:firstLineChars="200" w:firstLine="640"/>
        <w:rPr>
          <w:sz w:val="32"/>
          <w:szCs w:val="32"/>
        </w:rPr>
      </w:pPr>
      <w:r>
        <w:rPr>
          <w:rFonts w:ascii="Times New Roman" w:eastAsia="仿宋_GB2312" w:hAnsi="Times New Roman"/>
          <w:color w:val="000000"/>
          <w:kern w:val="0"/>
          <w:sz w:val="32"/>
          <w:szCs w:val="32"/>
        </w:rPr>
        <w:t>各地各有关部门要强化协同配合，加大场景培育和开放力度，结合实际抓好贯彻落实。省发展改革委要会同有关方面加强统筹，做好全省场景布局、资源配置、制度创新、调度协调和宣传推广等工作，分批次推出应用场景项目清单，及时宣传推广，营造良好氛围。政府机关、事业单位和国有企业要强化示范引领。重大事项及时按程序请示报告。</w:t>
      </w:r>
    </w:p>
    <w:p w:rsidR="00B059E1" w:rsidRPr="00322C58" w:rsidRDefault="00B059E1" w:rsidP="00506146">
      <w:pPr>
        <w:pStyle w:val="new"/>
        <w:overflowPunct w:val="0"/>
        <w:adjustRightInd w:val="0"/>
        <w:snapToGrid w:val="0"/>
        <w:spacing w:line="600" w:lineRule="exact"/>
        <w:ind w:firstLineChars="0" w:firstLine="0"/>
        <w:rPr>
          <w:rFonts w:ascii="仿宋_GB2312" w:hAnsi="仿宋_GB2312" w:cs="仿宋_GB2312"/>
          <w:sz w:val="32"/>
          <w:szCs w:val="32"/>
        </w:rPr>
      </w:pPr>
    </w:p>
    <w:sectPr w:rsidR="00B059E1" w:rsidRPr="00322C58" w:rsidSect="00FD6BCD">
      <w:footerReference w:type="default" r:id="rId7"/>
      <w:pgSz w:w="11906" w:h="16838"/>
      <w:pgMar w:top="1701"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C36" w:rsidRDefault="006D4C36">
      <w:r>
        <w:separator/>
      </w:r>
    </w:p>
  </w:endnote>
  <w:endnote w:type="continuationSeparator" w:id="1">
    <w:p w:rsidR="006D4C36" w:rsidRDefault="006D4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方正仿宋_GBK"/>
    <w:charset w:val="00"/>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CD" w:rsidRDefault="00591924">
    <w:pPr>
      <w:pStyle w:val="a5"/>
    </w:pPr>
    <w:r>
      <w:pict>
        <v:shapetype id="_x0000_t202" coordsize="21600,21600" o:spt="202" path="m,l,21600r21600,l21600,xe">
          <v:stroke joinstyle="miter"/>
          <v:path gradientshapeok="t" o:connecttype="rect"/>
        </v:shapetype>
        <v:shape id="文本框 4" o:spid="_x0000_s2052" type="#_x0000_t202" style="position:absolute;margin-left:1248pt;margin-top:0;width:2in;height:2in;z-index:251657728;mso-wrap-style:none;mso-position-horizontal:outside;mso-position-horizontal-relative:margin" filled="f" stroked="f">
          <v:fill o:detectmouseclick="t"/>
          <v:textbox style="mso-fit-shape-to-text:t" inset="0,0,0,0">
            <w:txbxContent>
              <w:p w:rsidR="00FD6BCD" w:rsidRDefault="00B059E1">
                <w:pPr>
                  <w:pStyle w:val="a5"/>
                  <w:adjustRightInd w:val="0"/>
                  <w:ind w:leftChars="100" w:left="210" w:rightChars="100" w:right="21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591924">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  \* MERGEFORMAT </w:instrText>
                </w:r>
                <w:r w:rsidR="00591924">
                  <w:rPr>
                    <w:rFonts w:ascii="Times New Roman" w:eastAsia="仿宋_GB2312" w:hAnsi="Times New Roman"/>
                    <w:sz w:val="28"/>
                    <w:szCs w:val="28"/>
                  </w:rPr>
                  <w:fldChar w:fldCharType="separate"/>
                </w:r>
                <w:r w:rsidR="001B7E74">
                  <w:rPr>
                    <w:rFonts w:ascii="Times New Roman" w:eastAsia="仿宋_GB2312" w:hAnsi="Times New Roman"/>
                    <w:noProof/>
                    <w:sz w:val="28"/>
                    <w:szCs w:val="28"/>
                  </w:rPr>
                  <w:t>9</w:t>
                </w:r>
                <w:r w:rsidR="00591924">
                  <w:rPr>
                    <w:rFonts w:ascii="Times New Roman" w:eastAsia="仿宋_GB2312" w:hAnsi="Times New Roman"/>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C36" w:rsidRDefault="006D4C36">
      <w:r>
        <w:separator/>
      </w:r>
    </w:p>
  </w:footnote>
  <w:footnote w:type="continuationSeparator" w:id="1">
    <w:p w:rsidR="006D4C36" w:rsidRDefault="006D4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BB608"/>
    <w:multiLevelType w:val="singleLevel"/>
    <w:tmpl w:val="98BBB608"/>
    <w:lvl w:ilvl="0">
      <w:start w:val="1"/>
      <w:numFmt w:val="chineseCounting"/>
      <w:suff w:val="nothing"/>
      <w:lvlText w:val="（%1）"/>
      <w:lvlJc w:val="left"/>
      <w:rPr>
        <w:rFonts w:hint="eastAsia"/>
      </w:rPr>
    </w:lvl>
  </w:abstractNum>
  <w:abstractNum w:abstractNumId="1">
    <w:nsid w:val="FDEC6EE0"/>
    <w:multiLevelType w:val="singleLevel"/>
    <w:tmpl w:val="FDEC6EE0"/>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448"/>
    <w:rsid w:val="EEFF0499"/>
    <w:rsid w:val="FBA65147"/>
    <w:rsid w:val="FD8FA461"/>
    <w:rsid w:val="FF76F6B2"/>
    <w:rsid w:val="000A2B7E"/>
    <w:rsid w:val="000B7973"/>
    <w:rsid w:val="00185A13"/>
    <w:rsid w:val="001B7E74"/>
    <w:rsid w:val="002040EE"/>
    <w:rsid w:val="00205CA6"/>
    <w:rsid w:val="00252BEE"/>
    <w:rsid w:val="002D7A05"/>
    <w:rsid w:val="002F645B"/>
    <w:rsid w:val="00322C58"/>
    <w:rsid w:val="0038503A"/>
    <w:rsid w:val="003D2FBC"/>
    <w:rsid w:val="00412241"/>
    <w:rsid w:val="0044775F"/>
    <w:rsid w:val="004B19D1"/>
    <w:rsid w:val="00506146"/>
    <w:rsid w:val="00556448"/>
    <w:rsid w:val="00587482"/>
    <w:rsid w:val="00591924"/>
    <w:rsid w:val="005D456F"/>
    <w:rsid w:val="00636CC2"/>
    <w:rsid w:val="006D4C36"/>
    <w:rsid w:val="00994DF3"/>
    <w:rsid w:val="009E3F12"/>
    <w:rsid w:val="00A60078"/>
    <w:rsid w:val="00A6720F"/>
    <w:rsid w:val="00B059E1"/>
    <w:rsid w:val="00DB4A35"/>
    <w:rsid w:val="00E66C6B"/>
    <w:rsid w:val="00E66D80"/>
    <w:rsid w:val="00ED7C39"/>
    <w:rsid w:val="00FD6BCD"/>
    <w:rsid w:val="3EAB0813"/>
    <w:rsid w:val="652470FF"/>
    <w:rsid w:val="74F724BA"/>
    <w:rsid w:val="76BFD1B1"/>
    <w:rsid w:val="7AE736B4"/>
    <w:rsid w:val="7C79E3ED"/>
    <w:rsid w:val="7D3BC6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99" w:qFormat="1"/>
    <w:lsdException w:name="footer" w:uiPriority="99" w:qFormat="1"/>
    <w:lsdException w:name="caption" w:semiHidden="1" w:unhideWhenUsed="1" w:qFormat="1"/>
    <w:lsdException w:name="endnote text" w:qFormat="1"/>
    <w:lsdException w:name="Title" w:qFormat="1"/>
    <w:lsdException w:name="Default Paragraph Font" w:semiHidden="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6B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D6BCD"/>
    <w:rPr>
      <w:b/>
    </w:rPr>
  </w:style>
  <w:style w:type="character" w:styleId="a4">
    <w:name w:val="Hyperlink"/>
    <w:basedOn w:val="a0"/>
    <w:uiPriority w:val="99"/>
    <w:unhideWhenUsed/>
    <w:qFormat/>
    <w:rsid w:val="00FD6BCD"/>
    <w:rPr>
      <w:rFonts w:ascii="方正仿宋_GB2312" w:eastAsia="宋体" w:hAnsi="方正仿宋_GB2312" w:cs="Times New Roman" w:hint="default"/>
      <w:color w:val="0404B3"/>
      <w:sz w:val="18"/>
      <w:szCs w:val="18"/>
      <w:u w:val="none"/>
    </w:rPr>
  </w:style>
  <w:style w:type="paragraph" w:styleId="HTML">
    <w:name w:val="HTML Preformatted"/>
    <w:basedOn w:val="a"/>
    <w:qFormat/>
    <w:rsid w:val="00FD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5">
    <w:name w:val="footer"/>
    <w:basedOn w:val="a"/>
    <w:uiPriority w:val="99"/>
    <w:qFormat/>
    <w:rsid w:val="00FD6BCD"/>
    <w:pPr>
      <w:tabs>
        <w:tab w:val="center" w:pos="4153"/>
        <w:tab w:val="right" w:pos="8306"/>
      </w:tabs>
      <w:snapToGrid w:val="0"/>
      <w:jc w:val="left"/>
    </w:pPr>
    <w:rPr>
      <w:sz w:val="18"/>
    </w:rPr>
  </w:style>
  <w:style w:type="paragraph" w:styleId="5">
    <w:name w:val="toc 5"/>
    <w:next w:val="a"/>
    <w:uiPriority w:val="99"/>
    <w:qFormat/>
    <w:rsid w:val="00FD6BCD"/>
    <w:pPr>
      <w:widowControl w:val="0"/>
      <w:ind w:leftChars="800" w:left="1680"/>
      <w:jc w:val="both"/>
    </w:pPr>
    <w:rPr>
      <w:rFonts w:ascii="Times New Roman" w:hAnsi="Times New Roman"/>
      <w:kern w:val="2"/>
      <w:sz w:val="21"/>
      <w:szCs w:val="24"/>
    </w:rPr>
  </w:style>
  <w:style w:type="paragraph" w:styleId="a6">
    <w:name w:val="header"/>
    <w:basedOn w:val="a"/>
    <w:rsid w:val="00FD6B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FD6BCD"/>
    <w:rPr>
      <w:rFonts w:ascii="Times New Roman" w:hAnsi="Times New Roman"/>
      <w:sz w:val="24"/>
    </w:rPr>
  </w:style>
  <w:style w:type="paragraph" w:customStyle="1" w:styleId="23">
    <w:name w:val="样式 文字 + 首行缩进:  2 字符3"/>
    <w:basedOn w:val="a"/>
    <w:qFormat/>
    <w:rsid w:val="005D456F"/>
    <w:pPr>
      <w:spacing w:line="360" w:lineRule="auto"/>
      <w:jc w:val="left"/>
    </w:pPr>
    <w:rPr>
      <w:sz w:val="28"/>
      <w:szCs w:val="28"/>
    </w:rPr>
  </w:style>
  <w:style w:type="paragraph" w:styleId="a8">
    <w:name w:val="Body Text"/>
    <w:basedOn w:val="a"/>
    <w:next w:val="7"/>
    <w:link w:val="Char"/>
    <w:qFormat/>
    <w:rsid w:val="005D456F"/>
    <w:pPr>
      <w:spacing w:after="120"/>
    </w:pPr>
    <w:rPr>
      <w:rFonts w:hint="eastAsia"/>
    </w:rPr>
  </w:style>
  <w:style w:type="character" w:customStyle="1" w:styleId="Char">
    <w:name w:val="正文文本 Char"/>
    <w:basedOn w:val="a0"/>
    <w:link w:val="a8"/>
    <w:rsid w:val="005D456F"/>
    <w:rPr>
      <w:kern w:val="2"/>
      <w:sz w:val="21"/>
      <w:szCs w:val="24"/>
    </w:rPr>
  </w:style>
  <w:style w:type="paragraph" w:styleId="a9">
    <w:name w:val="endnote text"/>
    <w:basedOn w:val="a"/>
    <w:link w:val="Char0"/>
    <w:qFormat/>
    <w:rsid w:val="005D456F"/>
  </w:style>
  <w:style w:type="character" w:customStyle="1" w:styleId="Char0">
    <w:name w:val="尾注文本 Char"/>
    <w:basedOn w:val="a0"/>
    <w:link w:val="a9"/>
    <w:rsid w:val="005D456F"/>
    <w:rPr>
      <w:kern w:val="2"/>
      <w:sz w:val="21"/>
      <w:szCs w:val="24"/>
    </w:rPr>
  </w:style>
  <w:style w:type="table" w:styleId="aa">
    <w:name w:val="Table Grid"/>
    <w:basedOn w:val="a1"/>
    <w:uiPriority w:val="39"/>
    <w:qFormat/>
    <w:rsid w:val="005D4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7">
    <w:name w:val="index 7"/>
    <w:basedOn w:val="a"/>
    <w:next w:val="a"/>
    <w:autoRedefine/>
    <w:rsid w:val="005D456F"/>
    <w:pPr>
      <w:ind w:leftChars="1200" w:left="1200"/>
    </w:pPr>
  </w:style>
  <w:style w:type="paragraph" w:customStyle="1" w:styleId="new">
    <w:name w:val="正文new"/>
    <w:basedOn w:val="a"/>
    <w:qFormat/>
    <w:rsid w:val="00322C58"/>
    <w:pPr>
      <w:ind w:firstLineChars="200" w:firstLine="200"/>
    </w:pPr>
    <w:rPr>
      <w:rFonts w:ascii="仿宋" w:eastAsia="仿宋_GB2312" w:hAnsi="仿宋"/>
      <w:sz w:val="30"/>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809</Words>
  <Characters>4617</Characters>
  <Application>Microsoft Office Word</Application>
  <DocSecurity>0</DocSecurity>
  <Lines>38</Lines>
  <Paragraphs>10</Paragraphs>
  <ScaleCrop>false</ScaleCrop>
  <Company>Microsoft</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19</cp:revision>
  <cp:lastPrinted>2026-03-04T16:44:00Z</cp:lastPrinted>
  <dcterms:created xsi:type="dcterms:W3CDTF">2026-03-09T07:11:00Z</dcterms:created>
  <dcterms:modified xsi:type="dcterms:W3CDTF">2026-04-10T08:34:00Z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2052-10.1.0.8047</vt:lpwstr>
  </property>
  <property fmtid="{D5CDD505-2E9C-101B-9397-08002B2CF9AE}" pid="3" name="KSOTemplateDocerSaveRecord">
    <vt:lpwstr>eyJoZGlkIjoiYzMzNzM4OWQxMDRlZDc3YmQzY2VjM2I1YTgyMzkwNTYiLCJ1c2VySWQiOiIzOTY0ODE2NzAifQ==</vt:lpwstr>
  </property>
  <property fmtid="{D5CDD505-2E9C-101B-9397-08002B2CF9AE}" pid="4" name="ICV">
    <vt:lpwstr>04F96AA6CE84471299F21FDAABEF4589_13</vt:lpwstr>
  </property>
</Properties>
</file>