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HNPR-2025-31005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湘金管发〔2025〕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湖南省地方金融管理局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关于印发《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湖南省地方金融组织重点从业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人员信用管理办法（试行）</w:t>
      </w:r>
      <w:r>
        <w:rPr>
          <w:rFonts w:ascii="Times New Roman" w:hAnsi="Times New Roman" w:eastAsia="方正小标宋简体" w:cs="Times New Roman"/>
          <w:sz w:val="44"/>
          <w:szCs w:val="44"/>
        </w:rPr>
        <w:t>》的通知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各市州地方金融管理部门、</w:t>
      </w:r>
      <w:r>
        <w:rPr>
          <w:rFonts w:hint="eastAsia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机关各处室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（信息中心）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《湖南省地方金融组织重点从业人员信用管理办法（试行）》印发给你们，请认真贯彻执行。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400" w:firstLineChars="1375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湖南省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地方金融管理局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400" w:firstLineChars="1375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湖南省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地方金融组织重点从业人员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  <w:lang w:val="en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信用管理办法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"/>
        </w:rPr>
        <w:t>（试行）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为加强湖南省地方金融组织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重点从业人员信用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管理，规范从业行为，提升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重点从业人员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诚信水平，促进地方金融</w:t>
      </w:r>
      <w:r>
        <w:rPr>
          <w:rFonts w:hint="eastAsia" w:eastAsia="仿宋_GB2312" w:cs="Times New Roman"/>
          <w:sz w:val="32"/>
          <w:szCs w:val="32"/>
          <w:lang w:val="en" w:eastAsia="zh-CN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健康有序发展，依据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《湖南省社会信用条例》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《湖南省地方金融监督管理条例》等</w:t>
      </w:r>
      <w:r>
        <w:rPr>
          <w:rFonts w:hint="eastAsia" w:eastAsia="仿宋_GB2312" w:cs="Times New Roman"/>
          <w:sz w:val="32"/>
          <w:szCs w:val="32"/>
          <w:lang w:val="en" w:eastAsia="zh-CN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，结合本省地方金融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行业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发展实际，制定本办法。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本办法适用于在湖南省行政区域内依法设立的各类地方金融组织的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重点从业人员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本办法所称地方金融组织，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小额贷款公司、融资担保公司、区域性股权市场、典当行、融资租赁公司、商业保理公司、地方资产管理公司。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"/>
        </w:rPr>
        <w:t>本办法所称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" w:eastAsia="zh-CN"/>
        </w:rPr>
        <w:t>重点从业人员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"/>
        </w:rPr>
        <w:t>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" w:eastAsia="zh-CN"/>
        </w:rPr>
        <w:t>包括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"/>
        </w:rPr>
        <w:t>地方金融组织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" w:eastAsia="zh-CN"/>
        </w:rPr>
        <w:t>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"/>
        </w:rPr>
        <w:t>实际控制人、法定代表人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"/>
        </w:rPr>
        <w:t>董事、监事、高级管理人员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，以及省级地方金融管理部门认为需要纳入的重点从业人员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地方金融组织重点从业人员</w:t>
      </w:r>
      <w:r>
        <w:rPr>
          <w:rFonts w:ascii="Times New Roman" w:hAnsi="Times New Roman" w:eastAsia="仿宋_GB2312" w:cs="Times New Roman"/>
          <w:sz w:val="32"/>
          <w:szCs w:val="32"/>
        </w:rPr>
        <w:t>信用管理实行统一管理、分级负责。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第四条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地方金融组织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重点从业人员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信用信息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，应当遵循合法、客观、准确、必要和安全的原则，依法保护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地方金融组织重点从业人员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的合法权益，不得泄露国家秘密，不得侵犯商业秘密和个人隐私。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地方金融组织重点从业人员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信用信息由基本信息、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表彰奖励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、监管处罚信息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构成：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基本信息包括姓名、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性别、出生年月、身份证件信息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、所属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地方金融组织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入职时间、离职时间、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、职称职业资格状况、从业资格证书等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表彰奖励信息</w:t>
      </w:r>
      <w:r>
        <w:rPr>
          <w:rFonts w:ascii="Times New Roman" w:hAnsi="Times New Roman" w:eastAsia="仿宋_GB2312" w:cs="Times New Roman"/>
          <w:sz w:val="32"/>
          <w:szCs w:val="32"/>
        </w:rPr>
        <w:t>是指在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从业</w:t>
      </w:r>
      <w:r>
        <w:rPr>
          <w:rFonts w:ascii="Times New Roman" w:hAnsi="Times New Roman" w:eastAsia="仿宋_GB2312" w:cs="Times New Roman"/>
          <w:sz w:val="32"/>
          <w:szCs w:val="32"/>
        </w:rPr>
        <w:t>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受到表彰、取得荣誉等信息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（三）监管处罚信息</w:t>
      </w:r>
      <w:r>
        <w:rPr>
          <w:rFonts w:ascii="Times New Roman" w:hAnsi="Times New Roman" w:eastAsia="仿宋_GB2312" w:cs="Times New Roman"/>
          <w:sz w:val="32"/>
          <w:szCs w:val="32"/>
        </w:rPr>
        <w:t>是指在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从业</w:t>
      </w:r>
      <w:r>
        <w:rPr>
          <w:rFonts w:ascii="Times New Roman" w:hAnsi="Times New Roman" w:eastAsia="仿宋_GB2312" w:cs="Times New Roman"/>
          <w:sz w:val="32"/>
          <w:szCs w:val="32"/>
        </w:rPr>
        <w:t>过程中违反有关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监管</w:t>
      </w:r>
      <w:r>
        <w:rPr>
          <w:rFonts w:ascii="Times New Roman" w:hAnsi="Times New Roman" w:eastAsia="仿宋_GB2312" w:cs="Times New Roman"/>
          <w:sz w:val="32"/>
          <w:szCs w:val="32"/>
        </w:rPr>
        <w:t>法律、法规、规章等规定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受到监管部门</w:t>
      </w:r>
      <w:r>
        <w:rPr>
          <w:rFonts w:ascii="Times New Roman" w:hAnsi="Times New Roman" w:eastAsia="仿宋_GB2312" w:cs="Times New Roman"/>
          <w:sz w:val="32"/>
          <w:szCs w:val="32"/>
        </w:rPr>
        <w:t>处理或处罚信息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信用信息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坚持“谁提供、谁负责，谁采集、谁负责”的原则，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由省级地方金融管理部门建立地方金融组织重点从业人员信用档案，并依法依规将相关信用信息共享给省级信用主管部门。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基本信息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和表彰奖励信息由各地方金融组织自主填报，每年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4月底前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更新一次；监管处罚信息由地方金融管理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，自处罚决定实施后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15个工作日内予以更新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kern w:val="2"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napToGrid w:val="0"/>
          <w:kern w:val="2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/>
          <w:b/>
          <w:bCs/>
          <w:snapToGrid w:val="0"/>
          <w:kern w:val="2"/>
          <w:sz w:val="32"/>
          <w:szCs w:val="32"/>
        </w:rPr>
        <w:t>条</w:t>
      </w:r>
      <w:r>
        <w:rPr>
          <w:rFonts w:hint="eastAsia" w:ascii="Times New Roman" w:hAnsi="Times New Roman" w:eastAsia="仿宋_GB2312"/>
          <w:b/>
          <w:bCs/>
          <w:snapToGrid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地方金融组织重点从业人员信用信息由地方金融管理部门管理，基本信息、表彰奖励信息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可依法依规依申请提供查询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，监管处罚信息依法依规向社会公布。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Times New Roman" w:hAnsi="Times New Roman" w:eastAsia="黑体" w:cs="Times New Roman"/>
          <w:bCs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2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2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地方金融管理部门应当将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重点从业人员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信用状况作为实施监督管理、政策扶持等工作的重要依据。对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表彰奖励信息的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重点从业人员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，在评优评奖活动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日常监管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、行业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培训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等方面予以适当考虑；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有监管处罚信息的重点从业人员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，依法依规采取限制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或取消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任职资格、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纳入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重点监管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、公开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通报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等惩戒措施。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2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2"/>
          <w:sz w:val="32"/>
          <w:szCs w:val="32"/>
        </w:rPr>
        <w:t>条</w:t>
      </w:r>
      <w:r>
        <w:rPr>
          <w:rFonts w:ascii="Times New Roman" w:hAnsi="Times New Roman" w:eastAsia="黑体" w:cs="Times New Roman"/>
          <w:bCs/>
          <w:snapToGrid w:val="0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地方金融组织重点从业人员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对信用信息有异议的，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可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向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所在地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地方金融管理部门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提出异议申请，辅以相关佐证材料。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地方金融管理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部门应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自受理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之日起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个工作日内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  <w:t>核查处置。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2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2"/>
          <w:sz w:val="32"/>
          <w:szCs w:val="32"/>
        </w:rPr>
        <w:t>条</w:t>
      </w:r>
      <w:r>
        <w:rPr>
          <w:rFonts w:ascii="Times New Roman" w:hAnsi="Times New Roman" w:eastAsia="黑体" w:cs="Times New Roman"/>
          <w:bCs/>
          <w:snapToGrid w:val="0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地方金融组织重点从业人员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主动纠正不良信息行为、消除不利影响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，可向所在地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地方金融管理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部门提出信用修复申请，辅以相关佐证材料。地方金融管理部门应结合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具体情形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，自受理之日起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个工作日内反馈处理结果。经审查符合修复条件的，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确认信用修复。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spacing w:val="2"/>
          <w:w w:val="102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十一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pacing w:val="2"/>
          <w:w w:val="102"/>
          <w:sz w:val="32"/>
          <w:szCs w:val="32"/>
        </w:rPr>
        <w:t>本办法自公布之日起</w:t>
      </w:r>
      <w:r>
        <w:rPr>
          <w:rFonts w:hint="eastAsia" w:ascii="Times New Roman" w:hAnsi="Times New Roman" w:eastAsia="仿宋_GB2312" w:cs="Times New Roman"/>
          <w:spacing w:val="2"/>
          <w:w w:val="102"/>
          <w:sz w:val="32"/>
          <w:szCs w:val="32"/>
          <w:lang w:eastAsia="zh-CN"/>
        </w:rPr>
        <w:t>施行</w:t>
      </w:r>
      <w:r>
        <w:rPr>
          <w:rFonts w:ascii="Times New Roman" w:hAnsi="Times New Roman" w:eastAsia="仿宋_GB2312" w:cs="Times New Roman"/>
          <w:spacing w:val="2"/>
          <w:w w:val="102"/>
          <w:sz w:val="32"/>
          <w:szCs w:val="32"/>
        </w:rPr>
        <w:t>，有效期</w:t>
      </w:r>
      <w:r>
        <w:rPr>
          <w:rFonts w:hint="eastAsia" w:ascii="Times New Roman" w:hAnsi="Times New Roman" w:eastAsia="仿宋_GB2312" w:cs="Times New Roman"/>
          <w:spacing w:val="2"/>
          <w:w w:val="10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pacing w:val="2"/>
          <w:w w:val="102"/>
          <w:sz w:val="32"/>
          <w:szCs w:val="32"/>
        </w:rPr>
        <w:t>年。</w:t>
      </w:r>
    </w:p>
    <w:p>
      <w:pPr>
        <w:pStyle w:val="3"/>
        <w:rPr>
          <w:rFonts w:ascii="Times New Roman" w:hAnsi="Times New Roman" w:eastAsia="仿宋_GB2312" w:cs="Times New Roman"/>
          <w:spacing w:val="2"/>
          <w:w w:val="102"/>
          <w:sz w:val="32"/>
          <w:szCs w:val="32"/>
        </w:rPr>
      </w:pPr>
    </w:p>
    <w:p>
      <w:pPr>
        <w:pStyle w:val="4"/>
        <w:rPr>
          <w:rFonts w:ascii="Times New Roman" w:hAnsi="Times New Roman" w:eastAsia="仿宋_GB2312" w:cs="Times New Roman"/>
          <w:spacing w:val="2"/>
          <w:w w:val="102"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40" w:firstLineChars="50"/>
        <w:jc w:val="both"/>
        <w:textAlignment w:val="center"/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湖南省地方金融管理局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entury Gothic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772A2"/>
    <w:rsid w:val="11D772A2"/>
    <w:rsid w:val="14BF689F"/>
    <w:rsid w:val="15FD9E34"/>
    <w:rsid w:val="1AAE5347"/>
    <w:rsid w:val="1DFF1120"/>
    <w:rsid w:val="1F56FFF3"/>
    <w:rsid w:val="1FFFD893"/>
    <w:rsid w:val="23FF289D"/>
    <w:rsid w:val="27E33A9E"/>
    <w:rsid w:val="2BBFF913"/>
    <w:rsid w:val="2DDF2BFF"/>
    <w:rsid w:val="2DFF85D3"/>
    <w:rsid w:val="2F6D0203"/>
    <w:rsid w:val="2F7C3034"/>
    <w:rsid w:val="2FA63E79"/>
    <w:rsid w:val="2FDD81D6"/>
    <w:rsid w:val="31684444"/>
    <w:rsid w:val="32F75DE1"/>
    <w:rsid w:val="353B0963"/>
    <w:rsid w:val="359BC541"/>
    <w:rsid w:val="37D78290"/>
    <w:rsid w:val="37D7E3F4"/>
    <w:rsid w:val="3BB71490"/>
    <w:rsid w:val="3BFF9CB7"/>
    <w:rsid w:val="3DCD019D"/>
    <w:rsid w:val="3E2F5046"/>
    <w:rsid w:val="3E6D79D4"/>
    <w:rsid w:val="3F4BB4E7"/>
    <w:rsid w:val="3FDFF268"/>
    <w:rsid w:val="3FF6611E"/>
    <w:rsid w:val="427F9F61"/>
    <w:rsid w:val="4F9D1BD0"/>
    <w:rsid w:val="4F9F36EB"/>
    <w:rsid w:val="4FEFC240"/>
    <w:rsid w:val="4FF1344E"/>
    <w:rsid w:val="53D5D3BF"/>
    <w:rsid w:val="55324FBF"/>
    <w:rsid w:val="55FF83E9"/>
    <w:rsid w:val="5BAFBC4B"/>
    <w:rsid w:val="5BFADA72"/>
    <w:rsid w:val="5C8BDE23"/>
    <w:rsid w:val="5DF58F64"/>
    <w:rsid w:val="5E7D2F5C"/>
    <w:rsid w:val="5E7F5937"/>
    <w:rsid w:val="5EFFBF8E"/>
    <w:rsid w:val="5F7B550A"/>
    <w:rsid w:val="5FAE35EE"/>
    <w:rsid w:val="5FF719B0"/>
    <w:rsid w:val="5FF78DC4"/>
    <w:rsid w:val="5FFE4CD1"/>
    <w:rsid w:val="64DC8C43"/>
    <w:rsid w:val="67FD8685"/>
    <w:rsid w:val="68D7AB11"/>
    <w:rsid w:val="697D7594"/>
    <w:rsid w:val="6AF68B03"/>
    <w:rsid w:val="6AFF3D57"/>
    <w:rsid w:val="6B3FADDC"/>
    <w:rsid w:val="6B9FD006"/>
    <w:rsid w:val="6BBF1FF7"/>
    <w:rsid w:val="6BEBCA45"/>
    <w:rsid w:val="6D1FB65C"/>
    <w:rsid w:val="6E37434E"/>
    <w:rsid w:val="6E5BF3E7"/>
    <w:rsid w:val="6ED70431"/>
    <w:rsid w:val="6F438A41"/>
    <w:rsid w:val="6F7CF60D"/>
    <w:rsid w:val="6F9C66CD"/>
    <w:rsid w:val="6FEF8465"/>
    <w:rsid w:val="6FF35467"/>
    <w:rsid w:val="6FF46D62"/>
    <w:rsid w:val="6FF7D7F5"/>
    <w:rsid w:val="6FF9C7DA"/>
    <w:rsid w:val="6FFF514D"/>
    <w:rsid w:val="73875996"/>
    <w:rsid w:val="73C35959"/>
    <w:rsid w:val="73EF06AD"/>
    <w:rsid w:val="73FA81C4"/>
    <w:rsid w:val="7485749E"/>
    <w:rsid w:val="75BFB2FB"/>
    <w:rsid w:val="75FFD46B"/>
    <w:rsid w:val="763B5718"/>
    <w:rsid w:val="77670406"/>
    <w:rsid w:val="77AF4D43"/>
    <w:rsid w:val="77F7B2AE"/>
    <w:rsid w:val="77FB0AD9"/>
    <w:rsid w:val="793EAC35"/>
    <w:rsid w:val="7951D4A7"/>
    <w:rsid w:val="796FDC22"/>
    <w:rsid w:val="7AF721B7"/>
    <w:rsid w:val="7AF932C6"/>
    <w:rsid w:val="7AFD4F59"/>
    <w:rsid w:val="7AFE7A2D"/>
    <w:rsid w:val="7B1F8172"/>
    <w:rsid w:val="7B3F442B"/>
    <w:rsid w:val="7B4B5202"/>
    <w:rsid w:val="7BABA929"/>
    <w:rsid w:val="7BCB6EAD"/>
    <w:rsid w:val="7BE24EDF"/>
    <w:rsid w:val="7BEA11DF"/>
    <w:rsid w:val="7BFBCF9F"/>
    <w:rsid w:val="7BFCEC4F"/>
    <w:rsid w:val="7D3F4948"/>
    <w:rsid w:val="7D4D16E3"/>
    <w:rsid w:val="7D5E681B"/>
    <w:rsid w:val="7D6E4C20"/>
    <w:rsid w:val="7DB84EC7"/>
    <w:rsid w:val="7DFE84C7"/>
    <w:rsid w:val="7DFF032F"/>
    <w:rsid w:val="7DFFEE94"/>
    <w:rsid w:val="7E37B1CE"/>
    <w:rsid w:val="7E3F3CD1"/>
    <w:rsid w:val="7E7B08A0"/>
    <w:rsid w:val="7E7F3FB1"/>
    <w:rsid w:val="7E8054E7"/>
    <w:rsid w:val="7EDFE949"/>
    <w:rsid w:val="7EE9920B"/>
    <w:rsid w:val="7F3E9F05"/>
    <w:rsid w:val="7F7F1DEB"/>
    <w:rsid w:val="7FA6AECD"/>
    <w:rsid w:val="7FA8D092"/>
    <w:rsid w:val="7FBBE3BD"/>
    <w:rsid w:val="7FBF9A68"/>
    <w:rsid w:val="7FCF45F6"/>
    <w:rsid w:val="7FD764F9"/>
    <w:rsid w:val="7FDE6A55"/>
    <w:rsid w:val="7FEFB5AC"/>
    <w:rsid w:val="7FF53B8A"/>
    <w:rsid w:val="7FF71970"/>
    <w:rsid w:val="7FF7AC37"/>
    <w:rsid w:val="7FF91316"/>
    <w:rsid w:val="7FFBB1C2"/>
    <w:rsid w:val="7FFC4D70"/>
    <w:rsid w:val="7FFC57BF"/>
    <w:rsid w:val="7FFE14DB"/>
    <w:rsid w:val="7FFEB378"/>
    <w:rsid w:val="7FFF0F0E"/>
    <w:rsid w:val="7FFF1DD2"/>
    <w:rsid w:val="7FFF7BA0"/>
    <w:rsid w:val="7FFFAAE7"/>
    <w:rsid w:val="8F499E88"/>
    <w:rsid w:val="933BE879"/>
    <w:rsid w:val="9AFF0FCD"/>
    <w:rsid w:val="9B0D38B2"/>
    <w:rsid w:val="9B95BD4F"/>
    <w:rsid w:val="9CEE9AA1"/>
    <w:rsid w:val="9EF6A983"/>
    <w:rsid w:val="AB73FAB1"/>
    <w:rsid w:val="ABF62B11"/>
    <w:rsid w:val="AD9D1DEB"/>
    <w:rsid w:val="AF7D75EA"/>
    <w:rsid w:val="B6D5F90C"/>
    <w:rsid w:val="B75BF11A"/>
    <w:rsid w:val="B777BBD9"/>
    <w:rsid w:val="B7CB679A"/>
    <w:rsid w:val="B87B455B"/>
    <w:rsid w:val="B95FA3AF"/>
    <w:rsid w:val="B9BF87CF"/>
    <w:rsid w:val="BA3F959D"/>
    <w:rsid w:val="BAFE0525"/>
    <w:rsid w:val="BB771439"/>
    <w:rsid w:val="BD658329"/>
    <w:rsid w:val="BE874E6C"/>
    <w:rsid w:val="BEEA7F22"/>
    <w:rsid w:val="BFDFFBAF"/>
    <w:rsid w:val="BFEBD902"/>
    <w:rsid w:val="C2D8E7DB"/>
    <w:rsid w:val="CA3F90DF"/>
    <w:rsid w:val="CBFF27EC"/>
    <w:rsid w:val="CEE3DD56"/>
    <w:rsid w:val="D56DA49C"/>
    <w:rsid w:val="D5736214"/>
    <w:rsid w:val="D5EB7FFB"/>
    <w:rsid w:val="D6D3B182"/>
    <w:rsid w:val="D7DFCCA2"/>
    <w:rsid w:val="D8EF5522"/>
    <w:rsid w:val="DABF5120"/>
    <w:rsid w:val="DCEBFB60"/>
    <w:rsid w:val="DDFE07A0"/>
    <w:rsid w:val="DEFD1D50"/>
    <w:rsid w:val="DF1AF068"/>
    <w:rsid w:val="DFEF3205"/>
    <w:rsid w:val="DFF2E9D7"/>
    <w:rsid w:val="DFF752BB"/>
    <w:rsid w:val="DFFD02FF"/>
    <w:rsid w:val="DFFEA062"/>
    <w:rsid w:val="E2EEF32F"/>
    <w:rsid w:val="E35EA3FC"/>
    <w:rsid w:val="E61F78CC"/>
    <w:rsid w:val="E6961CC3"/>
    <w:rsid w:val="E76BB2EF"/>
    <w:rsid w:val="E94DB9A5"/>
    <w:rsid w:val="E94F6AD4"/>
    <w:rsid w:val="EBE79D15"/>
    <w:rsid w:val="EBFBB26F"/>
    <w:rsid w:val="ED6D4D77"/>
    <w:rsid w:val="EDD9077D"/>
    <w:rsid w:val="EDEFD23C"/>
    <w:rsid w:val="EDFBAB7E"/>
    <w:rsid w:val="EEEDB152"/>
    <w:rsid w:val="EF477467"/>
    <w:rsid w:val="EF7E083D"/>
    <w:rsid w:val="EF99E52D"/>
    <w:rsid w:val="EFB5A1C3"/>
    <w:rsid w:val="EFE756FB"/>
    <w:rsid w:val="EFEF3A56"/>
    <w:rsid w:val="EFFFA910"/>
    <w:rsid w:val="F39AF1AE"/>
    <w:rsid w:val="F3FB926B"/>
    <w:rsid w:val="F53F9EEE"/>
    <w:rsid w:val="F57BDA3C"/>
    <w:rsid w:val="F57E4163"/>
    <w:rsid w:val="F59F2489"/>
    <w:rsid w:val="F5AF2F22"/>
    <w:rsid w:val="F66D99F7"/>
    <w:rsid w:val="F71F270B"/>
    <w:rsid w:val="F767C276"/>
    <w:rsid w:val="F77F38CE"/>
    <w:rsid w:val="F77F98EA"/>
    <w:rsid w:val="F7FFD6CB"/>
    <w:rsid w:val="F9BE8610"/>
    <w:rsid w:val="FBD537ED"/>
    <w:rsid w:val="FBF71C65"/>
    <w:rsid w:val="FBFEE5C7"/>
    <w:rsid w:val="FCBC03A3"/>
    <w:rsid w:val="FCEB6BE1"/>
    <w:rsid w:val="FD4FC93E"/>
    <w:rsid w:val="FD69FD02"/>
    <w:rsid w:val="FD6E25CD"/>
    <w:rsid w:val="FD6F014B"/>
    <w:rsid w:val="FD7F05BE"/>
    <w:rsid w:val="FDAF7053"/>
    <w:rsid w:val="FDEB2EB0"/>
    <w:rsid w:val="FDF64151"/>
    <w:rsid w:val="FDF7FA76"/>
    <w:rsid w:val="FDFC6B83"/>
    <w:rsid w:val="FDFEB9D1"/>
    <w:rsid w:val="FDFF6796"/>
    <w:rsid w:val="FDFFCA72"/>
    <w:rsid w:val="FE5B2F99"/>
    <w:rsid w:val="FEEC28A3"/>
    <w:rsid w:val="FEED7637"/>
    <w:rsid w:val="FEEFF725"/>
    <w:rsid w:val="FEFD002C"/>
    <w:rsid w:val="FF77EDF2"/>
    <w:rsid w:val="FF79D3DD"/>
    <w:rsid w:val="FF7BA4CA"/>
    <w:rsid w:val="FFB43745"/>
    <w:rsid w:val="FFB728E4"/>
    <w:rsid w:val="FFB7E5EC"/>
    <w:rsid w:val="FFBEF444"/>
    <w:rsid w:val="FFC37653"/>
    <w:rsid w:val="FFCFD24D"/>
    <w:rsid w:val="FFEB1EDB"/>
    <w:rsid w:val="FFEF49C9"/>
    <w:rsid w:val="FFFEE175"/>
    <w:rsid w:val="FFFF2390"/>
    <w:rsid w:val="FFFFE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qFormat/>
    <w:uiPriority w:val="0"/>
    <w:pPr>
      <w:widowControl w:val="0"/>
      <w:spacing w:after="120" w:afterLines="0" w:afterAutospacing="0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toc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1380</Words>
  <Characters>1394</Characters>
  <Lines>0</Lines>
  <Paragraphs>0</Paragraphs>
  <TotalTime>0</TotalTime>
  <ScaleCrop>false</ScaleCrop>
  <LinksUpToDate>false</LinksUpToDate>
  <CharactersWithSpaces>1707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2021-07-20T17:08:00Z</dcterms:created>
  <dc:creator>Administrator</dc:creator>
  <cp:lastModifiedBy>kylin</cp:lastModifiedBy>
  <cp:lastPrinted>2025-12-09T09:10:30Z</cp:lastPrinted>
  <dcterms:modified xsi:type="dcterms:W3CDTF">2025-12-09T09:10:35Z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5B628BA3A5854F3A9E680220D531C24D</vt:lpwstr>
  </property>
</Properties>
</file>