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0"/>
          <w:highlight w:val="none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0"/>
          <w:highlight w:val="none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黑体" w:cs="Times New Roman"/>
          <w:b/>
          <w:bCs/>
          <w:color w:val="auto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36"/>
          <w:szCs w:val="36"/>
          <w:highlight w:val="none"/>
        </w:rPr>
        <w:t>跨国公司本外币跨境资金集中运营业务办理确认书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本单位已知晓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跨国公司本外币跨境资金集中运营业务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管理政策及相关要求，仔细阅读本确认书告知和提示的本单位义务以及监管要求。承诺将：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一、依法合规开展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业务。在满足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《中国人民银行 国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家外汇管理局关于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业务有关事宜的通知》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（银发〔2026〕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  <w:lang w:val="en-US" w:eastAsia="zh-CN"/>
        </w:rPr>
        <w:t>163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号）及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下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述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要求前提下，享有按照政策规定的便利措施办理相关业务的权利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二、按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中国人民银行、国家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外汇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管理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局政策规定及时、准确、完整地报送业务数据；不使用虚假合同或者构造交易办理业务，接受并配合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中国人民银行、国家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外汇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管理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局对本单位的监督检查，及时、如实说明情况并提供相关单证资料。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三、理解并接受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中国人民银行、国家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外汇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管理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局根据国际收支形势对政策和业务进行适时调整。遵守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中国人民银行、国家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外汇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管理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局关于外债和境外放款宏观审慎调节参数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、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杠杆率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等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调整要求。违反政策及相关要求的，接受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中国人民银行、国家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外汇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管理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局依法实施的行政处罚等处理措施。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四、本确认书适用于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业务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，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本确认书未尽事项，按照有关外汇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和跨境人民币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管理法规执行。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五、本确认书适用于本单位及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成员企业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单位，自签署时生效。本单位将遵守相关政策及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监管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要求，积极支持配合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中国人民银行、国家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外汇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管理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局对</w:t>
      </w:r>
      <w:r>
        <w:rPr>
          <w:rFonts w:hint="default" w:ascii="Times New Roman" w:hAnsi="Times New Roman" w:eastAsia="仿宋_GB2312"/>
          <w:color w:val="auto"/>
          <w:sz w:val="30"/>
          <w:szCs w:val="30"/>
          <w:highlight w:val="none"/>
        </w:rPr>
        <w:t>跨国公司本外币跨境资金集中运营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业务的管理。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企业（公章）：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                 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银行（公章）：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法定代表人（签字）：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           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负责人（签字）：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年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 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月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日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                 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年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 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月</w:t>
      </w:r>
      <w:r>
        <w:rPr>
          <w:rFonts w:ascii="Times New Roman" w:hAnsi="Times New Roman" w:eastAsia="仿宋_GB2312"/>
          <w:color w:val="auto"/>
          <w:sz w:val="30"/>
          <w:szCs w:val="30"/>
          <w:highlight w:val="none"/>
        </w:rPr>
        <w:t xml:space="preserve">   </w:t>
      </w:r>
      <w:r>
        <w:rPr>
          <w:rFonts w:hint="eastAsia" w:ascii="Times New Roman" w:hAnsi="Times New Roman" w:eastAsia="仿宋_GB2312"/>
          <w:color w:val="auto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ascii="Times New Roman" w:hAnsi="Times New Roman" w:eastAsia="仿宋_GB2312"/>
          <w:color w:val="auto"/>
          <w:sz w:val="30"/>
          <w:szCs w:val="30"/>
          <w:highlight w:val="none"/>
        </w:rPr>
      </w:pPr>
    </w:p>
    <w:tbl>
      <w:tblPr>
        <w:tblStyle w:val="6"/>
        <w:tblW w:w="8197" w:type="dxa"/>
        <w:tblInd w:w="23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819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both"/>
              <w:textAlignment w:val="auto"/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中国人民银行、国家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外汇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管理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局依法制定本确认书，提示企业、银行在开展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跨国公司本外币跨境资金集中运营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业务中依法享有的权利和应当承担的义务。企业、银行签署本确认书并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严格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执行，享有按照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跨国公司本外币跨境资金集中运营业务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管理规定的便利措施办理相关业务的权利。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both"/>
              <w:textAlignment w:val="auto"/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中国人民银行、国家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外汇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管理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局根据国际收支形势等具体情况，制定、调整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跨国公司本外币跨境资金集中运营业务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管理政策，并依法予以告知。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0" w:firstLineChars="200"/>
              <w:jc w:val="both"/>
              <w:textAlignment w:val="auto"/>
              <w:rPr>
                <w:rFonts w:ascii="Times New Roman" w:hAnsi="Times New Roman" w:eastAsia="仿宋_GB2312"/>
                <w:b/>
                <w:bCs/>
                <w:color w:val="auto"/>
                <w:sz w:val="30"/>
                <w:szCs w:val="30"/>
                <w:highlight w:val="none"/>
              </w:rPr>
            </w:pP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中国人民银行、国家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外汇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管理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局依法对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跨国公司本外币跨境资金集中运营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业务进行监督检查。对企业、银行违规行为，按照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  <w:lang w:eastAsia="zh-CN"/>
              </w:rPr>
              <w:t>《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中华人民共和国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  <w:lang w:eastAsia="zh-CN"/>
              </w:rPr>
              <w:t>中国人民银行法》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《中华人民共和国外汇管理条例》等</w:t>
            </w:r>
            <w:r>
              <w:rPr>
                <w:rFonts w:hint="default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法律</w:t>
            </w:r>
            <w:r>
              <w:rPr>
                <w:rFonts w:hint="eastAsia" w:ascii="Times New Roman" w:hAnsi="Times New Roman" w:eastAsia="仿宋_GB2312"/>
                <w:color w:val="auto"/>
                <w:sz w:val="30"/>
                <w:szCs w:val="30"/>
                <w:highlight w:val="none"/>
              </w:rPr>
              <w:t>法规规定进行行政处罚。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AEC011"/>
    <w:rsid w:val="33FCB672"/>
    <w:rsid w:val="37DEBD2F"/>
    <w:rsid w:val="3FA5ECE5"/>
    <w:rsid w:val="464E4E9D"/>
    <w:rsid w:val="5AAE11B6"/>
    <w:rsid w:val="60D10E95"/>
    <w:rsid w:val="63734EEB"/>
    <w:rsid w:val="6B27008A"/>
    <w:rsid w:val="6FB2A428"/>
    <w:rsid w:val="757E435E"/>
    <w:rsid w:val="7639392D"/>
    <w:rsid w:val="77F9A62C"/>
    <w:rsid w:val="77FB2C0B"/>
    <w:rsid w:val="7BED970F"/>
    <w:rsid w:val="7FDF4F13"/>
    <w:rsid w:val="7FFAF973"/>
    <w:rsid w:val="9B7B4037"/>
    <w:rsid w:val="A7D9885B"/>
    <w:rsid w:val="BB7FF8D5"/>
    <w:rsid w:val="BF4F334B"/>
    <w:rsid w:val="BFD69736"/>
    <w:rsid w:val="DF343D6B"/>
    <w:rsid w:val="E9DD24E9"/>
    <w:rsid w:val="EADFD8D8"/>
    <w:rsid w:val="F7F59305"/>
    <w:rsid w:val="FAFBD2B1"/>
    <w:rsid w:val="FDDF88F3"/>
    <w:rsid w:val="FDFF276B"/>
    <w:rsid w:val="FFAEC011"/>
    <w:rsid w:val="FFDFC71B"/>
    <w:rsid w:val="FFF9ACD6"/>
    <w:rsid w:val="FFFFB9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540"/>
      </w:tabs>
      <w:ind w:firstLine="420"/>
    </w:pPr>
  </w:style>
  <w:style w:type="paragraph" w:styleId="3">
    <w:name w:val="Body Text Indent"/>
    <w:basedOn w:val="1"/>
    <w:next w:val="2"/>
    <w:qFormat/>
    <w:uiPriority w:val="0"/>
    <w:pPr>
      <w:tabs>
        <w:tab w:val="left" w:pos="540"/>
      </w:tabs>
      <w:ind w:firstLine="600"/>
    </w:pPr>
    <w:rPr>
      <w:b/>
      <w:sz w:val="3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3.33333333333333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2025-12-30T16:44:00Z</dcterms:created>
  <dc:creator>mawq</dc:creator>
  <cp:lastModifiedBy>HHH</cp:lastModifiedBy>
  <cp:lastPrinted>2026-01-18T17:32:33Z</cp:lastPrinted>
  <dcterms:modified xsi:type="dcterms:W3CDTF">2026-08-17T01:03:14Z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