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70C58">
      <w:pPr>
        <w:jc w:val="center"/>
        <w:rPr>
          <w:rFonts w:hint="eastAsia" w:ascii="Times New Roman" w:hAnsi="Times New Roman" w:eastAsia="方正小标宋简体"/>
          <w:b w:val="0"/>
          <w:bCs/>
          <w:sz w:val="44"/>
          <w:szCs w:val="44"/>
        </w:rPr>
      </w:pPr>
      <w:r>
        <w:rPr>
          <w:rFonts w:hint="eastAsia" w:ascii="Times New Roman" w:hAnsi="Times New Roman" w:eastAsia="方正小标宋简体"/>
          <w:b w:val="0"/>
          <w:bCs/>
          <w:sz w:val="44"/>
          <w:szCs w:val="44"/>
        </w:rPr>
        <w:t>202</w:t>
      </w:r>
      <w:r>
        <w:rPr>
          <w:rFonts w:hint="eastAsia" w:ascii="Times New Roman" w:hAnsi="Times New Roman" w:eastAsia="方正小标宋简体"/>
          <w:b w:val="0"/>
          <w:bCs/>
          <w:sz w:val="44"/>
          <w:szCs w:val="44"/>
          <w:lang w:val="en-US" w:eastAsia="zh-CN"/>
        </w:rPr>
        <w:t>6</w:t>
      </w:r>
      <w:r>
        <w:rPr>
          <w:rFonts w:hint="eastAsia" w:ascii="Times New Roman" w:hAnsi="Times New Roman" w:eastAsia="方正小标宋简体"/>
          <w:b w:val="0"/>
          <w:bCs/>
          <w:sz w:val="44"/>
          <w:szCs w:val="44"/>
        </w:rPr>
        <w:t>年交通运输标准化计划项目（第</w:t>
      </w:r>
      <w:r>
        <w:rPr>
          <w:rFonts w:hint="eastAsia" w:ascii="Times New Roman" w:hAnsi="Times New Roman" w:eastAsia="方正小标宋简体"/>
          <w:b w:val="0"/>
          <w:bCs/>
          <w:sz w:val="44"/>
          <w:szCs w:val="44"/>
          <w:lang w:eastAsia="zh-CN"/>
        </w:rPr>
        <w:t>一</w:t>
      </w:r>
      <w:r>
        <w:rPr>
          <w:rFonts w:hint="eastAsia" w:ascii="Times New Roman" w:hAnsi="Times New Roman" w:eastAsia="方正小标宋简体"/>
          <w:b w:val="0"/>
          <w:bCs/>
          <w:sz w:val="44"/>
          <w:szCs w:val="44"/>
        </w:rPr>
        <w:t>批）</w:t>
      </w:r>
    </w:p>
    <w:p w14:paraId="12BE8C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黑体" w:cs="Times New Roman"/>
          <w:b w:val="0"/>
          <w:bCs/>
          <w:sz w:val="32"/>
          <w:szCs w:val="32"/>
          <w:lang w:eastAsia="zh-CN"/>
        </w:rPr>
      </w:pPr>
      <w:r>
        <w:rPr>
          <w:rFonts w:hint="eastAsia" w:ascii="Times New Roman" w:hAnsi="Times New Roman" w:eastAsia="黑体" w:cs="Times New Roman"/>
          <w:b w:val="0"/>
          <w:bCs/>
          <w:sz w:val="32"/>
          <w:szCs w:val="32"/>
        </w:rPr>
        <w:t>一、行业标准</w:t>
      </w:r>
      <w:r>
        <w:rPr>
          <w:rFonts w:hint="eastAsia" w:ascii="Times New Roman" w:hAnsi="Times New Roman" w:eastAsia="黑体" w:cs="Times New Roman"/>
          <w:b w:val="0"/>
          <w:bCs/>
          <w:sz w:val="32"/>
          <w:szCs w:val="32"/>
          <w:lang w:eastAsia="zh-CN"/>
        </w:rPr>
        <w:t>（</w:t>
      </w:r>
      <w:r>
        <w:rPr>
          <w:rFonts w:hint="eastAsia" w:ascii="Times New Roman" w:hAnsi="Times New Roman" w:eastAsia="黑体" w:cs="Times New Roman"/>
          <w:b w:val="0"/>
          <w:bCs/>
          <w:sz w:val="32"/>
          <w:szCs w:val="32"/>
          <w:lang w:val="en-US" w:eastAsia="zh-CN"/>
        </w:rPr>
        <w:t>17项</w:t>
      </w:r>
      <w:r>
        <w:rPr>
          <w:rFonts w:hint="eastAsia" w:ascii="Times New Roman" w:hAnsi="Times New Roman" w:eastAsia="黑体" w:cs="Times New Roman"/>
          <w:b w:val="0"/>
          <w:bCs/>
          <w:sz w:val="32"/>
          <w:szCs w:val="32"/>
          <w:lang w:eastAsia="zh-CN"/>
        </w:rPr>
        <w:t>）</w:t>
      </w:r>
    </w:p>
    <w:tbl>
      <w:tblPr>
        <w:tblStyle w:val="6"/>
        <w:tblW w:w="5152" w:type="pct"/>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703"/>
        <w:gridCol w:w="1346"/>
        <w:gridCol w:w="1246"/>
        <w:gridCol w:w="3472"/>
        <w:gridCol w:w="708"/>
        <w:gridCol w:w="1268"/>
        <w:gridCol w:w="784"/>
        <w:gridCol w:w="1035"/>
        <w:gridCol w:w="2698"/>
      </w:tblGrid>
      <w:tr w14:paraId="1271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51" w:hRule="atLeast"/>
          <w:tblHeader/>
        </w:trPr>
        <w:tc>
          <w:tcPr>
            <w:tcW w:w="265" w:type="pct"/>
            <w:vAlign w:val="center"/>
          </w:tcPr>
          <w:p w14:paraId="2D3EED53">
            <w:pPr>
              <w:widowControl/>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 w:val="32"/>
                <w:szCs w:val="32"/>
              </w:rPr>
              <w:br w:type="page"/>
            </w:r>
            <w:r>
              <w:rPr>
                <w:rFonts w:hint="eastAsia" w:asciiTheme="minorEastAsia" w:hAnsiTheme="minorEastAsia" w:eastAsiaTheme="minorEastAsia" w:cstheme="minorEastAsia"/>
                <w:b w:val="0"/>
                <w:bCs/>
                <w:color w:val="auto"/>
                <w:szCs w:val="21"/>
              </w:rPr>
              <w:t>序号</w:t>
            </w:r>
          </w:p>
        </w:tc>
        <w:tc>
          <w:tcPr>
            <w:tcW w:w="507" w:type="pct"/>
            <w:vAlign w:val="center"/>
          </w:tcPr>
          <w:p w14:paraId="4AD555E2">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计划编号</w:t>
            </w:r>
          </w:p>
        </w:tc>
        <w:tc>
          <w:tcPr>
            <w:tcW w:w="469" w:type="pct"/>
            <w:vAlign w:val="center"/>
          </w:tcPr>
          <w:p w14:paraId="4869318A">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项目名称</w:t>
            </w:r>
          </w:p>
        </w:tc>
        <w:tc>
          <w:tcPr>
            <w:tcW w:w="1309" w:type="pct"/>
            <w:vAlign w:val="center"/>
          </w:tcPr>
          <w:p w14:paraId="6546962E">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范围和主要技术内容</w:t>
            </w:r>
          </w:p>
        </w:tc>
        <w:tc>
          <w:tcPr>
            <w:tcW w:w="267" w:type="pct"/>
            <w:vAlign w:val="center"/>
          </w:tcPr>
          <w:p w14:paraId="5BB1241E">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制修订</w:t>
            </w:r>
          </w:p>
        </w:tc>
        <w:tc>
          <w:tcPr>
            <w:tcW w:w="478" w:type="pct"/>
            <w:vAlign w:val="center"/>
          </w:tcPr>
          <w:p w14:paraId="4A5CE2BB">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代替标准</w:t>
            </w:r>
          </w:p>
        </w:tc>
        <w:tc>
          <w:tcPr>
            <w:tcW w:w="295" w:type="pct"/>
            <w:vAlign w:val="center"/>
          </w:tcPr>
          <w:p w14:paraId="59B5380F">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完成周期(月)</w:t>
            </w:r>
          </w:p>
        </w:tc>
        <w:tc>
          <w:tcPr>
            <w:tcW w:w="390" w:type="pct"/>
            <w:vAlign w:val="center"/>
          </w:tcPr>
          <w:p w14:paraId="1C135CE0">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技术归口单位</w:t>
            </w:r>
          </w:p>
        </w:tc>
        <w:tc>
          <w:tcPr>
            <w:tcW w:w="1017" w:type="pct"/>
            <w:vAlign w:val="center"/>
          </w:tcPr>
          <w:p w14:paraId="5ED63002">
            <w:pPr>
              <w:adjustRightInd w:val="0"/>
              <w:snapToGrid w:val="0"/>
              <w:jc w:val="center"/>
              <w:rPr>
                <w:rFonts w:hint="eastAsia" w:asciiTheme="minorEastAsia" w:hAnsiTheme="minorEastAsia" w:eastAsiaTheme="minorEastAsia" w:cstheme="minorEastAsia"/>
                <w:b w:val="0"/>
                <w:bCs/>
                <w:color w:val="auto"/>
                <w:szCs w:val="21"/>
              </w:rPr>
            </w:pPr>
            <w:r>
              <w:rPr>
                <w:rFonts w:hint="eastAsia" w:asciiTheme="minorEastAsia" w:hAnsiTheme="minorEastAsia" w:eastAsiaTheme="minorEastAsia" w:cstheme="minorEastAsia"/>
                <w:b w:val="0"/>
                <w:bCs/>
                <w:color w:val="auto"/>
                <w:szCs w:val="21"/>
              </w:rPr>
              <w:t>主要起草单位</w:t>
            </w:r>
          </w:p>
        </w:tc>
      </w:tr>
      <w:tr w14:paraId="247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310" w:hRule="atLeast"/>
        </w:trPr>
        <w:tc>
          <w:tcPr>
            <w:tcW w:w="265" w:type="pct"/>
            <w:vAlign w:val="center"/>
          </w:tcPr>
          <w:p w14:paraId="28C4589C">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3E17D8A4">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2026-01</w:t>
            </w:r>
          </w:p>
        </w:tc>
        <w:tc>
          <w:tcPr>
            <w:tcW w:w="469" w:type="pct"/>
            <w:vAlign w:val="center"/>
          </w:tcPr>
          <w:p w14:paraId="447EBF23">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内河运输船舶船型优选指南</w:t>
            </w:r>
          </w:p>
        </w:tc>
        <w:tc>
          <w:tcPr>
            <w:tcW w:w="1309" w:type="pct"/>
            <w:vAlign w:val="center"/>
          </w:tcPr>
          <w:p w14:paraId="318543D5">
            <w:pPr>
              <w:adjustRightInd w:val="0"/>
              <w:snapToGrid w:val="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拟</w:t>
            </w:r>
            <w:r>
              <w:rPr>
                <w:rFonts w:hint="default" w:ascii="Times New Roman" w:hAnsi="Times New Roman" w:eastAsia="宋体" w:cs="Times New Roman"/>
                <w:b w:val="0"/>
                <w:bCs/>
                <w:color w:val="auto"/>
                <w:sz w:val="21"/>
                <w:szCs w:val="21"/>
                <w:lang w:val="en-US" w:eastAsia="zh-CN"/>
              </w:rPr>
              <w:t>规定内河运输船舶船型优选的主要技术指标和选型流程。</w:t>
            </w:r>
          </w:p>
          <w:p w14:paraId="46870AAA">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适用于在内河通航水域从事干散货、集装箱、液货危险品等货物运输船舶的船型优选工作。</w:t>
            </w:r>
          </w:p>
        </w:tc>
        <w:tc>
          <w:tcPr>
            <w:tcW w:w="267" w:type="pct"/>
            <w:vAlign w:val="center"/>
          </w:tcPr>
          <w:p w14:paraId="014FB90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58F978AD">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1A85F234">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012468B1">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内河船与水路运输标委会</w:t>
            </w:r>
          </w:p>
        </w:tc>
        <w:tc>
          <w:tcPr>
            <w:tcW w:w="1017" w:type="pct"/>
            <w:vAlign w:val="center"/>
          </w:tcPr>
          <w:p w14:paraId="23EE779C">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rPr>
              <w:t>交通运输部水运科学研究所、中国船级社武汉规范研究所、武汉理工大学、武汉长江船舶设计院有限公司 </w:t>
            </w:r>
          </w:p>
        </w:tc>
      </w:tr>
      <w:tr w14:paraId="650E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691" w:hRule="atLeast"/>
        </w:trPr>
        <w:tc>
          <w:tcPr>
            <w:tcW w:w="265" w:type="pct"/>
            <w:vAlign w:val="center"/>
          </w:tcPr>
          <w:p w14:paraId="04AB841F">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6996E1BD">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2026-02</w:t>
            </w:r>
          </w:p>
        </w:tc>
        <w:tc>
          <w:tcPr>
            <w:tcW w:w="469" w:type="pct"/>
            <w:vAlign w:val="center"/>
          </w:tcPr>
          <w:p w14:paraId="770C50AC">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农村物流节点体系建设要求</w:t>
            </w:r>
          </w:p>
        </w:tc>
        <w:tc>
          <w:tcPr>
            <w:tcW w:w="1309" w:type="pct"/>
            <w:vAlign w:val="center"/>
          </w:tcPr>
          <w:p w14:paraId="4ED39A7C">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拟规定农村物流三级节点的功能定位、规划建设原则、建设模式、规模</w:t>
            </w:r>
            <w:r>
              <w:rPr>
                <w:rFonts w:hint="eastAsia" w:ascii="Times New Roman" w:hAnsi="Times New Roman" w:eastAsia="宋体" w:cs="Times New Roman"/>
                <w:b w:val="0"/>
                <w:bCs/>
                <w:color w:val="auto"/>
                <w:sz w:val="21"/>
                <w:szCs w:val="21"/>
                <w:lang w:val="en-US" w:eastAsia="zh-CN"/>
              </w:rPr>
              <w:t>数量</w:t>
            </w:r>
            <w:r>
              <w:rPr>
                <w:rFonts w:hint="default" w:ascii="Times New Roman" w:hAnsi="Times New Roman" w:eastAsia="宋体" w:cs="Times New Roman"/>
                <w:b w:val="0"/>
                <w:bCs/>
                <w:color w:val="auto"/>
                <w:sz w:val="21"/>
                <w:szCs w:val="21"/>
                <w:lang w:val="en-US" w:eastAsia="zh-CN"/>
              </w:rPr>
              <w:t>、规划选址、站点布局、服务功能、设施设备信息化建设、运营管理和标志标识等内容。</w:t>
            </w:r>
          </w:p>
          <w:p w14:paraId="79F33FA2">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适用于全国农村物流网络节点体系的规划、建设</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改造</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和运营管理。</w:t>
            </w:r>
          </w:p>
        </w:tc>
        <w:tc>
          <w:tcPr>
            <w:tcW w:w="267" w:type="pct"/>
            <w:vAlign w:val="center"/>
          </w:tcPr>
          <w:p w14:paraId="7B016C6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5F14E2A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31710546">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28DE1EA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道路运输标委会</w:t>
            </w:r>
          </w:p>
        </w:tc>
        <w:tc>
          <w:tcPr>
            <w:tcW w:w="1017" w:type="pct"/>
            <w:vAlign w:val="center"/>
          </w:tcPr>
          <w:p w14:paraId="1681FBB7">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rPr>
              <w:t>交通运输部科学研究院</w:t>
            </w:r>
            <w:r>
              <w:rPr>
                <w:rFonts w:hint="eastAsia" w:ascii="Times New Roman" w:hAnsi="Times New Roman" w:eastAsia="宋体" w:cs="Times New Roman"/>
                <w:b w:val="0"/>
                <w:bCs/>
                <w:color w:val="auto"/>
                <w:szCs w:val="21"/>
                <w:lang w:eastAsia="zh-CN"/>
              </w:rPr>
              <w:t>、辽宁省道路运政执法服务中心</w:t>
            </w:r>
          </w:p>
        </w:tc>
      </w:tr>
      <w:tr w14:paraId="03F7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1" w:hRule="atLeast"/>
        </w:trPr>
        <w:tc>
          <w:tcPr>
            <w:tcW w:w="265" w:type="pct"/>
            <w:vAlign w:val="center"/>
          </w:tcPr>
          <w:p w14:paraId="61D30030">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56F70AFB">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2026-03</w:t>
            </w:r>
          </w:p>
        </w:tc>
        <w:tc>
          <w:tcPr>
            <w:tcW w:w="469" w:type="pct"/>
            <w:vAlign w:val="center"/>
          </w:tcPr>
          <w:p w14:paraId="7E458F67">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道路车辆清障救援操作规范</w:t>
            </w:r>
          </w:p>
        </w:tc>
        <w:tc>
          <w:tcPr>
            <w:tcW w:w="1309" w:type="pct"/>
            <w:vAlign w:val="center"/>
          </w:tcPr>
          <w:p w14:paraId="19D606E8">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现行标准规定了道路车辆清障救援的准备工作、现场操作规范以及事后处置。</w:t>
            </w:r>
          </w:p>
          <w:p w14:paraId="31301578">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适用于道路交通中需清障救援的不能正常行驶的车辆，即事故车辆和故障车辆。</w:t>
            </w:r>
          </w:p>
          <w:p w14:paraId="1778B58C">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不适用于危险货物运输车辆。</w:t>
            </w:r>
          </w:p>
          <w:p w14:paraId="375EFE52">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主要</w:t>
            </w:r>
            <w:r>
              <w:rPr>
                <w:rFonts w:hint="eastAsia" w:ascii="Times New Roman" w:hAnsi="Times New Roman" w:eastAsia="宋体" w:cs="Times New Roman"/>
                <w:b w:val="0"/>
                <w:bCs/>
                <w:color w:val="auto"/>
                <w:sz w:val="21"/>
                <w:szCs w:val="21"/>
                <w:lang w:val="en-US" w:eastAsia="zh-CN"/>
              </w:rPr>
              <w:t>修订</w:t>
            </w:r>
            <w:r>
              <w:rPr>
                <w:rFonts w:hint="default" w:ascii="Times New Roman" w:hAnsi="Times New Roman" w:eastAsia="宋体" w:cs="Times New Roman"/>
                <w:b w:val="0"/>
                <w:bCs/>
                <w:color w:val="auto"/>
                <w:sz w:val="21"/>
                <w:szCs w:val="21"/>
                <w:lang w:val="en-US" w:eastAsia="zh-CN"/>
              </w:rPr>
              <w:t>内容：1</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完善道路车辆清障救援作业安全区布设规范，新增并细化隧道、桥梁等特殊复杂环境下作业安全区的布设范围、操作流程和安全管控要求，明确布设操作规范</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2</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提升道路车辆救援现场作业安全防护等级</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3</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规范新能源营运车辆救援技术要求。</w:t>
            </w:r>
          </w:p>
        </w:tc>
        <w:tc>
          <w:tcPr>
            <w:tcW w:w="267" w:type="pct"/>
            <w:vAlign w:val="center"/>
          </w:tcPr>
          <w:p w14:paraId="3E5A0789">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kern w:val="2"/>
                <w:sz w:val="21"/>
                <w:szCs w:val="21"/>
                <w:lang w:val="en-US" w:eastAsia="zh-CN" w:bidi="ar-SA"/>
              </w:rPr>
              <w:t>修订</w:t>
            </w:r>
          </w:p>
        </w:tc>
        <w:tc>
          <w:tcPr>
            <w:tcW w:w="478" w:type="pct"/>
            <w:vAlign w:val="center"/>
          </w:tcPr>
          <w:p w14:paraId="36F5598D">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r>
              <w:rPr>
                <w:rFonts w:hint="default" w:ascii="Times New Roman" w:hAnsi="Times New Roman" w:eastAsia="仿宋_GB2312" w:cs="Times New Roman"/>
                <w:b w:val="0"/>
                <w:bCs/>
                <w:color w:val="auto"/>
                <w:kern w:val="0"/>
                <w:sz w:val="22"/>
                <w:szCs w:val="22"/>
              </w:rPr>
              <w:t>JT/T 891</w:t>
            </w:r>
            <w:r>
              <w:rPr>
                <w:rFonts w:hint="eastAsia" w:ascii="Times New Roman" w:hAnsi="Times New Roman" w:eastAsia="仿宋_GB2312" w:cs="Times New Roman"/>
                <w:b w:val="0"/>
                <w:bCs/>
                <w:color w:val="auto"/>
                <w:kern w:val="0"/>
                <w:sz w:val="22"/>
                <w:szCs w:val="22"/>
                <w:lang w:eastAsia="zh-CN"/>
              </w:rPr>
              <w:t>—</w:t>
            </w:r>
            <w:r>
              <w:rPr>
                <w:rFonts w:hint="default" w:ascii="Times New Roman" w:hAnsi="Times New Roman" w:eastAsia="仿宋_GB2312" w:cs="Times New Roman"/>
                <w:b w:val="0"/>
                <w:bCs/>
                <w:color w:val="auto"/>
                <w:kern w:val="0"/>
                <w:sz w:val="22"/>
                <w:szCs w:val="22"/>
              </w:rPr>
              <w:t>2014</w:t>
            </w:r>
          </w:p>
        </w:tc>
        <w:tc>
          <w:tcPr>
            <w:tcW w:w="295" w:type="pct"/>
            <w:vAlign w:val="center"/>
          </w:tcPr>
          <w:p w14:paraId="422C2111">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7CCF1324">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道路运输标委会</w:t>
            </w:r>
          </w:p>
        </w:tc>
        <w:tc>
          <w:tcPr>
            <w:tcW w:w="1017" w:type="pct"/>
            <w:vAlign w:val="center"/>
          </w:tcPr>
          <w:p w14:paraId="5868E27D">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交通运输部公路科学研究所、东南大学</w:t>
            </w:r>
          </w:p>
        </w:tc>
      </w:tr>
      <w:tr w14:paraId="3E12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683" w:hRule="atLeast"/>
        </w:trPr>
        <w:tc>
          <w:tcPr>
            <w:tcW w:w="265" w:type="pct"/>
            <w:vAlign w:val="center"/>
          </w:tcPr>
          <w:p w14:paraId="6961FECC">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52E97D52">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2026-04</w:t>
            </w:r>
          </w:p>
        </w:tc>
        <w:tc>
          <w:tcPr>
            <w:tcW w:w="469" w:type="pct"/>
            <w:vAlign w:val="center"/>
          </w:tcPr>
          <w:p w14:paraId="12BB55C2">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电动公共汽车配置要求</w:t>
            </w:r>
          </w:p>
        </w:tc>
        <w:tc>
          <w:tcPr>
            <w:tcW w:w="1309" w:type="pct"/>
            <w:vAlign w:val="center"/>
          </w:tcPr>
          <w:p w14:paraId="21A174A3">
            <w:pPr>
              <w:adjustRightInd w:val="0"/>
              <w:snapToGrid w:val="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现行标准</w:t>
            </w:r>
            <w:r>
              <w:rPr>
                <w:rFonts w:hint="default" w:ascii="Times New Roman" w:hAnsi="Times New Roman" w:eastAsia="宋体" w:cs="Times New Roman"/>
                <w:b w:val="0"/>
                <w:bCs/>
                <w:color w:val="auto"/>
                <w:sz w:val="21"/>
                <w:szCs w:val="21"/>
                <w:lang w:val="en-US" w:eastAsia="zh-CN"/>
              </w:rPr>
              <w:t>规定了</w:t>
            </w:r>
            <w:r>
              <w:rPr>
                <w:rFonts w:hint="eastAsia" w:ascii="Times New Roman" w:hAnsi="Times New Roman" w:eastAsia="宋体" w:cs="Times New Roman"/>
                <w:b w:val="0"/>
                <w:bCs/>
                <w:color w:val="auto"/>
                <w:sz w:val="21"/>
                <w:szCs w:val="21"/>
                <w:lang w:val="en-US" w:eastAsia="zh-CN"/>
              </w:rPr>
              <w:t>电动公共汽车的分类、整车要求，以及供电设备、驱动单元与辅助设备、车辆管理系统、车载储能装置、车载服务设施、即时充电配套设施与设备和标识等方面的配置要求。</w:t>
            </w:r>
          </w:p>
          <w:p w14:paraId="5D390AC6">
            <w:pPr>
              <w:adjustRightInd w:val="0"/>
              <w:snapToGrid w:val="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适用于电动公共汽车及其配套设施与设备的配置。</w:t>
            </w:r>
          </w:p>
          <w:p w14:paraId="0423FEEC">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主要</w:t>
            </w:r>
            <w:r>
              <w:rPr>
                <w:rFonts w:hint="eastAsia" w:ascii="Times New Roman" w:hAnsi="Times New Roman" w:eastAsia="宋体" w:cs="Times New Roman"/>
                <w:b w:val="0"/>
                <w:bCs/>
                <w:color w:val="auto"/>
                <w:sz w:val="21"/>
                <w:szCs w:val="21"/>
                <w:lang w:val="en-US" w:eastAsia="zh-CN"/>
              </w:rPr>
              <w:t>修订</w:t>
            </w:r>
            <w:r>
              <w:rPr>
                <w:rFonts w:hint="default" w:ascii="Times New Roman" w:hAnsi="Times New Roman" w:eastAsia="宋体" w:cs="Times New Roman"/>
                <w:b w:val="0"/>
                <w:bCs/>
                <w:color w:val="auto"/>
                <w:sz w:val="21"/>
                <w:szCs w:val="21"/>
                <w:lang w:val="en-US" w:eastAsia="zh-CN"/>
              </w:rPr>
              <w:t>内容</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1</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修改电动公共汽车破窗装置设置、驾驶区防护隔离装置设置、电池安全监测装置设置、即时充电设备自动充电功能的相关要求；2</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修改车辆技术状况远程监控系统终端设备要求；3</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修改适老化及无障碍设施配置相关要求。</w:t>
            </w:r>
          </w:p>
        </w:tc>
        <w:tc>
          <w:tcPr>
            <w:tcW w:w="267" w:type="pct"/>
            <w:vAlign w:val="center"/>
          </w:tcPr>
          <w:p w14:paraId="6960720A">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kern w:val="2"/>
                <w:sz w:val="21"/>
                <w:szCs w:val="21"/>
                <w:lang w:val="en-US" w:eastAsia="zh-CN" w:bidi="ar-SA"/>
              </w:rPr>
              <w:t>修订</w:t>
            </w:r>
          </w:p>
        </w:tc>
        <w:tc>
          <w:tcPr>
            <w:tcW w:w="478" w:type="pct"/>
            <w:vAlign w:val="center"/>
          </w:tcPr>
          <w:p w14:paraId="1356E9E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r>
              <w:rPr>
                <w:rFonts w:hint="default" w:ascii="Times New Roman" w:hAnsi="Times New Roman" w:eastAsia="仿宋_GB2312" w:cs="Times New Roman"/>
                <w:b w:val="0"/>
                <w:bCs/>
                <w:color w:val="auto"/>
                <w:kern w:val="0"/>
                <w:sz w:val="22"/>
                <w:szCs w:val="22"/>
              </w:rPr>
              <w:t>JT/T 1096</w:t>
            </w:r>
            <w:r>
              <w:rPr>
                <w:rFonts w:hint="eastAsia" w:ascii="Times New Roman" w:hAnsi="Times New Roman" w:eastAsia="仿宋_GB2312" w:cs="Times New Roman"/>
                <w:b w:val="0"/>
                <w:bCs/>
                <w:color w:val="auto"/>
                <w:kern w:val="0"/>
                <w:sz w:val="22"/>
                <w:szCs w:val="22"/>
                <w:lang w:eastAsia="zh-CN"/>
              </w:rPr>
              <w:t>—</w:t>
            </w:r>
            <w:r>
              <w:rPr>
                <w:rFonts w:hint="default" w:ascii="Times New Roman" w:hAnsi="Times New Roman" w:eastAsia="仿宋_GB2312" w:cs="Times New Roman"/>
                <w:b w:val="0"/>
                <w:bCs/>
                <w:color w:val="auto"/>
                <w:kern w:val="0"/>
                <w:sz w:val="22"/>
                <w:szCs w:val="22"/>
              </w:rPr>
              <w:t>2016</w:t>
            </w:r>
          </w:p>
        </w:tc>
        <w:tc>
          <w:tcPr>
            <w:tcW w:w="295" w:type="pct"/>
            <w:vAlign w:val="center"/>
          </w:tcPr>
          <w:p w14:paraId="7E5504BA">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1FB89A34">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kern w:val="2"/>
                <w:sz w:val="21"/>
                <w:szCs w:val="21"/>
                <w:lang w:val="en-US" w:eastAsia="zh-CN" w:bidi="ar-SA"/>
              </w:rPr>
              <w:t>城市客运标委会</w:t>
            </w:r>
          </w:p>
        </w:tc>
        <w:tc>
          <w:tcPr>
            <w:tcW w:w="1017" w:type="pct"/>
            <w:vAlign w:val="center"/>
          </w:tcPr>
          <w:p w14:paraId="6F6B8A75">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北京公共交通控股（集团）有限公司、北京福田欧辉新能源汽车有限公司、北京理工大学、济南市城市交通研究中心有限公司</w:t>
            </w:r>
          </w:p>
        </w:tc>
      </w:tr>
      <w:tr w14:paraId="686C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050" w:hRule="atLeast"/>
        </w:trPr>
        <w:tc>
          <w:tcPr>
            <w:tcW w:w="265" w:type="pct"/>
            <w:vAlign w:val="center"/>
          </w:tcPr>
          <w:p w14:paraId="0FCB1DE2">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4BC609AE">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2026-05</w:t>
            </w:r>
          </w:p>
        </w:tc>
        <w:tc>
          <w:tcPr>
            <w:tcW w:w="469" w:type="pct"/>
            <w:vAlign w:val="center"/>
          </w:tcPr>
          <w:p w14:paraId="46E48F83">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城市公共交通管理与服务数据交换规范</w:t>
            </w:r>
          </w:p>
        </w:tc>
        <w:tc>
          <w:tcPr>
            <w:tcW w:w="1309" w:type="pct"/>
            <w:vAlign w:val="center"/>
          </w:tcPr>
          <w:p w14:paraId="1260D2D4">
            <w:pPr>
              <w:adjustRightInd w:val="0"/>
              <w:snapToGrid w:val="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现行标准</w:t>
            </w:r>
            <w:r>
              <w:rPr>
                <w:rFonts w:hint="default" w:ascii="Times New Roman" w:hAnsi="Times New Roman" w:eastAsia="宋体" w:cs="Times New Roman"/>
                <w:b w:val="0"/>
                <w:bCs/>
                <w:color w:val="auto"/>
                <w:sz w:val="21"/>
                <w:szCs w:val="21"/>
                <w:lang w:val="en-US" w:eastAsia="zh-CN"/>
              </w:rPr>
              <w:t>规定了城市公共交通管理与服务数据交换总体要求和企业级与城市级、城市级与省级、省级与部级之间的数据交换内容。</w:t>
            </w:r>
          </w:p>
          <w:p w14:paraId="533B9CA9">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适用于城市公共交通监管平台中部、省、市与企业四级数据资源体系建设。</w:t>
            </w:r>
          </w:p>
          <w:p w14:paraId="2B76BC10">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主要</w:t>
            </w:r>
            <w:r>
              <w:rPr>
                <w:rFonts w:hint="eastAsia" w:ascii="Times New Roman" w:hAnsi="Times New Roman" w:eastAsia="宋体" w:cs="Times New Roman"/>
                <w:b w:val="0"/>
                <w:bCs/>
                <w:color w:val="auto"/>
                <w:sz w:val="21"/>
                <w:szCs w:val="21"/>
                <w:lang w:val="en-US" w:eastAsia="zh-CN"/>
              </w:rPr>
              <w:t>修订</w:t>
            </w:r>
            <w:r>
              <w:rPr>
                <w:rFonts w:hint="default" w:ascii="Times New Roman" w:hAnsi="Times New Roman" w:eastAsia="宋体" w:cs="Times New Roman"/>
                <w:b w:val="0"/>
                <w:bCs/>
                <w:color w:val="auto"/>
                <w:sz w:val="21"/>
                <w:szCs w:val="21"/>
                <w:lang w:val="en-US" w:eastAsia="zh-CN"/>
              </w:rPr>
              <w:t>内容：1</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更改了数据交换体系架构、企业级与城市级之间数据交换内容清单、城市级与省级之间数据交换内容清单，以及数据交换内容（如公共交通企业信息、从业人员信息、公共汽电车车辆信息、公共汽电车IC刷卡信息、轨道交通客流信息、公共汽电车运营统计信息等）；2</w:t>
            </w:r>
            <w:r>
              <w:rPr>
                <w:rFonts w:hint="eastAsia" w:ascii="Times New Roman" w:hAnsi="Times New Roman" w:eastAsia="宋体"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增加了“定制公交线路信息”数据交换内容。</w:t>
            </w:r>
          </w:p>
        </w:tc>
        <w:tc>
          <w:tcPr>
            <w:tcW w:w="267" w:type="pct"/>
            <w:vAlign w:val="center"/>
          </w:tcPr>
          <w:p w14:paraId="4C05B4A8">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kern w:val="2"/>
                <w:sz w:val="21"/>
                <w:szCs w:val="21"/>
                <w:lang w:val="en-US" w:eastAsia="zh-CN" w:bidi="ar-SA"/>
              </w:rPr>
              <w:t>修订</w:t>
            </w:r>
          </w:p>
        </w:tc>
        <w:tc>
          <w:tcPr>
            <w:tcW w:w="478" w:type="pct"/>
            <w:vAlign w:val="center"/>
          </w:tcPr>
          <w:p w14:paraId="76926902">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r>
              <w:rPr>
                <w:rFonts w:hint="default" w:ascii="Times New Roman" w:hAnsi="Times New Roman" w:eastAsia="仿宋_GB2312" w:cs="Times New Roman"/>
                <w:b w:val="0"/>
                <w:bCs/>
                <w:color w:val="auto"/>
                <w:kern w:val="0"/>
                <w:sz w:val="22"/>
                <w:szCs w:val="22"/>
              </w:rPr>
              <w:t>JT/T 1137</w:t>
            </w:r>
            <w:r>
              <w:rPr>
                <w:rFonts w:hint="eastAsia" w:ascii="Times New Roman" w:hAnsi="Times New Roman" w:eastAsia="仿宋_GB2312" w:cs="Times New Roman"/>
                <w:b w:val="0"/>
                <w:bCs/>
                <w:color w:val="auto"/>
                <w:kern w:val="0"/>
                <w:sz w:val="22"/>
                <w:szCs w:val="22"/>
                <w:lang w:eastAsia="zh-CN"/>
              </w:rPr>
              <w:t>—</w:t>
            </w:r>
            <w:r>
              <w:rPr>
                <w:rFonts w:hint="default" w:ascii="Times New Roman" w:hAnsi="Times New Roman" w:eastAsia="仿宋_GB2312" w:cs="Times New Roman"/>
                <w:b w:val="0"/>
                <w:bCs/>
                <w:color w:val="auto"/>
                <w:kern w:val="0"/>
                <w:sz w:val="22"/>
                <w:szCs w:val="22"/>
              </w:rPr>
              <w:t>2017</w:t>
            </w:r>
          </w:p>
        </w:tc>
        <w:tc>
          <w:tcPr>
            <w:tcW w:w="295" w:type="pct"/>
            <w:vAlign w:val="center"/>
          </w:tcPr>
          <w:p w14:paraId="2D9F14D9">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2854B4B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kern w:val="2"/>
                <w:sz w:val="21"/>
                <w:szCs w:val="21"/>
                <w:lang w:val="en-US" w:eastAsia="zh-CN" w:bidi="ar-SA"/>
              </w:rPr>
              <w:t>城市客运标委会</w:t>
            </w:r>
          </w:p>
        </w:tc>
        <w:tc>
          <w:tcPr>
            <w:tcW w:w="1017" w:type="pct"/>
            <w:vAlign w:val="center"/>
          </w:tcPr>
          <w:p w14:paraId="49421BA8">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交通运输部科学研究院、北京市交通运行监测调度中心、智达信科技术股份有限公司</w:t>
            </w:r>
          </w:p>
        </w:tc>
      </w:tr>
      <w:tr w14:paraId="424A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80" w:hRule="atLeast"/>
        </w:trPr>
        <w:tc>
          <w:tcPr>
            <w:tcW w:w="265" w:type="pct"/>
            <w:vAlign w:val="center"/>
          </w:tcPr>
          <w:p w14:paraId="36C3DC94">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74B2E488">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2026-06</w:t>
            </w:r>
          </w:p>
        </w:tc>
        <w:tc>
          <w:tcPr>
            <w:tcW w:w="469" w:type="pct"/>
            <w:vAlign w:val="center"/>
          </w:tcPr>
          <w:p w14:paraId="496A2A59">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港口危险货物重大危险源安全监控技术规范</w:t>
            </w:r>
          </w:p>
        </w:tc>
        <w:tc>
          <w:tcPr>
            <w:tcW w:w="1309" w:type="pct"/>
            <w:vAlign w:val="center"/>
          </w:tcPr>
          <w:p w14:paraId="68F2EA32">
            <w:pPr>
              <w:adjustRightInd w:val="0"/>
              <w:snapToGrid w:val="0"/>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拟规定港口危险货物重大危险源安全监控的基本要求、设计要求、运行与检维修、报警管理与优化等方面的技术要求</w:t>
            </w:r>
            <w:r>
              <w:rPr>
                <w:rFonts w:hint="eastAsia" w:ascii="Times New Roman" w:hAnsi="Times New Roman" w:eastAsia="宋体" w:cs="Times New Roman"/>
                <w:b w:val="0"/>
                <w:bCs/>
                <w:color w:val="auto"/>
                <w:sz w:val="21"/>
                <w:szCs w:val="21"/>
                <w:lang w:val="en-US" w:eastAsia="zh-CN"/>
              </w:rPr>
              <w:t>。</w:t>
            </w:r>
          </w:p>
          <w:p w14:paraId="65B266E5">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适用于依法取得危险货物港口经营资质的港口企业的新建、改建、扩建危险货物港口建设项目重大危险源的安全监控。</w:t>
            </w:r>
          </w:p>
        </w:tc>
        <w:tc>
          <w:tcPr>
            <w:tcW w:w="267" w:type="pct"/>
            <w:vAlign w:val="center"/>
          </w:tcPr>
          <w:p w14:paraId="65996037">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0BD1DE72">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kern w:val="0"/>
                <w:szCs w:val="21"/>
              </w:rPr>
            </w:pPr>
          </w:p>
        </w:tc>
        <w:tc>
          <w:tcPr>
            <w:tcW w:w="295" w:type="pct"/>
            <w:vAlign w:val="center"/>
          </w:tcPr>
          <w:p w14:paraId="6643AFC2">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2B90300B">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港口标委会</w:t>
            </w:r>
          </w:p>
        </w:tc>
        <w:tc>
          <w:tcPr>
            <w:tcW w:w="1017" w:type="pct"/>
            <w:vAlign w:val="center"/>
          </w:tcPr>
          <w:p w14:paraId="2263BC44">
            <w:pPr>
              <w:adjustRightInd w:val="0"/>
              <w:snapToGrid w:val="0"/>
              <w:rPr>
                <w:rFonts w:hint="default" w:ascii="Times New Roman" w:hAnsi="Times New Roman" w:eastAsia="宋体" w:cs="Times New Roman"/>
                <w:b w:val="0"/>
                <w:bCs/>
                <w:color w:val="auto"/>
                <w:szCs w:val="21"/>
                <w:lang w:val="en-US"/>
              </w:rPr>
            </w:pPr>
            <w:r>
              <w:rPr>
                <w:rFonts w:hint="eastAsia" w:ascii="Times New Roman" w:hAnsi="Times New Roman" w:eastAsia="宋体" w:cs="Times New Roman"/>
                <w:b w:val="0"/>
                <w:bCs/>
                <w:color w:val="auto"/>
                <w:szCs w:val="21"/>
                <w:lang w:val="en-US" w:eastAsia="zh-CN"/>
              </w:rPr>
              <w:t>交通运输部水运科学研究所、中石化工程建设有限公司、宁波市交通运输局、天津港（集团）有限公司、山东省港口集团有限公司、交通运输部天津水运工程科学研究所</w:t>
            </w:r>
          </w:p>
        </w:tc>
      </w:tr>
      <w:tr w14:paraId="728C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470" w:hRule="atLeast"/>
        </w:trPr>
        <w:tc>
          <w:tcPr>
            <w:tcW w:w="265" w:type="pct"/>
            <w:vAlign w:val="center"/>
          </w:tcPr>
          <w:p w14:paraId="3B1F8597">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0B1FB0BD">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2026-07</w:t>
            </w:r>
          </w:p>
        </w:tc>
        <w:tc>
          <w:tcPr>
            <w:tcW w:w="469" w:type="pct"/>
            <w:vAlign w:val="center"/>
          </w:tcPr>
          <w:p w14:paraId="1AECBBAE">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港口智能理货技术要求</w:t>
            </w:r>
          </w:p>
        </w:tc>
        <w:tc>
          <w:tcPr>
            <w:tcW w:w="1309" w:type="pct"/>
            <w:vAlign w:val="center"/>
          </w:tcPr>
          <w:p w14:paraId="09E4261E">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拟规定港口智能理货的一般要求、理货全流程和数据管理要求。</w:t>
            </w:r>
          </w:p>
          <w:p w14:paraId="57588A4E">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适用于从事港口智能理货业务的经营人及理货人员，覆盖港口岸边装卸、堆场作业、货物装拆箱等各类智能理货场景。</w:t>
            </w:r>
          </w:p>
        </w:tc>
        <w:tc>
          <w:tcPr>
            <w:tcW w:w="267" w:type="pct"/>
            <w:vAlign w:val="center"/>
          </w:tcPr>
          <w:p w14:paraId="693B77F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3E412618">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141097E4">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57C1DB13">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港口标委会</w:t>
            </w:r>
          </w:p>
        </w:tc>
        <w:tc>
          <w:tcPr>
            <w:tcW w:w="1017" w:type="pct"/>
            <w:vAlign w:val="center"/>
          </w:tcPr>
          <w:p w14:paraId="43CDDF2B">
            <w:pPr>
              <w:adjustRightInd w:val="0"/>
              <w:snapToGrid w:val="0"/>
              <w:rPr>
                <w:rFonts w:hint="eastAsia" w:ascii="Times New Roman" w:hAnsi="Times New Roman" w:eastAsia="宋体" w:cs="Times New Roman"/>
                <w:b w:val="0"/>
                <w:bCs/>
                <w:color w:val="auto"/>
                <w:szCs w:val="21"/>
                <w:lang w:eastAsia="zh-CN"/>
              </w:rPr>
            </w:pPr>
            <w:r>
              <w:rPr>
                <w:rFonts w:hint="eastAsia" w:ascii="Times New Roman" w:hAnsi="Times New Roman" w:eastAsia="宋体" w:cs="Times New Roman"/>
                <w:b w:val="0"/>
                <w:bCs/>
                <w:color w:val="auto"/>
                <w:szCs w:val="21"/>
                <w:lang w:val="en-US" w:eastAsia="zh-CN"/>
              </w:rPr>
              <w:t>青岛外轮理货有限公司、交通运输部水运科学研究所、中国理货协会</w:t>
            </w:r>
          </w:p>
        </w:tc>
      </w:tr>
      <w:tr w14:paraId="1576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046" w:hRule="atLeast"/>
        </w:trPr>
        <w:tc>
          <w:tcPr>
            <w:tcW w:w="265" w:type="pct"/>
            <w:vAlign w:val="center"/>
          </w:tcPr>
          <w:p w14:paraId="3AD29617">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493390B7">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2026-08</w:t>
            </w:r>
          </w:p>
        </w:tc>
        <w:tc>
          <w:tcPr>
            <w:tcW w:w="469" w:type="pct"/>
            <w:vAlign w:val="center"/>
          </w:tcPr>
          <w:p w14:paraId="2378CF0D">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自动化抓斗门座起重机</w:t>
            </w:r>
          </w:p>
        </w:tc>
        <w:tc>
          <w:tcPr>
            <w:tcW w:w="1309" w:type="pct"/>
            <w:vAlign w:val="center"/>
          </w:tcPr>
          <w:p w14:paraId="7AE77A71">
            <w:pPr>
              <w:adjustRightInd w:val="0"/>
              <w:snapToGrid w:val="0"/>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拟规定自动化抓斗门座起重机的技术要求、试验方法、检验规则、标志、包装、运输和贮存</w:t>
            </w:r>
            <w:r>
              <w:rPr>
                <w:rFonts w:hint="eastAsia" w:ascii="Times New Roman" w:hAnsi="Times New Roman" w:eastAsia="宋体" w:cs="Times New Roman"/>
                <w:b w:val="0"/>
                <w:bCs/>
                <w:color w:val="auto"/>
                <w:sz w:val="21"/>
                <w:szCs w:val="21"/>
                <w:lang w:val="en-US" w:eastAsia="zh-CN"/>
              </w:rPr>
              <w:t>。</w:t>
            </w:r>
          </w:p>
          <w:p w14:paraId="0CCED132">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适用于港口件杂货、散货、集装箱、成套设备等装卸作业用的自动化抓斗门座起重机。</w:t>
            </w:r>
          </w:p>
        </w:tc>
        <w:tc>
          <w:tcPr>
            <w:tcW w:w="267" w:type="pct"/>
            <w:vAlign w:val="center"/>
          </w:tcPr>
          <w:p w14:paraId="6D7923D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0E6B5439">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016EF0BD">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0DC1ED52">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臂架分委会</w:t>
            </w:r>
          </w:p>
        </w:tc>
        <w:tc>
          <w:tcPr>
            <w:tcW w:w="1017" w:type="pct"/>
            <w:vAlign w:val="center"/>
          </w:tcPr>
          <w:p w14:paraId="533CF301">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交通运输部水运科学研究所</w:t>
            </w:r>
            <w:r>
              <w:rPr>
                <w:rFonts w:hint="eastAsia" w:ascii="Times New Roman" w:hAnsi="Times New Roman" w:eastAsia="宋体" w:cs="Times New Roman"/>
                <w:b w:val="0"/>
                <w:bCs/>
                <w:color w:val="auto"/>
                <w:szCs w:val="21"/>
                <w:lang w:eastAsia="zh-CN"/>
              </w:rPr>
              <w:t>、南京港机重工制造有限公司、烟台港股份有限公司矿石码头分公司</w:t>
            </w:r>
          </w:p>
        </w:tc>
      </w:tr>
      <w:tr w14:paraId="38D2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trPr>
        <w:tc>
          <w:tcPr>
            <w:tcW w:w="265" w:type="pct"/>
            <w:vAlign w:val="center"/>
          </w:tcPr>
          <w:p w14:paraId="3F1B0B6A">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785521DC">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2026-09</w:t>
            </w:r>
          </w:p>
        </w:tc>
        <w:tc>
          <w:tcPr>
            <w:tcW w:w="469" w:type="pct"/>
            <w:vAlign w:val="center"/>
          </w:tcPr>
          <w:p w14:paraId="19A41770">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沿海港口航道航行障碍物探测技术要求</w:t>
            </w:r>
          </w:p>
        </w:tc>
        <w:tc>
          <w:tcPr>
            <w:tcW w:w="1309" w:type="pct"/>
            <w:vAlign w:val="center"/>
          </w:tcPr>
          <w:p w14:paraId="78245334">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拟规定沿海港口航道航行障碍物探测的基本要求、探测方法、探测范围及航行障碍物发布</w:t>
            </w:r>
            <w:r>
              <w:rPr>
                <w:rFonts w:hint="eastAsia" w:ascii="Times New Roman" w:hAnsi="Times New Roman" w:eastAsia="宋体" w:cs="Times New Roman"/>
                <w:b w:val="0"/>
                <w:bCs/>
                <w:color w:val="auto"/>
                <w:sz w:val="21"/>
                <w:szCs w:val="21"/>
                <w:lang w:val="en-US" w:eastAsia="zh-CN"/>
              </w:rPr>
              <w:t>等</w:t>
            </w:r>
            <w:r>
              <w:rPr>
                <w:rFonts w:hint="default" w:ascii="Times New Roman" w:hAnsi="Times New Roman" w:eastAsia="宋体" w:cs="Times New Roman"/>
                <w:b w:val="0"/>
                <w:bCs/>
                <w:color w:val="auto"/>
                <w:sz w:val="21"/>
                <w:szCs w:val="21"/>
                <w:lang w:val="en-US" w:eastAsia="zh-CN"/>
              </w:rPr>
              <w:t>有关要求。</w:t>
            </w:r>
          </w:p>
          <w:p w14:paraId="5D7B2003">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适用于我国沿海港口航道航行障碍物探测。</w:t>
            </w:r>
          </w:p>
        </w:tc>
        <w:tc>
          <w:tcPr>
            <w:tcW w:w="267" w:type="pct"/>
            <w:vAlign w:val="center"/>
          </w:tcPr>
          <w:p w14:paraId="30D183C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4248766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7269BE0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643F459C">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航测标委会</w:t>
            </w:r>
          </w:p>
        </w:tc>
        <w:tc>
          <w:tcPr>
            <w:tcW w:w="1017" w:type="pct"/>
            <w:vAlign w:val="center"/>
          </w:tcPr>
          <w:p w14:paraId="44FD8E08">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交通运输部北海航海保障中心天津海事测绘中心</w:t>
            </w:r>
          </w:p>
        </w:tc>
      </w:tr>
      <w:tr w14:paraId="5683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91" w:hRule="atLeast"/>
        </w:trPr>
        <w:tc>
          <w:tcPr>
            <w:tcW w:w="265" w:type="pct"/>
            <w:vAlign w:val="center"/>
          </w:tcPr>
          <w:p w14:paraId="7E264C79">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6A9FE9CE">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2026-10</w:t>
            </w:r>
          </w:p>
        </w:tc>
        <w:tc>
          <w:tcPr>
            <w:tcW w:w="469" w:type="pct"/>
            <w:vAlign w:val="center"/>
          </w:tcPr>
          <w:p w14:paraId="13592606">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船舶自动识别系统（AIS）岸基服务技术要求</w:t>
            </w:r>
            <w:r>
              <w:rPr>
                <w:rFonts w:hint="eastAsia" w:ascii="Times New Roman" w:hAnsi="Times New Roman" w:eastAsia="宋体" w:cs="Times New Roman"/>
                <w:b w:val="0"/>
                <w:bCs/>
                <w:color w:val="auto"/>
                <w:szCs w:val="21"/>
                <w:lang w:val="en-US" w:eastAsia="zh-CN"/>
              </w:rPr>
              <w:t xml:space="preserve"> </w:t>
            </w:r>
            <w:r>
              <w:rPr>
                <w:rFonts w:hint="default" w:ascii="Times New Roman" w:hAnsi="Times New Roman" w:eastAsia="宋体" w:cs="Times New Roman"/>
                <w:b w:val="0"/>
                <w:bCs/>
                <w:color w:val="auto"/>
                <w:szCs w:val="21"/>
                <w:lang w:val="en-US" w:eastAsia="zh-CN"/>
              </w:rPr>
              <w:t>第3部分：用户应用程序接口</w:t>
            </w:r>
          </w:p>
        </w:tc>
        <w:tc>
          <w:tcPr>
            <w:tcW w:w="1309" w:type="pct"/>
            <w:vAlign w:val="center"/>
          </w:tcPr>
          <w:p w14:paraId="2986B972">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拟规定船舶自动识别系统（AIS）岸基服务用户应用程序接口的总体要求、JSON格式接口要求和XML格式接口要求等内容。</w:t>
            </w:r>
          </w:p>
          <w:p w14:paraId="367E49D3">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适用于AIS数据服务接口的设计、开发、部署和管理，以及AIS岸基服务用户应用程序对接与开发。</w:t>
            </w:r>
          </w:p>
        </w:tc>
        <w:tc>
          <w:tcPr>
            <w:tcW w:w="267" w:type="pct"/>
            <w:vAlign w:val="center"/>
          </w:tcPr>
          <w:p w14:paraId="5CD4AB6A">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4E183F1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284B3311">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2143DA1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航测标委会</w:t>
            </w:r>
          </w:p>
        </w:tc>
        <w:tc>
          <w:tcPr>
            <w:tcW w:w="1017" w:type="pct"/>
            <w:vAlign w:val="center"/>
          </w:tcPr>
          <w:p w14:paraId="2369FF0A">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交通运输部海事局、交通运输部北海航海保障中心、交通运输部科学研究院、天津天元海科技开发有限公司</w:t>
            </w:r>
          </w:p>
        </w:tc>
      </w:tr>
      <w:tr w14:paraId="1777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391" w:hRule="atLeast"/>
        </w:trPr>
        <w:tc>
          <w:tcPr>
            <w:tcW w:w="265" w:type="pct"/>
            <w:vAlign w:val="center"/>
          </w:tcPr>
          <w:p w14:paraId="47D5A051">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728EC6CB">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2026-11</w:t>
            </w:r>
          </w:p>
        </w:tc>
        <w:tc>
          <w:tcPr>
            <w:tcW w:w="469" w:type="pct"/>
            <w:vAlign w:val="center"/>
          </w:tcPr>
          <w:p w14:paraId="2900945F">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S-57电子海图与S-101电子海图转换技术要求</w:t>
            </w:r>
          </w:p>
        </w:tc>
        <w:tc>
          <w:tcPr>
            <w:tcW w:w="1309" w:type="pct"/>
            <w:vAlign w:val="center"/>
          </w:tcPr>
          <w:p w14:paraId="7D309A93">
            <w:pPr>
              <w:adjustRightInd w:val="0"/>
              <w:snapToGrid w:val="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拟规定S-57电子海图与S-101电子海图转换的通用要求、数据集元数据转换要求、物标及属性转换的对应映射要求。</w:t>
            </w:r>
          </w:p>
          <w:p w14:paraId="563A541D">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适用于中国沿海S-57电子海图向S-101电子海图转换时的技术处理过程。</w:t>
            </w:r>
          </w:p>
        </w:tc>
        <w:tc>
          <w:tcPr>
            <w:tcW w:w="267" w:type="pct"/>
            <w:vAlign w:val="center"/>
          </w:tcPr>
          <w:p w14:paraId="2E9D42BC">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1FAA7A5A">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02E2D096">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60AAD81B">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航测标委会</w:t>
            </w:r>
          </w:p>
        </w:tc>
        <w:tc>
          <w:tcPr>
            <w:tcW w:w="1017" w:type="pct"/>
            <w:vAlign w:val="center"/>
          </w:tcPr>
          <w:p w14:paraId="362C26AC">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交通运输部东海航海保障中心上海海图中心</w:t>
            </w:r>
          </w:p>
        </w:tc>
      </w:tr>
      <w:tr w14:paraId="1216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401" w:hRule="atLeast"/>
        </w:trPr>
        <w:tc>
          <w:tcPr>
            <w:tcW w:w="265" w:type="pct"/>
            <w:vAlign w:val="center"/>
          </w:tcPr>
          <w:p w14:paraId="0DDFC742">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64225A0A">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2026-12</w:t>
            </w:r>
          </w:p>
        </w:tc>
        <w:tc>
          <w:tcPr>
            <w:tcW w:w="469" w:type="pct"/>
            <w:vAlign w:val="center"/>
          </w:tcPr>
          <w:p w14:paraId="779FAA8D">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国家综合交通运输信息平台电子图在线服务及共享调用要求</w:t>
            </w:r>
          </w:p>
        </w:tc>
        <w:tc>
          <w:tcPr>
            <w:tcW w:w="1309" w:type="pct"/>
            <w:vAlign w:val="center"/>
          </w:tcPr>
          <w:p w14:paraId="0C9BC675">
            <w:pPr>
              <w:adjustRightInd w:val="0"/>
              <w:snapToGrid w:val="0"/>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拟规定国家综合交通运输信息平台电子图在线服务及接口的格式、内容、响应时间、服务类型等内容</w:t>
            </w:r>
            <w:r>
              <w:rPr>
                <w:rFonts w:hint="eastAsia" w:ascii="Times New Roman" w:hAnsi="Times New Roman" w:eastAsia="宋体" w:cs="Times New Roman"/>
                <w:b w:val="0"/>
                <w:bCs/>
                <w:color w:val="auto"/>
                <w:sz w:val="21"/>
                <w:szCs w:val="21"/>
                <w:lang w:val="en-US" w:eastAsia="zh-CN"/>
              </w:rPr>
              <w:t>。</w:t>
            </w:r>
          </w:p>
          <w:p w14:paraId="153F11A2">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适用于国家综合交通运输信息平台电子图的管理、发布及调用。</w:t>
            </w:r>
          </w:p>
        </w:tc>
        <w:tc>
          <w:tcPr>
            <w:tcW w:w="267" w:type="pct"/>
            <w:vAlign w:val="center"/>
          </w:tcPr>
          <w:p w14:paraId="2680DFFB">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021DD8C3">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58B3ACEB">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43E381F1">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信息通导标委会</w:t>
            </w:r>
          </w:p>
        </w:tc>
        <w:tc>
          <w:tcPr>
            <w:tcW w:w="1017" w:type="pct"/>
            <w:vAlign w:val="center"/>
          </w:tcPr>
          <w:p w14:paraId="2FA54B60">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交通运输部科学研究院</w:t>
            </w:r>
            <w:r>
              <w:rPr>
                <w:rFonts w:hint="eastAsia" w:ascii="Times New Roman" w:hAnsi="Times New Roman" w:eastAsia="宋体" w:cs="Times New Roman"/>
                <w:b w:val="0"/>
                <w:bCs/>
                <w:color w:val="auto"/>
                <w:szCs w:val="21"/>
                <w:lang w:eastAsia="zh-CN"/>
              </w:rPr>
              <w:t>、中国交通通信信息中心</w:t>
            </w:r>
          </w:p>
        </w:tc>
      </w:tr>
      <w:tr w14:paraId="509A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870" w:hRule="atLeast"/>
        </w:trPr>
        <w:tc>
          <w:tcPr>
            <w:tcW w:w="265" w:type="pct"/>
            <w:vAlign w:val="center"/>
          </w:tcPr>
          <w:p w14:paraId="4E9A0C4F">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40BF6234">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2026-13</w:t>
            </w:r>
          </w:p>
        </w:tc>
        <w:tc>
          <w:tcPr>
            <w:tcW w:w="469" w:type="pct"/>
            <w:vAlign w:val="center"/>
          </w:tcPr>
          <w:p w14:paraId="1F46E74B">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综合交通运输主数据技术规范</w:t>
            </w:r>
          </w:p>
        </w:tc>
        <w:tc>
          <w:tcPr>
            <w:tcW w:w="1309" w:type="pct"/>
            <w:vAlign w:val="center"/>
          </w:tcPr>
          <w:p w14:paraId="6C4F5FA9">
            <w:pPr>
              <w:adjustRightInd w:val="0"/>
              <w:snapToGrid w:val="0"/>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拟规定综合交通运输主数据的准入原则、分类原则、分类框架、编码规则和数据目录</w:t>
            </w:r>
            <w:r>
              <w:rPr>
                <w:rFonts w:hint="eastAsia" w:ascii="Times New Roman" w:hAnsi="Times New Roman" w:eastAsia="宋体" w:cs="Times New Roman"/>
                <w:b w:val="0"/>
                <w:bCs/>
                <w:color w:val="auto"/>
                <w:sz w:val="21"/>
                <w:szCs w:val="21"/>
                <w:lang w:val="en-US" w:eastAsia="zh-CN"/>
              </w:rPr>
              <w:t>。</w:t>
            </w:r>
          </w:p>
          <w:p w14:paraId="5679DC80">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适用于部省两级国家综合交通运输信息平台数据资源体系建设和数据资源共享交换，以及交通运输政务数据主管部门规范数据采集和开展数据源头治理工作。</w:t>
            </w:r>
          </w:p>
        </w:tc>
        <w:tc>
          <w:tcPr>
            <w:tcW w:w="267" w:type="pct"/>
            <w:vAlign w:val="center"/>
          </w:tcPr>
          <w:p w14:paraId="6D156F01">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441D4418">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2A3E61C6">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5586064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信息通导标委会</w:t>
            </w:r>
          </w:p>
        </w:tc>
        <w:tc>
          <w:tcPr>
            <w:tcW w:w="1017" w:type="pct"/>
            <w:vAlign w:val="center"/>
          </w:tcPr>
          <w:p w14:paraId="0A7377E9">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交通运输部科学研究院、北京市首都公路发展集团有限公司、中国交通通信信息中心、交通运输部公路科学研究所</w:t>
            </w:r>
          </w:p>
        </w:tc>
      </w:tr>
      <w:tr w14:paraId="20F9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870" w:hRule="atLeast"/>
        </w:trPr>
        <w:tc>
          <w:tcPr>
            <w:tcW w:w="265" w:type="pct"/>
            <w:vAlign w:val="center"/>
          </w:tcPr>
          <w:p w14:paraId="1B320FF6">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2B024F68">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2026-14</w:t>
            </w:r>
          </w:p>
        </w:tc>
        <w:tc>
          <w:tcPr>
            <w:tcW w:w="469" w:type="pct"/>
            <w:vAlign w:val="center"/>
          </w:tcPr>
          <w:p w14:paraId="1BB99208">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交通运输行业信息系统密码应用指南</w:t>
            </w:r>
          </w:p>
        </w:tc>
        <w:tc>
          <w:tcPr>
            <w:tcW w:w="1309" w:type="pct"/>
            <w:vAlign w:val="center"/>
          </w:tcPr>
          <w:p w14:paraId="2C87BE48">
            <w:pPr>
              <w:adjustRightInd w:val="0"/>
              <w:snapToGrid w:val="0"/>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拟确立交通运输行业信息系统密码应用的总则，提供规划阶段、建设阶段、运行阶段、终止阶段的指导和建议</w:t>
            </w:r>
            <w:r>
              <w:rPr>
                <w:rFonts w:hint="eastAsia" w:ascii="Times New Roman" w:hAnsi="Times New Roman" w:eastAsia="宋体" w:cs="Times New Roman"/>
                <w:b w:val="0"/>
                <w:bCs/>
                <w:color w:val="auto"/>
                <w:sz w:val="21"/>
                <w:szCs w:val="21"/>
                <w:lang w:val="en-US" w:eastAsia="zh-CN"/>
              </w:rPr>
              <w:t>。</w:t>
            </w:r>
          </w:p>
          <w:p w14:paraId="5DA9185A">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指导、规范交通运输行业网络安全等级保护三级及以上信息系统、关键信息基础设施的密码应用和密码应用安全性评估，交通运输信息系统责任单位、密码应用集成服务单位、密码应用安全性评估机构、密码产品和服务提供单位密码应用和密码应用</w:t>
            </w:r>
            <w:r>
              <w:rPr>
                <w:rFonts w:hint="eastAsia" w:ascii="Times New Roman" w:hAnsi="Times New Roman" w:eastAsia="宋体" w:cs="Times New Roman"/>
                <w:b w:val="0"/>
                <w:bCs/>
                <w:color w:val="auto"/>
                <w:sz w:val="21"/>
                <w:szCs w:val="21"/>
                <w:lang w:val="en-US" w:eastAsia="zh-CN"/>
              </w:rPr>
              <w:t>的</w:t>
            </w:r>
            <w:r>
              <w:rPr>
                <w:rFonts w:hint="default" w:ascii="Times New Roman" w:hAnsi="Times New Roman" w:eastAsia="宋体" w:cs="Times New Roman"/>
                <w:b w:val="0"/>
                <w:bCs/>
                <w:color w:val="auto"/>
                <w:sz w:val="21"/>
                <w:szCs w:val="21"/>
                <w:lang w:val="en-US" w:eastAsia="zh-CN"/>
              </w:rPr>
              <w:t>安全性评估参照使用。</w:t>
            </w:r>
          </w:p>
        </w:tc>
        <w:tc>
          <w:tcPr>
            <w:tcW w:w="267" w:type="pct"/>
            <w:vAlign w:val="center"/>
          </w:tcPr>
          <w:p w14:paraId="4125B7A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vAlign w:val="center"/>
          </w:tcPr>
          <w:p w14:paraId="1751D1E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vAlign w:val="center"/>
          </w:tcPr>
          <w:p w14:paraId="56C7F603">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vAlign w:val="center"/>
          </w:tcPr>
          <w:p w14:paraId="6B7C5698">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信息通导标委会</w:t>
            </w:r>
          </w:p>
        </w:tc>
        <w:tc>
          <w:tcPr>
            <w:tcW w:w="1017" w:type="pct"/>
            <w:vAlign w:val="center"/>
          </w:tcPr>
          <w:p w14:paraId="501A6863">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交通运输信息安全中心有限公司、中国交通通信信息中心、云南公路联网收费管理有限公司、北京中交国通智能交通系统技术有限公司、渔翁信息技术股份有限公司、北京海泰方圆科技股份有限公司</w:t>
            </w:r>
          </w:p>
        </w:tc>
      </w:tr>
      <w:tr w14:paraId="1711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7" w:hRule="atLeast"/>
        </w:trPr>
        <w:tc>
          <w:tcPr>
            <w:tcW w:w="265" w:type="pct"/>
            <w:vAlign w:val="center"/>
          </w:tcPr>
          <w:p w14:paraId="4577622C">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434B49C1">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2026-15</w:t>
            </w:r>
          </w:p>
        </w:tc>
        <w:tc>
          <w:tcPr>
            <w:tcW w:w="469" w:type="pct"/>
            <w:shd w:val="clear" w:color="auto" w:fill="auto"/>
            <w:vAlign w:val="center"/>
          </w:tcPr>
          <w:p w14:paraId="5B28F6D9">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国家综合交通运输信息平台视频资源共享管理规范</w:t>
            </w:r>
          </w:p>
        </w:tc>
        <w:tc>
          <w:tcPr>
            <w:tcW w:w="1309" w:type="pct"/>
            <w:shd w:val="clear" w:color="auto" w:fill="auto"/>
            <w:vAlign w:val="center"/>
          </w:tcPr>
          <w:p w14:paraId="7C29A519">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拟规定国家综合交通运输信息平台视频资源共享分级分类、视频资源接入流程管理、视频资源共享交换、视频资源共享安全的要求。</w:t>
            </w:r>
          </w:p>
          <w:p w14:paraId="75F774CA">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国家综合交通运输信息平台部视频服务系统与地方交通运输主管部门、铁路、公路、水路、民航、邮政等子平台以及其他行业主管部门开展视频共享相关系统对接，进行视频资源共享等行为，省级交通运输主管部门视频资源共享</w:t>
            </w:r>
            <w:r>
              <w:rPr>
                <w:rFonts w:hint="eastAsia" w:ascii="Times New Roman" w:hAnsi="Times New Roman" w:eastAsia="宋体" w:cs="Times New Roman"/>
                <w:b w:val="0"/>
                <w:bCs/>
                <w:color w:val="auto"/>
                <w:sz w:val="21"/>
                <w:szCs w:val="21"/>
                <w:lang w:val="en-US" w:eastAsia="zh-CN"/>
              </w:rPr>
              <w:t>参</w:t>
            </w:r>
            <w:r>
              <w:rPr>
                <w:rFonts w:hint="default" w:ascii="Times New Roman" w:hAnsi="Times New Roman" w:eastAsia="宋体" w:cs="Times New Roman"/>
                <w:b w:val="0"/>
                <w:bCs/>
                <w:color w:val="auto"/>
                <w:sz w:val="21"/>
                <w:szCs w:val="21"/>
                <w:lang w:val="en-US" w:eastAsia="zh-CN"/>
              </w:rPr>
              <w:t>照</w:t>
            </w:r>
            <w:r>
              <w:rPr>
                <w:rFonts w:hint="eastAsia" w:ascii="Times New Roman" w:hAnsi="Times New Roman" w:eastAsia="宋体" w:cs="Times New Roman"/>
                <w:b w:val="0"/>
                <w:bCs/>
                <w:color w:val="auto"/>
                <w:sz w:val="21"/>
                <w:szCs w:val="21"/>
                <w:lang w:val="en-US" w:eastAsia="zh-CN"/>
              </w:rPr>
              <w:t>使用</w:t>
            </w:r>
            <w:r>
              <w:rPr>
                <w:rFonts w:hint="default" w:ascii="Times New Roman" w:hAnsi="Times New Roman" w:eastAsia="宋体" w:cs="Times New Roman"/>
                <w:b w:val="0"/>
                <w:bCs/>
                <w:color w:val="auto"/>
                <w:sz w:val="21"/>
                <w:szCs w:val="21"/>
                <w:lang w:val="en-US" w:eastAsia="zh-CN"/>
              </w:rPr>
              <w:t>。</w:t>
            </w:r>
          </w:p>
        </w:tc>
        <w:tc>
          <w:tcPr>
            <w:tcW w:w="267" w:type="pct"/>
            <w:shd w:val="clear" w:color="auto" w:fill="auto"/>
            <w:vAlign w:val="center"/>
          </w:tcPr>
          <w:p w14:paraId="687AEC3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shd w:val="clear" w:color="auto" w:fill="auto"/>
            <w:vAlign w:val="center"/>
          </w:tcPr>
          <w:p w14:paraId="1410EC7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shd w:val="clear" w:color="auto" w:fill="auto"/>
            <w:vAlign w:val="center"/>
          </w:tcPr>
          <w:p w14:paraId="5E32E1BA">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shd w:val="clear" w:color="auto" w:fill="auto"/>
            <w:vAlign w:val="center"/>
          </w:tcPr>
          <w:p w14:paraId="4D728E8B">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信息通导标委会</w:t>
            </w:r>
          </w:p>
        </w:tc>
        <w:tc>
          <w:tcPr>
            <w:tcW w:w="1017" w:type="pct"/>
            <w:shd w:val="clear" w:color="auto" w:fill="auto"/>
            <w:vAlign w:val="center"/>
          </w:tcPr>
          <w:p w14:paraId="59CAED5D">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交通运输部水运科学研究所、杭州海康威视数字技术股份有限公司</w:t>
            </w:r>
          </w:p>
        </w:tc>
      </w:tr>
      <w:tr w14:paraId="67D1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97" w:hRule="atLeast"/>
        </w:trPr>
        <w:tc>
          <w:tcPr>
            <w:tcW w:w="265" w:type="pct"/>
            <w:vAlign w:val="center"/>
          </w:tcPr>
          <w:p w14:paraId="026D5E4E">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68DCCF89">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2026-16</w:t>
            </w:r>
          </w:p>
        </w:tc>
        <w:tc>
          <w:tcPr>
            <w:tcW w:w="469" w:type="pct"/>
            <w:shd w:val="clear" w:color="auto" w:fill="auto"/>
            <w:vAlign w:val="center"/>
          </w:tcPr>
          <w:p w14:paraId="02DA7389">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交通运输网络安全威胁情报共享技术要求</w:t>
            </w:r>
          </w:p>
        </w:tc>
        <w:tc>
          <w:tcPr>
            <w:tcW w:w="1309" w:type="pct"/>
            <w:shd w:val="clear" w:color="auto" w:fill="auto"/>
            <w:vAlign w:val="center"/>
          </w:tcPr>
          <w:p w14:paraId="28CAE136">
            <w:pPr>
              <w:adjustRightInd w:val="0"/>
              <w:snapToGrid w:val="0"/>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拟规定交通运输网络安全威胁情报信息的数据类型、数据格式、编码规则以及共享技术要求</w:t>
            </w:r>
            <w:r>
              <w:rPr>
                <w:rFonts w:hint="eastAsia" w:ascii="Times New Roman" w:hAnsi="Times New Roman" w:eastAsia="宋体" w:cs="Times New Roman"/>
                <w:b w:val="0"/>
                <w:bCs/>
                <w:color w:val="auto"/>
                <w:sz w:val="21"/>
                <w:szCs w:val="21"/>
                <w:lang w:val="en-US" w:eastAsia="zh-CN"/>
              </w:rPr>
              <w:t>。</w:t>
            </w:r>
          </w:p>
          <w:p w14:paraId="56367C79">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适用于交通运输网络安全威胁情报的共享，</w:t>
            </w:r>
            <w:r>
              <w:rPr>
                <w:rFonts w:hint="eastAsia" w:ascii="Times New Roman" w:hAnsi="Times New Roman" w:eastAsia="宋体" w:cs="Times New Roman"/>
                <w:b w:val="0"/>
                <w:bCs/>
                <w:color w:val="auto"/>
                <w:sz w:val="21"/>
                <w:szCs w:val="21"/>
                <w:lang w:val="en-US" w:eastAsia="zh-CN"/>
              </w:rPr>
              <w:t>以及</w:t>
            </w:r>
            <w:r>
              <w:rPr>
                <w:rFonts w:hint="default" w:ascii="Times New Roman" w:hAnsi="Times New Roman" w:eastAsia="宋体" w:cs="Times New Roman"/>
                <w:b w:val="0"/>
                <w:bCs/>
                <w:color w:val="auto"/>
                <w:sz w:val="21"/>
                <w:szCs w:val="21"/>
                <w:lang w:val="en-US" w:eastAsia="zh-CN"/>
              </w:rPr>
              <w:t>指导交通运输行业内威胁情报的生产和消费。</w:t>
            </w:r>
          </w:p>
        </w:tc>
        <w:tc>
          <w:tcPr>
            <w:tcW w:w="267" w:type="pct"/>
            <w:shd w:val="clear" w:color="auto" w:fill="auto"/>
            <w:vAlign w:val="center"/>
          </w:tcPr>
          <w:p w14:paraId="64EC2768">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shd w:val="clear" w:color="auto" w:fill="auto"/>
            <w:vAlign w:val="center"/>
          </w:tcPr>
          <w:p w14:paraId="2B9279EE">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shd w:val="clear" w:color="auto" w:fill="auto"/>
            <w:vAlign w:val="center"/>
          </w:tcPr>
          <w:p w14:paraId="0C38FD65">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shd w:val="clear" w:color="auto" w:fill="auto"/>
            <w:vAlign w:val="center"/>
          </w:tcPr>
          <w:p w14:paraId="4FC0E99C">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信息通导标委会</w:t>
            </w:r>
          </w:p>
        </w:tc>
        <w:tc>
          <w:tcPr>
            <w:tcW w:w="1017" w:type="pct"/>
            <w:shd w:val="clear" w:color="auto" w:fill="auto"/>
            <w:vAlign w:val="center"/>
          </w:tcPr>
          <w:p w14:paraId="7F34994A">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中国交通通信信息中心、交通运输信息安全中心有限公司、国家信息技术安全研究中心、北京神州绿盟科技有限公司、国家计算机网络与信息安全管理中心、中国电子技术标准化研究院、北京长亭科技有限公司</w:t>
            </w:r>
          </w:p>
        </w:tc>
      </w:tr>
      <w:tr w14:paraId="5D78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7" w:hRule="atLeast"/>
        </w:trPr>
        <w:tc>
          <w:tcPr>
            <w:tcW w:w="265" w:type="pct"/>
            <w:vAlign w:val="center"/>
          </w:tcPr>
          <w:p w14:paraId="262D9395">
            <w:pPr>
              <w:pStyle w:val="8"/>
              <w:numPr>
                <w:ilvl w:val="0"/>
                <w:numId w:val="1"/>
              </w:numPr>
              <w:adjustRightInd w:val="0"/>
              <w:snapToGrid w:val="0"/>
              <w:ind w:left="0" w:leftChars="0" w:firstLine="0" w:firstLineChars="0"/>
              <w:jc w:val="center"/>
              <w:rPr>
                <w:rFonts w:ascii="Times New Roman" w:hAnsi="Times New Roman" w:eastAsia="宋体" w:cs="Times New Roman"/>
                <w:b w:val="0"/>
                <w:bCs/>
                <w:color w:val="auto"/>
                <w:szCs w:val="21"/>
              </w:rPr>
            </w:pPr>
          </w:p>
        </w:tc>
        <w:tc>
          <w:tcPr>
            <w:tcW w:w="507" w:type="pct"/>
            <w:vAlign w:val="center"/>
          </w:tcPr>
          <w:p w14:paraId="32771250">
            <w:pPr>
              <w:adjustRightInd w:val="0"/>
              <w:snapToGrid w:val="0"/>
              <w:jc w:val="center"/>
              <w:rPr>
                <w:rFonts w:hint="eastAsia"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JT 2026-17</w:t>
            </w:r>
          </w:p>
        </w:tc>
        <w:tc>
          <w:tcPr>
            <w:tcW w:w="469" w:type="pct"/>
            <w:shd w:val="clear" w:color="auto" w:fill="auto"/>
            <w:vAlign w:val="center"/>
          </w:tcPr>
          <w:p w14:paraId="566FF3D9">
            <w:pPr>
              <w:adjustRightInd w:val="0"/>
              <w:snapToGrid w:val="0"/>
              <w:rPr>
                <w:rFonts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lang w:val="en-US" w:eastAsia="zh-CN"/>
              </w:rPr>
              <w:t>国家综合交通运输信息平台基础数据采集和使用要求</w:t>
            </w:r>
          </w:p>
        </w:tc>
        <w:tc>
          <w:tcPr>
            <w:tcW w:w="1309" w:type="pct"/>
            <w:shd w:val="clear" w:color="auto" w:fill="auto"/>
            <w:vAlign w:val="center"/>
          </w:tcPr>
          <w:p w14:paraId="7E052B5A">
            <w:pPr>
              <w:adjustRightInd w:val="0"/>
              <w:snapToGrid w:val="0"/>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拟规定国家综合交通运输信息平台基础数据采集与使用的通用要求、采集要求、使用要求和技术功能要求，同时可为其他信息平台或系统基础数据采集与使用提供参考。</w:t>
            </w:r>
          </w:p>
          <w:p w14:paraId="41BD4654">
            <w:pPr>
              <w:adjustRightInd w:val="0"/>
              <w:snapToGrid w:val="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适用于国家综合交通运输信息平台的公路水路领域政务数据，铁路、民航和邮政领域政务数据参照</w:t>
            </w:r>
            <w:r>
              <w:rPr>
                <w:rFonts w:hint="eastAsia" w:ascii="Times New Roman" w:hAnsi="Times New Roman" w:eastAsia="宋体" w:cs="Times New Roman"/>
                <w:b w:val="0"/>
                <w:bCs/>
                <w:color w:val="auto"/>
                <w:sz w:val="21"/>
                <w:szCs w:val="21"/>
                <w:lang w:val="en-US" w:eastAsia="zh-CN"/>
              </w:rPr>
              <w:t>使用</w:t>
            </w:r>
            <w:r>
              <w:rPr>
                <w:rFonts w:hint="default" w:ascii="Times New Roman" w:hAnsi="Times New Roman" w:eastAsia="宋体" w:cs="Times New Roman"/>
                <w:b w:val="0"/>
                <w:bCs/>
                <w:color w:val="auto"/>
                <w:sz w:val="21"/>
                <w:szCs w:val="21"/>
                <w:lang w:val="en-US" w:eastAsia="zh-CN"/>
              </w:rPr>
              <w:t>。</w:t>
            </w:r>
          </w:p>
        </w:tc>
        <w:tc>
          <w:tcPr>
            <w:tcW w:w="267" w:type="pct"/>
            <w:shd w:val="clear" w:color="auto" w:fill="auto"/>
            <w:vAlign w:val="center"/>
          </w:tcPr>
          <w:p w14:paraId="16C30836">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制定</w:t>
            </w:r>
          </w:p>
        </w:tc>
        <w:tc>
          <w:tcPr>
            <w:tcW w:w="478" w:type="pct"/>
            <w:shd w:val="clear" w:color="auto" w:fill="auto"/>
            <w:vAlign w:val="center"/>
          </w:tcPr>
          <w:p w14:paraId="2AC19CE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Cs w:val="21"/>
              </w:rPr>
            </w:pPr>
          </w:p>
        </w:tc>
        <w:tc>
          <w:tcPr>
            <w:tcW w:w="295" w:type="pct"/>
            <w:shd w:val="clear" w:color="auto" w:fill="auto"/>
            <w:vAlign w:val="center"/>
          </w:tcPr>
          <w:p w14:paraId="2DE627DF">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12</w:t>
            </w:r>
          </w:p>
        </w:tc>
        <w:tc>
          <w:tcPr>
            <w:tcW w:w="390" w:type="pct"/>
            <w:shd w:val="clear" w:color="auto" w:fill="auto"/>
            <w:vAlign w:val="center"/>
          </w:tcPr>
          <w:p w14:paraId="2ECB9929">
            <w:pPr>
              <w:keepNext w:val="0"/>
              <w:keepLines w:val="0"/>
              <w:suppressLineNumbers w:val="0"/>
              <w:spacing w:before="0" w:beforeAutospacing="0" w:after="0" w:afterAutospacing="0"/>
              <w:ind w:left="0" w:leftChars="0" w:right="0" w:rightChars="0"/>
              <w:jc w:val="center"/>
              <w:rPr>
                <w:rFonts w:ascii="Times New Roman" w:hAnsi="Times New Roman" w:eastAsia="宋体" w:cs="Times New Roman"/>
                <w:b w:val="0"/>
                <w:bCs/>
                <w:color w:val="auto"/>
                <w:sz w:val="21"/>
                <w:szCs w:val="21"/>
              </w:rPr>
            </w:pPr>
            <w:r>
              <w:rPr>
                <w:rFonts w:hint="eastAsia" w:ascii="Times New Roman" w:hAnsi="Times New Roman" w:eastAsia="宋体" w:cs="宋体"/>
                <w:b w:val="0"/>
                <w:bCs/>
                <w:color w:val="auto"/>
                <w:sz w:val="21"/>
                <w:szCs w:val="21"/>
                <w:lang w:val="en-US" w:eastAsia="zh-CN"/>
              </w:rPr>
              <w:t>信息通导标委会</w:t>
            </w:r>
          </w:p>
        </w:tc>
        <w:tc>
          <w:tcPr>
            <w:tcW w:w="1017" w:type="pct"/>
            <w:shd w:val="clear" w:color="auto" w:fill="auto"/>
            <w:vAlign w:val="center"/>
          </w:tcPr>
          <w:p w14:paraId="75A5B9F0">
            <w:pPr>
              <w:adjustRightInd w:val="0"/>
              <w:snapToGrid w:val="0"/>
              <w:rPr>
                <w:rFonts w:ascii="Times New Roman" w:hAnsi="Times New Roman" w:eastAsia="宋体" w:cs="Times New Roman"/>
                <w:b w:val="0"/>
                <w:bCs/>
                <w:color w:val="auto"/>
                <w:szCs w:val="21"/>
              </w:rPr>
            </w:pPr>
            <w:r>
              <w:rPr>
                <w:rFonts w:hint="eastAsia" w:ascii="Times New Roman" w:hAnsi="Times New Roman" w:eastAsia="宋体" w:cs="Times New Roman"/>
                <w:b w:val="0"/>
                <w:bCs/>
                <w:color w:val="auto"/>
                <w:szCs w:val="21"/>
                <w:lang w:val="en-US" w:eastAsia="zh-CN"/>
              </w:rPr>
              <w:t>交通运输部科学研究院</w:t>
            </w:r>
            <w:r>
              <w:rPr>
                <w:rFonts w:hint="eastAsia" w:ascii="Times New Roman" w:hAnsi="Times New Roman" w:eastAsia="宋体" w:cs="Times New Roman"/>
                <w:b w:val="0"/>
                <w:bCs/>
                <w:color w:val="auto"/>
                <w:szCs w:val="21"/>
                <w:lang w:eastAsia="zh-CN"/>
              </w:rPr>
              <w:t>、贵州黔通智联科技股份有限公司</w:t>
            </w:r>
          </w:p>
        </w:tc>
      </w:tr>
    </w:tbl>
    <w:p w14:paraId="29958617">
      <w:pPr>
        <w:pStyle w:val="2"/>
        <w:rPr>
          <w:b w:val="0"/>
          <w:bCs/>
        </w:rPr>
        <w:sectPr>
          <w:footerReference r:id="rId3" w:type="default"/>
          <w:pgSz w:w="16838" w:h="11906" w:orient="landscape"/>
          <w:pgMar w:top="1587" w:right="2098" w:bottom="1474" w:left="1984" w:header="851" w:footer="992" w:gutter="0"/>
          <w:cols w:space="425" w:num="1"/>
          <w:docGrid w:type="lines" w:linePitch="312" w:charSpace="0"/>
        </w:sectPr>
      </w:pPr>
    </w:p>
    <w:p w14:paraId="6FFC6005">
      <w:pPr>
        <w:spacing w:line="360" w:lineRule="auto"/>
        <w:rPr>
          <w:rFonts w:hint="eastAsia" w:ascii="Times New Roman" w:hAnsi="Times New Roman" w:eastAsia="黑体" w:cs="Times New Roman"/>
          <w:b w:val="0"/>
          <w:bCs/>
          <w:sz w:val="32"/>
          <w:szCs w:val="32"/>
          <w:lang w:eastAsia="zh-CN"/>
        </w:rPr>
      </w:pPr>
      <w:r>
        <w:rPr>
          <w:rFonts w:hint="eastAsia" w:ascii="Times New Roman" w:hAnsi="Times New Roman" w:eastAsia="黑体" w:cs="Times New Roman"/>
          <w:b w:val="0"/>
          <w:bCs/>
          <w:sz w:val="32"/>
          <w:szCs w:val="32"/>
        </w:rPr>
        <w:t>二、行业标准外文版</w:t>
      </w:r>
      <w:r>
        <w:rPr>
          <w:rFonts w:hint="eastAsia" w:ascii="Times New Roman" w:hAnsi="Times New Roman" w:eastAsia="黑体" w:cs="Times New Roman"/>
          <w:b w:val="0"/>
          <w:bCs/>
          <w:sz w:val="32"/>
          <w:szCs w:val="32"/>
          <w:lang w:eastAsia="zh-CN"/>
        </w:rPr>
        <w:t>（</w:t>
      </w:r>
      <w:r>
        <w:rPr>
          <w:rFonts w:hint="eastAsia" w:ascii="Times New Roman" w:hAnsi="Times New Roman" w:eastAsia="黑体" w:cs="Times New Roman"/>
          <w:b w:val="0"/>
          <w:bCs/>
          <w:sz w:val="32"/>
          <w:szCs w:val="32"/>
          <w:lang w:val="en-US" w:eastAsia="zh-CN"/>
        </w:rPr>
        <w:t>2项</w:t>
      </w:r>
      <w:r>
        <w:rPr>
          <w:rFonts w:hint="eastAsia" w:ascii="Times New Roman" w:hAnsi="Times New Roman" w:eastAsia="黑体" w:cs="Times New Roman"/>
          <w:b w:val="0"/>
          <w:bCs/>
          <w:sz w:val="32"/>
          <w:szCs w:val="32"/>
          <w:lang w:eastAsia="zh-CN"/>
        </w:rPr>
        <w:t>）</w:t>
      </w:r>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619"/>
        <w:gridCol w:w="1399"/>
        <w:gridCol w:w="4562"/>
        <w:gridCol w:w="1855"/>
        <w:gridCol w:w="690"/>
        <w:gridCol w:w="1078"/>
        <w:gridCol w:w="1185"/>
        <w:gridCol w:w="2676"/>
      </w:tblGrid>
      <w:tr w14:paraId="00D5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6" w:hRule="atLeast"/>
          <w:tblHeader/>
        </w:trPr>
        <w:tc>
          <w:tcPr>
            <w:tcW w:w="220" w:type="pct"/>
            <w:vAlign w:val="center"/>
          </w:tcPr>
          <w:p w14:paraId="2E055A9A">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序号</w:t>
            </w:r>
          </w:p>
        </w:tc>
        <w:tc>
          <w:tcPr>
            <w:tcW w:w="497" w:type="pct"/>
            <w:vAlign w:val="center"/>
          </w:tcPr>
          <w:p w14:paraId="1F50A160">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计划编号</w:t>
            </w:r>
          </w:p>
        </w:tc>
        <w:tc>
          <w:tcPr>
            <w:tcW w:w="1621" w:type="pct"/>
            <w:vAlign w:val="center"/>
          </w:tcPr>
          <w:p w14:paraId="791D4F1F">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标准名称</w:t>
            </w:r>
          </w:p>
        </w:tc>
        <w:tc>
          <w:tcPr>
            <w:tcW w:w="659" w:type="pct"/>
            <w:vAlign w:val="center"/>
          </w:tcPr>
          <w:p w14:paraId="4BEC75D6">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标准编号</w:t>
            </w:r>
          </w:p>
        </w:tc>
        <w:tc>
          <w:tcPr>
            <w:tcW w:w="245" w:type="pct"/>
            <w:vAlign w:val="center"/>
          </w:tcPr>
          <w:p w14:paraId="71BD317A">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语种</w:t>
            </w:r>
          </w:p>
        </w:tc>
        <w:tc>
          <w:tcPr>
            <w:tcW w:w="383" w:type="pct"/>
            <w:vAlign w:val="center"/>
          </w:tcPr>
          <w:p w14:paraId="617018F4">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完成周期(月)</w:t>
            </w:r>
          </w:p>
        </w:tc>
        <w:tc>
          <w:tcPr>
            <w:tcW w:w="421" w:type="pct"/>
            <w:vAlign w:val="center"/>
          </w:tcPr>
          <w:p w14:paraId="18EEB129">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技术归口单位</w:t>
            </w:r>
          </w:p>
        </w:tc>
        <w:tc>
          <w:tcPr>
            <w:tcW w:w="951" w:type="pct"/>
            <w:vAlign w:val="center"/>
          </w:tcPr>
          <w:p w14:paraId="11A57457">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翻译主要承担单位</w:t>
            </w:r>
          </w:p>
        </w:tc>
      </w:tr>
      <w:tr w14:paraId="1BEF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65" w:hRule="atLeast"/>
        </w:trPr>
        <w:tc>
          <w:tcPr>
            <w:tcW w:w="220" w:type="pct"/>
            <w:vAlign w:val="center"/>
          </w:tcPr>
          <w:p w14:paraId="23568860">
            <w:pPr>
              <w:pStyle w:val="8"/>
              <w:numPr>
                <w:ilvl w:val="0"/>
                <w:numId w:val="2"/>
              </w:numPr>
              <w:ind w:left="0" w:leftChars="0" w:firstLine="0" w:firstLineChars="0"/>
              <w:jc w:val="center"/>
              <w:rPr>
                <w:rFonts w:ascii="Times New Roman" w:hAnsi="Times New Roman" w:eastAsia="宋体" w:cs="Times New Roman"/>
                <w:b w:val="0"/>
                <w:bCs/>
                <w:szCs w:val="21"/>
              </w:rPr>
            </w:pPr>
          </w:p>
        </w:tc>
        <w:tc>
          <w:tcPr>
            <w:tcW w:w="497" w:type="pct"/>
            <w:vAlign w:val="center"/>
          </w:tcPr>
          <w:p w14:paraId="306CA99A">
            <w:pP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WJT 202</w:t>
            </w:r>
            <w:r>
              <w:rPr>
                <w:rFonts w:hint="eastAsia" w:ascii="Times New Roman" w:hAnsi="Times New Roman" w:eastAsia="宋体" w:cs="Times New Roman"/>
                <w:b w:val="0"/>
                <w:bCs/>
                <w:kern w:val="0"/>
                <w:szCs w:val="21"/>
                <w:lang w:val="en-US" w:eastAsia="zh-CN"/>
              </w:rPr>
              <w:t>6</w:t>
            </w:r>
            <w:r>
              <w:rPr>
                <w:rFonts w:hint="eastAsia" w:ascii="Times New Roman" w:hAnsi="Times New Roman" w:eastAsia="宋体" w:cs="Times New Roman"/>
                <w:b w:val="0"/>
                <w:bCs/>
                <w:kern w:val="0"/>
                <w:szCs w:val="21"/>
              </w:rPr>
              <w:t>-01</w:t>
            </w:r>
          </w:p>
        </w:tc>
        <w:tc>
          <w:tcPr>
            <w:tcW w:w="1621" w:type="pct"/>
            <w:vAlign w:val="center"/>
          </w:tcPr>
          <w:p w14:paraId="0C645C01">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lang w:val="en-US" w:eastAsia="zh-CN"/>
              </w:rPr>
              <w:t>公路声屏障 第1部分：总体技术要求</w:t>
            </w:r>
          </w:p>
        </w:tc>
        <w:tc>
          <w:tcPr>
            <w:tcW w:w="659" w:type="pct"/>
            <w:vAlign w:val="center"/>
          </w:tcPr>
          <w:p w14:paraId="39048C84">
            <w:pPr>
              <w:jc w:val="center"/>
              <w:rPr>
                <w:rFonts w:hint="eastAsia" w:ascii="Times New Roman" w:hAnsi="Times New Roman" w:eastAsia="宋体" w:cs="Times New Roman"/>
                <w:b w:val="0"/>
                <w:bCs/>
                <w:kern w:val="0"/>
                <w:szCs w:val="21"/>
              </w:rPr>
            </w:pPr>
            <w:r>
              <w:rPr>
                <w:rFonts w:hint="default" w:ascii="Times New Roman" w:hAnsi="Times New Roman" w:eastAsia="宋体" w:cs="Times New Roman"/>
                <w:b w:val="0"/>
                <w:bCs/>
                <w:kern w:val="0"/>
                <w:szCs w:val="21"/>
              </w:rPr>
              <w:t>JT/T 646.1</w:t>
            </w:r>
            <w:r>
              <w:rPr>
                <w:rFonts w:hint="eastAsia" w:ascii="Times New Roman" w:hAnsi="Times New Roman" w:eastAsia="宋体" w:cs="Times New Roman"/>
                <w:b w:val="0"/>
                <w:bCs/>
                <w:szCs w:val="21"/>
              </w:rPr>
              <w:t>—</w:t>
            </w:r>
            <w:r>
              <w:rPr>
                <w:rFonts w:hint="default" w:ascii="Times New Roman" w:hAnsi="Times New Roman" w:eastAsia="宋体" w:cs="Times New Roman"/>
                <w:b w:val="0"/>
                <w:bCs/>
                <w:kern w:val="0"/>
                <w:szCs w:val="21"/>
              </w:rPr>
              <w:t>2025</w:t>
            </w:r>
          </w:p>
        </w:tc>
        <w:tc>
          <w:tcPr>
            <w:tcW w:w="245" w:type="pct"/>
            <w:vAlign w:val="center"/>
          </w:tcPr>
          <w:p w14:paraId="68A2821E">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英文</w:t>
            </w:r>
          </w:p>
        </w:tc>
        <w:tc>
          <w:tcPr>
            <w:tcW w:w="383" w:type="pct"/>
            <w:vAlign w:val="center"/>
          </w:tcPr>
          <w:p w14:paraId="545FB38A">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12</w:t>
            </w:r>
          </w:p>
        </w:tc>
        <w:tc>
          <w:tcPr>
            <w:tcW w:w="421" w:type="pct"/>
            <w:vAlign w:val="center"/>
          </w:tcPr>
          <w:p w14:paraId="2B5C0873">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环保标委会</w:t>
            </w:r>
          </w:p>
        </w:tc>
        <w:tc>
          <w:tcPr>
            <w:tcW w:w="951" w:type="pct"/>
            <w:vAlign w:val="center"/>
          </w:tcPr>
          <w:p w14:paraId="2E02F3BB">
            <w:pPr>
              <w:rPr>
                <w:rFonts w:hint="eastAsia" w:ascii="Times New Roman" w:hAnsi="Times New Roman" w:eastAsia="宋体" w:cs="Times New Roman"/>
                <w:b w:val="0"/>
                <w:bCs/>
                <w:kern w:val="0"/>
                <w:szCs w:val="21"/>
              </w:rPr>
            </w:pPr>
            <w:r>
              <w:rPr>
                <w:rFonts w:hint="default" w:ascii="Times New Roman" w:hAnsi="Times New Roman" w:eastAsia="宋体" w:cs="Times New Roman"/>
                <w:b w:val="0"/>
                <w:bCs/>
                <w:kern w:val="0"/>
                <w:szCs w:val="21"/>
                <w:lang w:val="en-US" w:eastAsia="zh-CN"/>
              </w:rPr>
              <w:t>交通运输部公路科学研究所</w:t>
            </w:r>
          </w:p>
        </w:tc>
      </w:tr>
      <w:tr w14:paraId="72DE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6" w:hRule="atLeast"/>
        </w:trPr>
        <w:tc>
          <w:tcPr>
            <w:tcW w:w="220" w:type="pct"/>
            <w:vAlign w:val="center"/>
          </w:tcPr>
          <w:p w14:paraId="67FBDB7D">
            <w:pPr>
              <w:pStyle w:val="8"/>
              <w:numPr>
                <w:ilvl w:val="0"/>
                <w:numId w:val="2"/>
              </w:numPr>
              <w:ind w:left="0" w:leftChars="0" w:firstLine="0" w:firstLineChars="0"/>
              <w:jc w:val="center"/>
              <w:rPr>
                <w:rFonts w:ascii="Times New Roman" w:hAnsi="Times New Roman" w:eastAsia="宋体" w:cs="Times New Roman"/>
                <w:b w:val="0"/>
                <w:bCs/>
                <w:szCs w:val="21"/>
              </w:rPr>
            </w:pPr>
          </w:p>
        </w:tc>
        <w:tc>
          <w:tcPr>
            <w:tcW w:w="497" w:type="pct"/>
            <w:vAlign w:val="center"/>
          </w:tcPr>
          <w:p w14:paraId="7E3A4589">
            <w:pP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WJT 202</w:t>
            </w:r>
            <w:r>
              <w:rPr>
                <w:rFonts w:hint="eastAsia" w:ascii="Times New Roman" w:hAnsi="Times New Roman" w:eastAsia="宋体" w:cs="Times New Roman"/>
                <w:b w:val="0"/>
                <w:bCs/>
                <w:kern w:val="0"/>
                <w:szCs w:val="21"/>
                <w:lang w:val="en-US" w:eastAsia="zh-CN"/>
              </w:rPr>
              <w:t>6</w:t>
            </w:r>
            <w:r>
              <w:rPr>
                <w:rFonts w:hint="eastAsia" w:ascii="Times New Roman" w:hAnsi="Times New Roman" w:eastAsia="宋体" w:cs="Times New Roman"/>
                <w:b w:val="0"/>
                <w:bCs/>
                <w:kern w:val="0"/>
                <w:szCs w:val="21"/>
              </w:rPr>
              <w:t>-02</w:t>
            </w:r>
          </w:p>
        </w:tc>
        <w:tc>
          <w:tcPr>
            <w:tcW w:w="1621" w:type="pct"/>
            <w:vAlign w:val="center"/>
          </w:tcPr>
          <w:p w14:paraId="16027CA3">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lang w:val="en-US" w:eastAsia="zh-CN"/>
              </w:rPr>
              <w:t>公路声屏障 第2部分：材料技术要求及检测方法</w:t>
            </w:r>
          </w:p>
        </w:tc>
        <w:tc>
          <w:tcPr>
            <w:tcW w:w="659" w:type="pct"/>
            <w:vAlign w:val="center"/>
          </w:tcPr>
          <w:p w14:paraId="3FAFBB3E">
            <w:pPr>
              <w:jc w:val="center"/>
              <w:rPr>
                <w:rFonts w:hint="eastAsia" w:ascii="Times New Roman" w:hAnsi="Times New Roman" w:eastAsia="宋体" w:cs="Times New Roman"/>
                <w:b w:val="0"/>
                <w:bCs/>
                <w:kern w:val="0"/>
                <w:szCs w:val="21"/>
              </w:rPr>
            </w:pPr>
            <w:r>
              <w:rPr>
                <w:rFonts w:hint="default" w:ascii="Times New Roman" w:hAnsi="Times New Roman" w:eastAsia="宋体" w:cs="Times New Roman"/>
                <w:b w:val="0"/>
                <w:bCs/>
                <w:kern w:val="0"/>
                <w:szCs w:val="21"/>
              </w:rPr>
              <w:t>JT/T 646.</w:t>
            </w:r>
            <w:r>
              <w:rPr>
                <w:rFonts w:hint="eastAsia" w:ascii="Times New Roman" w:hAnsi="Times New Roman" w:eastAsia="宋体" w:cs="Times New Roman"/>
                <w:b w:val="0"/>
                <w:bCs/>
                <w:kern w:val="0"/>
                <w:szCs w:val="21"/>
                <w:lang w:val="en-US" w:eastAsia="zh-CN"/>
              </w:rPr>
              <w:t>2</w:t>
            </w:r>
            <w:r>
              <w:rPr>
                <w:rFonts w:hint="eastAsia" w:ascii="Times New Roman" w:hAnsi="Times New Roman" w:eastAsia="宋体" w:cs="Times New Roman"/>
                <w:b w:val="0"/>
                <w:bCs/>
                <w:szCs w:val="21"/>
              </w:rPr>
              <w:t>—</w:t>
            </w:r>
            <w:r>
              <w:rPr>
                <w:rFonts w:hint="default" w:ascii="Times New Roman" w:hAnsi="Times New Roman" w:eastAsia="宋体" w:cs="Times New Roman"/>
                <w:b w:val="0"/>
                <w:bCs/>
                <w:kern w:val="0"/>
                <w:szCs w:val="21"/>
              </w:rPr>
              <w:t>2025</w:t>
            </w:r>
          </w:p>
        </w:tc>
        <w:tc>
          <w:tcPr>
            <w:tcW w:w="245" w:type="pct"/>
            <w:vAlign w:val="center"/>
          </w:tcPr>
          <w:p w14:paraId="3D7E2A36">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英文</w:t>
            </w:r>
          </w:p>
        </w:tc>
        <w:tc>
          <w:tcPr>
            <w:tcW w:w="383" w:type="pct"/>
            <w:vAlign w:val="center"/>
          </w:tcPr>
          <w:p w14:paraId="4A9D6CAD">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12</w:t>
            </w:r>
          </w:p>
        </w:tc>
        <w:tc>
          <w:tcPr>
            <w:tcW w:w="421" w:type="pct"/>
            <w:vAlign w:val="center"/>
          </w:tcPr>
          <w:p w14:paraId="6757B060">
            <w:pPr>
              <w:jc w:val="center"/>
              <w:rPr>
                <w:rFonts w:hint="eastAsia" w:ascii="Times New Roman" w:hAnsi="Times New Roman" w:eastAsia="宋体" w:cs="Times New Roman"/>
                <w:b w:val="0"/>
                <w:bCs/>
                <w:kern w:val="0"/>
                <w:szCs w:val="21"/>
              </w:rPr>
            </w:pPr>
            <w:r>
              <w:rPr>
                <w:rFonts w:hint="eastAsia" w:ascii="Times New Roman" w:hAnsi="Times New Roman" w:eastAsia="宋体" w:cs="Times New Roman"/>
                <w:b w:val="0"/>
                <w:bCs/>
                <w:kern w:val="0"/>
                <w:szCs w:val="21"/>
              </w:rPr>
              <w:t>环保标委会</w:t>
            </w:r>
          </w:p>
        </w:tc>
        <w:tc>
          <w:tcPr>
            <w:tcW w:w="951" w:type="pct"/>
            <w:vAlign w:val="center"/>
          </w:tcPr>
          <w:p w14:paraId="7CDEEF3F">
            <w:pPr>
              <w:rPr>
                <w:rFonts w:hint="eastAsia" w:ascii="Times New Roman" w:hAnsi="Times New Roman" w:eastAsia="宋体" w:cs="Times New Roman"/>
                <w:b w:val="0"/>
                <w:bCs/>
                <w:kern w:val="0"/>
                <w:szCs w:val="21"/>
              </w:rPr>
            </w:pPr>
            <w:r>
              <w:rPr>
                <w:rFonts w:hint="default" w:ascii="Times New Roman" w:hAnsi="Times New Roman" w:eastAsia="宋体" w:cs="Times New Roman"/>
                <w:b w:val="0"/>
                <w:bCs/>
                <w:kern w:val="0"/>
                <w:szCs w:val="21"/>
                <w:lang w:val="en-US" w:eastAsia="zh-CN"/>
              </w:rPr>
              <w:t>交通运输部公路科学研究所</w:t>
            </w:r>
          </w:p>
        </w:tc>
      </w:tr>
    </w:tbl>
    <w:p w14:paraId="47C1C6CA">
      <w:pPr>
        <w:rPr>
          <w:rFonts w:ascii="Times New Roman" w:hAnsi="Times New Roman" w:eastAsia="仿宋_GB2312" w:cs="Times New Roman"/>
          <w:b w:val="0"/>
          <w:bCs/>
          <w:sz w:val="30"/>
          <w:szCs w:val="30"/>
        </w:rPr>
      </w:pPr>
    </w:p>
    <w:p w14:paraId="52FC009E">
      <w:pPr>
        <w:spacing w:line="360" w:lineRule="auto"/>
        <w:rPr>
          <w:rFonts w:ascii="Times New Roman" w:hAnsi="Times New Roman" w:eastAsia="黑体" w:cs="Times New Roman"/>
          <w:b w:val="0"/>
          <w:bCs/>
          <w:sz w:val="32"/>
          <w:szCs w:val="32"/>
        </w:rPr>
      </w:pPr>
      <w:r>
        <w:rPr>
          <w:rFonts w:hint="eastAsia" w:ascii="Times New Roman" w:hAnsi="Times New Roman" w:eastAsia="黑体" w:cs="Times New Roman"/>
          <w:b w:val="0"/>
          <w:bCs/>
          <w:sz w:val="32"/>
          <w:szCs w:val="32"/>
        </w:rPr>
        <w:t>三</w:t>
      </w:r>
      <w:r>
        <w:rPr>
          <w:rFonts w:ascii="Times New Roman" w:hAnsi="Times New Roman" w:eastAsia="黑体" w:cs="Times New Roman"/>
          <w:b w:val="0"/>
          <w:bCs/>
          <w:sz w:val="32"/>
          <w:szCs w:val="32"/>
        </w:rPr>
        <w:t>、</w:t>
      </w:r>
      <w:r>
        <w:rPr>
          <w:rFonts w:hint="eastAsia" w:ascii="Times New Roman" w:hAnsi="Times New Roman" w:eastAsia="黑体" w:cs="Times New Roman"/>
          <w:b w:val="0"/>
          <w:bCs/>
          <w:sz w:val="32"/>
          <w:szCs w:val="32"/>
        </w:rPr>
        <w:t>部门计量检定规程</w:t>
      </w:r>
      <w:r>
        <w:rPr>
          <w:rFonts w:hint="eastAsia" w:ascii="Times New Roman" w:hAnsi="Times New Roman" w:eastAsia="黑体" w:cs="Times New Roman"/>
          <w:b w:val="0"/>
          <w:bCs/>
          <w:sz w:val="32"/>
          <w:szCs w:val="32"/>
          <w:lang w:eastAsia="zh-CN"/>
        </w:rPr>
        <w:t>（</w:t>
      </w:r>
      <w:r>
        <w:rPr>
          <w:rFonts w:hint="eastAsia" w:ascii="Times New Roman" w:hAnsi="Times New Roman" w:eastAsia="黑体" w:cs="Times New Roman"/>
          <w:b w:val="0"/>
          <w:bCs/>
          <w:sz w:val="32"/>
          <w:szCs w:val="32"/>
          <w:lang w:val="en-US" w:eastAsia="zh-CN"/>
        </w:rPr>
        <w:t>1项</w:t>
      </w:r>
      <w:r>
        <w:rPr>
          <w:rFonts w:hint="eastAsia" w:ascii="Times New Roman" w:hAnsi="Times New Roman" w:eastAsia="黑体" w:cs="Times New Roman"/>
          <w:b w:val="0"/>
          <w:bCs/>
          <w:sz w:val="32"/>
          <w:szCs w:val="32"/>
          <w:lang w:eastAsia="zh-CN"/>
        </w:rPr>
        <w:t>）</w:t>
      </w:r>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611"/>
        <w:gridCol w:w="1438"/>
        <w:gridCol w:w="2063"/>
        <w:gridCol w:w="3754"/>
        <w:gridCol w:w="538"/>
        <w:gridCol w:w="892"/>
        <w:gridCol w:w="757"/>
        <w:gridCol w:w="920"/>
        <w:gridCol w:w="3091"/>
      </w:tblGrid>
      <w:tr w14:paraId="10C4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04" w:hRule="atLeast"/>
          <w:tblHeader/>
        </w:trPr>
        <w:tc>
          <w:tcPr>
            <w:tcW w:w="217" w:type="pct"/>
            <w:vAlign w:val="center"/>
          </w:tcPr>
          <w:p w14:paraId="0DA5F02A">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序号</w:t>
            </w:r>
          </w:p>
        </w:tc>
        <w:tc>
          <w:tcPr>
            <w:tcW w:w="511" w:type="pct"/>
            <w:vAlign w:val="center"/>
          </w:tcPr>
          <w:p w14:paraId="1A8D3DBA">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计划编号</w:t>
            </w:r>
          </w:p>
        </w:tc>
        <w:tc>
          <w:tcPr>
            <w:tcW w:w="733" w:type="pct"/>
            <w:vAlign w:val="center"/>
          </w:tcPr>
          <w:p w14:paraId="12CBE7B0">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项目名称</w:t>
            </w:r>
          </w:p>
        </w:tc>
        <w:tc>
          <w:tcPr>
            <w:tcW w:w="1334" w:type="pct"/>
            <w:vAlign w:val="center"/>
          </w:tcPr>
          <w:p w14:paraId="612359BD">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范围和主要技术内容</w:t>
            </w:r>
          </w:p>
        </w:tc>
        <w:tc>
          <w:tcPr>
            <w:tcW w:w="191" w:type="pct"/>
            <w:vAlign w:val="center"/>
          </w:tcPr>
          <w:p w14:paraId="3BDE0D72">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制修订</w:t>
            </w:r>
          </w:p>
        </w:tc>
        <w:tc>
          <w:tcPr>
            <w:tcW w:w="317" w:type="pct"/>
            <w:vAlign w:val="center"/>
          </w:tcPr>
          <w:p w14:paraId="0C445561">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代替</w:t>
            </w:r>
          </w:p>
          <w:p w14:paraId="75BFE78C">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规程</w:t>
            </w:r>
          </w:p>
        </w:tc>
        <w:tc>
          <w:tcPr>
            <w:tcW w:w="269" w:type="pct"/>
            <w:vAlign w:val="center"/>
          </w:tcPr>
          <w:p w14:paraId="732E32C7">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完成周期(月)</w:t>
            </w:r>
          </w:p>
        </w:tc>
        <w:tc>
          <w:tcPr>
            <w:tcW w:w="327" w:type="pct"/>
            <w:vAlign w:val="center"/>
          </w:tcPr>
          <w:p w14:paraId="0BD93D63">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技术归口单位</w:t>
            </w:r>
          </w:p>
        </w:tc>
        <w:tc>
          <w:tcPr>
            <w:tcW w:w="1098" w:type="pct"/>
            <w:vAlign w:val="center"/>
          </w:tcPr>
          <w:p w14:paraId="36AF676D">
            <w:pPr>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主要起草单位</w:t>
            </w:r>
          </w:p>
        </w:tc>
      </w:tr>
      <w:tr w14:paraId="7452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1198" w:hRule="atLeast"/>
        </w:trPr>
        <w:tc>
          <w:tcPr>
            <w:tcW w:w="217" w:type="pct"/>
            <w:vAlign w:val="center"/>
          </w:tcPr>
          <w:p w14:paraId="447B3249">
            <w:pPr>
              <w:jc w:val="center"/>
              <w:rPr>
                <w:rFonts w:ascii="Times New Roman" w:hAnsi="Times New Roman" w:eastAsia="宋体" w:cs="Times New Roman"/>
                <w:b w:val="0"/>
                <w:bCs/>
                <w:szCs w:val="21"/>
              </w:rPr>
            </w:pPr>
            <w:r>
              <w:rPr>
                <w:rFonts w:ascii="Times New Roman" w:hAnsi="Times New Roman" w:eastAsia="宋体" w:cs="Times New Roman"/>
                <w:b w:val="0"/>
                <w:bCs/>
                <w:szCs w:val="21"/>
              </w:rPr>
              <w:t>1</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0B0A3">
            <w:pPr>
              <w:ind w:left="42" w:leftChars="20"/>
              <w:rPr>
                <w:rFonts w:hint="eastAsia" w:ascii="Times New Roman" w:hAnsi="Times New Roman" w:eastAsia="宋体" w:cs="Times New Roman"/>
                <w:b w:val="0"/>
                <w:bCs/>
                <w:szCs w:val="21"/>
                <w:lang w:eastAsia="zh-CN"/>
              </w:rPr>
            </w:pPr>
            <w:r>
              <w:rPr>
                <w:rFonts w:hint="eastAsia" w:ascii="Times New Roman" w:hAnsi="Times New Roman" w:eastAsia="宋体" w:cs="Times New Roman"/>
                <w:b w:val="0"/>
                <w:bCs/>
                <w:szCs w:val="21"/>
              </w:rPr>
              <w:t>JJG 202</w:t>
            </w:r>
            <w:r>
              <w:rPr>
                <w:rFonts w:hint="eastAsia" w:ascii="Times New Roman" w:hAnsi="Times New Roman" w:eastAsia="宋体" w:cs="Times New Roman"/>
                <w:b w:val="0"/>
                <w:bCs/>
                <w:szCs w:val="21"/>
                <w:lang w:val="en-US" w:eastAsia="zh-CN"/>
              </w:rPr>
              <w:t>6</w:t>
            </w:r>
            <w:r>
              <w:rPr>
                <w:rFonts w:hint="eastAsia" w:ascii="Times New Roman" w:hAnsi="Times New Roman" w:eastAsia="宋体" w:cs="Times New Roman"/>
                <w:b w:val="0"/>
                <w:bCs/>
                <w:szCs w:val="21"/>
              </w:rPr>
              <w:t>-0</w:t>
            </w:r>
            <w:r>
              <w:rPr>
                <w:rFonts w:hint="eastAsia" w:ascii="Times New Roman" w:hAnsi="Times New Roman" w:eastAsia="宋体" w:cs="Times New Roman"/>
                <w:b w:val="0"/>
                <w:bCs/>
                <w:szCs w:val="21"/>
                <w:lang w:val="en-US" w:eastAsia="zh-CN"/>
              </w:rPr>
              <w:t>1</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8364">
            <w:pPr>
              <w:ind w:left="42" w:leftChars="20"/>
              <w:jc w:val="center"/>
              <w:rPr>
                <w:rFonts w:ascii="Times New Roman" w:hAnsi="Times New Roman" w:eastAsia="宋体" w:cs="Times New Roman"/>
                <w:b w:val="0"/>
                <w:bCs/>
                <w:szCs w:val="21"/>
              </w:rPr>
            </w:pPr>
            <w:r>
              <w:rPr>
                <w:rFonts w:hint="eastAsia" w:ascii="Times New Roman" w:hAnsi="Times New Roman" w:eastAsia="宋体" w:cs="Times New Roman"/>
                <w:b w:val="0"/>
                <w:bCs/>
                <w:szCs w:val="21"/>
                <w:lang w:val="en-US" w:eastAsia="zh-CN"/>
              </w:rPr>
              <w:t>水下无人扫测系统</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78D9">
            <w:pPr>
              <w:ind w:left="42" w:leftChars="20"/>
              <w:rPr>
                <w:rFonts w:hint="default" w:ascii="Times New Roman" w:hAnsi="Times New Roman" w:eastAsia="宋体" w:cs="Times New Roman"/>
                <w:b w:val="0"/>
                <w:bCs/>
                <w:szCs w:val="21"/>
                <w:lang w:val="en-US" w:eastAsia="zh-CN"/>
              </w:rPr>
            </w:pPr>
            <w:r>
              <w:rPr>
                <w:rFonts w:hint="default" w:ascii="Times New Roman" w:hAnsi="Times New Roman" w:eastAsia="宋体" w:cs="Times New Roman"/>
                <w:b w:val="0"/>
                <w:bCs/>
                <w:szCs w:val="21"/>
                <w:lang w:val="en-US" w:eastAsia="zh-CN"/>
              </w:rPr>
              <w:t>拟规定水下无人扫测系统的计量性能要求、通用技术要求、检定条件、检定项目和检定方法、检定结果处理及检定周期等内容。</w:t>
            </w:r>
          </w:p>
          <w:p w14:paraId="2EEFE7F8">
            <w:pPr>
              <w:ind w:left="42" w:leftChars="20"/>
              <w:rPr>
                <w:rFonts w:ascii="Times New Roman" w:hAnsi="Times New Roman" w:eastAsia="宋体" w:cs="Times New Roman"/>
                <w:b w:val="0"/>
                <w:bCs/>
                <w:szCs w:val="21"/>
              </w:rPr>
            </w:pPr>
            <w:r>
              <w:rPr>
                <w:rFonts w:hint="default" w:ascii="Times New Roman" w:hAnsi="Times New Roman" w:eastAsia="宋体" w:cs="Times New Roman"/>
                <w:b w:val="0"/>
                <w:bCs/>
                <w:szCs w:val="21"/>
                <w:lang w:val="en-US" w:eastAsia="zh-CN"/>
              </w:rPr>
              <w:t>适用于工作水深小于300 m的水下无人扫测系统的首次检定、后续检定和使用中检查。</w:t>
            </w:r>
          </w:p>
        </w:tc>
        <w:tc>
          <w:tcPr>
            <w:tcW w:w="191" w:type="pct"/>
            <w:vAlign w:val="center"/>
          </w:tcPr>
          <w:p w14:paraId="117120B4">
            <w:pPr>
              <w:jc w:val="center"/>
              <w:rPr>
                <w:rFonts w:ascii="Times New Roman" w:hAnsi="Times New Roman" w:eastAsia="宋体" w:cs="Times New Roman"/>
                <w:b w:val="0"/>
                <w:bCs/>
                <w:szCs w:val="21"/>
              </w:rPr>
            </w:pPr>
            <w:r>
              <w:rPr>
                <w:rFonts w:ascii="Times New Roman" w:hAnsi="Times New Roman" w:eastAsia="宋体" w:cs="Times New Roman"/>
                <w:b w:val="0"/>
                <w:bCs/>
                <w:szCs w:val="21"/>
              </w:rPr>
              <w:t>制定</w:t>
            </w:r>
          </w:p>
        </w:tc>
        <w:tc>
          <w:tcPr>
            <w:tcW w:w="317" w:type="pct"/>
            <w:vAlign w:val="center"/>
          </w:tcPr>
          <w:p w14:paraId="0A08B2EF">
            <w:pPr>
              <w:jc w:val="center"/>
              <w:rPr>
                <w:rFonts w:ascii="Times New Roman" w:hAnsi="Times New Roman" w:eastAsia="宋体" w:cs="Times New Roman"/>
                <w:b w:val="0"/>
                <w:bCs/>
                <w:szCs w:val="21"/>
              </w:rPr>
            </w:pPr>
          </w:p>
        </w:tc>
        <w:tc>
          <w:tcPr>
            <w:tcW w:w="269" w:type="pct"/>
            <w:vAlign w:val="center"/>
          </w:tcPr>
          <w:p w14:paraId="7C1CF1F8">
            <w:pPr>
              <w:jc w:val="center"/>
              <w:rPr>
                <w:rFonts w:ascii="Times New Roman" w:hAnsi="Times New Roman" w:eastAsia="宋体" w:cs="Times New Roman"/>
                <w:b w:val="0"/>
                <w:bCs/>
                <w:szCs w:val="21"/>
              </w:rPr>
            </w:pPr>
            <w:r>
              <w:rPr>
                <w:rFonts w:ascii="Times New Roman" w:hAnsi="Times New Roman" w:eastAsia="宋体" w:cs="Times New Roman"/>
                <w:b w:val="0"/>
                <w:bCs/>
                <w:szCs w:val="21"/>
              </w:rPr>
              <w:t>12</w:t>
            </w:r>
          </w:p>
        </w:tc>
        <w:tc>
          <w:tcPr>
            <w:tcW w:w="327" w:type="pct"/>
            <w:vAlign w:val="center"/>
          </w:tcPr>
          <w:p w14:paraId="226EB89D">
            <w:pPr>
              <w:ind w:left="42" w:leftChars="20"/>
              <w:jc w:val="center"/>
              <w:rPr>
                <w:rFonts w:ascii="Times New Roman" w:hAnsi="Times New Roman" w:eastAsia="宋体" w:cs="Times New Roman"/>
                <w:b w:val="0"/>
                <w:bCs/>
                <w:szCs w:val="21"/>
              </w:rPr>
            </w:pPr>
            <w:r>
              <w:rPr>
                <w:rFonts w:hint="eastAsia" w:ascii="Times New Roman" w:hAnsi="Times New Roman" w:eastAsia="宋体" w:cs="Times New Roman"/>
                <w:b w:val="0"/>
                <w:bCs/>
                <w:szCs w:val="21"/>
                <w:lang w:eastAsia="zh-CN"/>
              </w:rPr>
              <w:t>水运</w:t>
            </w:r>
            <w:r>
              <w:rPr>
                <w:rFonts w:ascii="Times New Roman" w:hAnsi="Times New Roman" w:eastAsia="宋体" w:cs="Times New Roman"/>
                <w:b w:val="0"/>
                <w:bCs/>
                <w:szCs w:val="21"/>
              </w:rPr>
              <w:t>计量委员会</w:t>
            </w:r>
          </w:p>
        </w:tc>
        <w:tc>
          <w:tcPr>
            <w:tcW w:w="10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CE950">
            <w:pPr>
              <w:ind w:left="42" w:leftChars="20"/>
              <w:rPr>
                <w:rFonts w:ascii="Times New Roman" w:hAnsi="Times New Roman" w:eastAsia="宋体" w:cs="Times New Roman"/>
                <w:b w:val="0"/>
                <w:bCs/>
                <w:szCs w:val="21"/>
              </w:rPr>
            </w:pPr>
            <w:r>
              <w:rPr>
                <w:rFonts w:hint="default" w:ascii="Times New Roman" w:hAnsi="Times New Roman" w:eastAsia="宋体" w:cs="Times New Roman"/>
                <w:b w:val="0"/>
                <w:bCs/>
                <w:color w:val="000000" w:themeColor="text1"/>
                <w:kern w:val="0"/>
                <w:sz w:val="22"/>
                <w:szCs w:val="22"/>
                <w:lang w:val="en-US" w:eastAsia="zh-CN" w:bidi="ar"/>
                <w14:textFill>
                  <w14:solidFill>
                    <w14:schemeClr w14:val="tx1"/>
                  </w14:solidFill>
                </w14:textFill>
              </w:rPr>
              <w:t>天津水运工程研究院有限公司、交通运输部天津水运工程科学研究所、无锡市海鹰加科海洋技术有限责任公司、上海建科检验检测认证有限公司、北京海卓同创科技有限公司</w:t>
            </w:r>
          </w:p>
        </w:tc>
      </w:tr>
    </w:tbl>
    <w:p w14:paraId="0A15CADD">
      <w:pPr>
        <w:rPr>
          <w:rFonts w:ascii="Times New Roman" w:hAnsi="Times New Roman" w:eastAsia="仿宋_GB2312" w:cs="Times New Roman"/>
          <w:b w:val="0"/>
          <w:bCs/>
          <w:sz w:val="30"/>
          <w:szCs w:val="30"/>
        </w:rPr>
      </w:pPr>
    </w:p>
    <w:p w14:paraId="79FF4E0F">
      <w:pPr>
        <w:rPr>
          <w:rFonts w:ascii="Times New Roman" w:hAnsi="Times New Roman" w:eastAsia="仿宋_GB2312" w:cs="Times New Roman"/>
          <w:b w:val="0"/>
          <w:bCs/>
          <w:sz w:val="30"/>
          <w:szCs w:val="30"/>
        </w:rPr>
        <w:sectPr>
          <w:pgSz w:w="16838" w:h="11906" w:orient="landscape"/>
          <w:pgMar w:top="1800" w:right="1440" w:bottom="1800" w:left="1440" w:header="851" w:footer="1417" w:gutter="0"/>
          <w:cols w:space="425" w:num="1"/>
          <w:docGrid w:type="lines" w:linePitch="312" w:charSpace="0"/>
        </w:sectPr>
      </w:pPr>
      <w:bookmarkStart w:id="0" w:name="_GoBack"/>
      <w:bookmarkEnd w:id="0"/>
    </w:p>
    <w:p w14:paraId="3E4E96C3">
      <w:pPr>
        <w:rPr>
          <w:rFonts w:hint="eastAsia" w:ascii="宋体" w:hAnsi="宋体" w:eastAsia="宋体" w:cs="宋体"/>
          <w:b w:val="0"/>
          <w:bCs/>
          <w:sz w:val="21"/>
          <w:szCs w:val="21"/>
        </w:rPr>
      </w:pPr>
      <w:r>
        <w:rPr>
          <w:rFonts w:hint="eastAsia" w:ascii="宋体" w:hAnsi="宋体" w:eastAsia="宋体" w:cs="宋体"/>
          <w:b w:val="0"/>
          <w:bCs/>
          <w:sz w:val="21"/>
          <w:szCs w:val="21"/>
        </w:rPr>
        <w:t>注：技术归口单位列仅列出了简称，其全称如下所示。</w:t>
      </w:r>
    </w:p>
    <w:tbl>
      <w:tblPr>
        <w:tblStyle w:val="5"/>
        <w:tblW w:w="51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596"/>
        <w:gridCol w:w="2467"/>
        <w:gridCol w:w="5620"/>
      </w:tblGrid>
      <w:tr w14:paraId="5588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vAlign w:val="center"/>
          </w:tcPr>
          <w:p w14:paraId="13C74C3A">
            <w:pPr>
              <w:autoSpaceDN w:val="0"/>
              <w:spacing w:line="400" w:lineRule="exact"/>
              <w:jc w:val="center"/>
              <w:textAlignment w:val="center"/>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序号</w:t>
            </w:r>
          </w:p>
        </w:tc>
        <w:tc>
          <w:tcPr>
            <w:tcW w:w="1420" w:type="pct"/>
            <w:vAlign w:val="center"/>
          </w:tcPr>
          <w:p w14:paraId="1AB2CC43">
            <w:pPr>
              <w:autoSpaceDN w:val="0"/>
              <w:spacing w:line="400" w:lineRule="exact"/>
              <w:jc w:val="center"/>
              <w:textAlignment w:val="center"/>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简  称</w:t>
            </w:r>
          </w:p>
        </w:tc>
        <w:tc>
          <w:tcPr>
            <w:tcW w:w="3235" w:type="pct"/>
            <w:vAlign w:val="center"/>
          </w:tcPr>
          <w:p w14:paraId="20F910A7">
            <w:pPr>
              <w:autoSpaceDN w:val="0"/>
              <w:spacing w:line="400" w:lineRule="exact"/>
              <w:jc w:val="center"/>
              <w:textAlignment w:val="center"/>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全  称</w:t>
            </w:r>
          </w:p>
        </w:tc>
      </w:tr>
      <w:tr w14:paraId="3884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2BF9463D">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1</w:t>
            </w:r>
          </w:p>
        </w:tc>
        <w:tc>
          <w:tcPr>
            <w:tcW w:w="1420" w:type="pct"/>
            <w:shd w:val="clear" w:color="auto" w:fill="auto"/>
            <w:vAlign w:val="center"/>
          </w:tcPr>
          <w:p w14:paraId="33F1C978">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内河船与水路运输标委会</w:t>
            </w:r>
          </w:p>
        </w:tc>
        <w:tc>
          <w:tcPr>
            <w:tcW w:w="3235" w:type="pct"/>
            <w:shd w:val="clear" w:color="auto" w:fill="auto"/>
            <w:vAlign w:val="center"/>
          </w:tcPr>
          <w:p w14:paraId="4C640A5D">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全国内河船与水路运输标准化技术委员会</w:t>
            </w:r>
          </w:p>
        </w:tc>
      </w:tr>
      <w:tr w14:paraId="6026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56E8AC16">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2</w:t>
            </w:r>
          </w:p>
        </w:tc>
        <w:tc>
          <w:tcPr>
            <w:tcW w:w="1420" w:type="pct"/>
            <w:shd w:val="clear" w:color="auto" w:fill="auto"/>
            <w:vAlign w:val="center"/>
          </w:tcPr>
          <w:p w14:paraId="4F9A0EE5">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道路运输标委会</w:t>
            </w:r>
          </w:p>
        </w:tc>
        <w:tc>
          <w:tcPr>
            <w:tcW w:w="3235" w:type="pct"/>
            <w:shd w:val="clear" w:color="auto" w:fill="auto"/>
            <w:vAlign w:val="center"/>
          </w:tcPr>
          <w:p w14:paraId="7170F070">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全国道路运输标准化技术委员会</w:t>
            </w:r>
          </w:p>
        </w:tc>
      </w:tr>
      <w:tr w14:paraId="2571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31E9CF62">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3</w:t>
            </w:r>
          </w:p>
        </w:tc>
        <w:tc>
          <w:tcPr>
            <w:tcW w:w="1420" w:type="pct"/>
            <w:shd w:val="clear" w:color="auto" w:fill="auto"/>
            <w:vAlign w:val="center"/>
          </w:tcPr>
          <w:p w14:paraId="7DAE4D26">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城市客运标委会</w:t>
            </w:r>
          </w:p>
        </w:tc>
        <w:tc>
          <w:tcPr>
            <w:tcW w:w="3235" w:type="pct"/>
            <w:shd w:val="clear" w:color="auto" w:fill="auto"/>
            <w:vAlign w:val="center"/>
          </w:tcPr>
          <w:p w14:paraId="54BFAF4B">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全国城市客运标准化技术委员会</w:t>
            </w:r>
          </w:p>
        </w:tc>
      </w:tr>
      <w:tr w14:paraId="5478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455C2C88">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4</w:t>
            </w:r>
          </w:p>
        </w:tc>
        <w:tc>
          <w:tcPr>
            <w:tcW w:w="1420" w:type="pct"/>
            <w:vAlign w:val="center"/>
          </w:tcPr>
          <w:p w14:paraId="0729EC5D">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lang w:eastAsia="zh-CN"/>
              </w:rPr>
              <w:t>港口</w:t>
            </w:r>
            <w:r>
              <w:rPr>
                <w:rFonts w:hint="eastAsia" w:ascii="Times New Roman" w:hAnsi="Times New Roman" w:eastAsia="宋体" w:cs="仿宋_GB2312"/>
                <w:b w:val="0"/>
                <w:bCs/>
                <w:color w:val="auto"/>
                <w:sz w:val="21"/>
                <w:szCs w:val="21"/>
              </w:rPr>
              <w:t>标委会</w:t>
            </w:r>
          </w:p>
        </w:tc>
        <w:tc>
          <w:tcPr>
            <w:tcW w:w="3235" w:type="pct"/>
            <w:vAlign w:val="center"/>
          </w:tcPr>
          <w:p w14:paraId="3B3BE632">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全国</w:t>
            </w:r>
            <w:r>
              <w:rPr>
                <w:rFonts w:hint="eastAsia" w:ascii="Times New Roman" w:hAnsi="Times New Roman" w:eastAsia="宋体" w:cs="仿宋_GB2312"/>
                <w:b w:val="0"/>
                <w:bCs/>
                <w:color w:val="auto"/>
                <w:sz w:val="21"/>
                <w:szCs w:val="21"/>
                <w:lang w:eastAsia="zh-CN"/>
              </w:rPr>
              <w:t>港口</w:t>
            </w:r>
            <w:r>
              <w:rPr>
                <w:rFonts w:hint="eastAsia" w:ascii="Times New Roman" w:hAnsi="Times New Roman" w:eastAsia="宋体" w:cs="仿宋_GB2312"/>
                <w:b w:val="0"/>
                <w:bCs/>
                <w:color w:val="auto"/>
                <w:sz w:val="21"/>
                <w:szCs w:val="21"/>
              </w:rPr>
              <w:t>标准化技术委员会</w:t>
            </w:r>
          </w:p>
        </w:tc>
      </w:tr>
      <w:tr w14:paraId="5275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2A165EFD">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5</w:t>
            </w:r>
          </w:p>
        </w:tc>
        <w:tc>
          <w:tcPr>
            <w:tcW w:w="1420" w:type="pct"/>
            <w:shd w:val="clear" w:color="auto" w:fill="auto"/>
            <w:vAlign w:val="center"/>
          </w:tcPr>
          <w:p w14:paraId="41C18036">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kern w:val="0"/>
                <w:sz w:val="21"/>
                <w:szCs w:val="21"/>
                <w:lang w:eastAsia="zh-CN"/>
              </w:rPr>
              <w:t>臂架</w:t>
            </w:r>
            <w:r>
              <w:rPr>
                <w:rFonts w:hint="eastAsia" w:ascii="Times New Roman" w:hAnsi="Times New Roman" w:eastAsia="宋体" w:cs="仿宋_GB2312"/>
                <w:b w:val="0"/>
                <w:bCs/>
                <w:color w:val="auto"/>
                <w:kern w:val="0"/>
                <w:sz w:val="21"/>
                <w:szCs w:val="21"/>
              </w:rPr>
              <w:t>分委会</w:t>
            </w:r>
          </w:p>
        </w:tc>
        <w:tc>
          <w:tcPr>
            <w:tcW w:w="3235" w:type="pct"/>
            <w:shd w:val="clear" w:color="auto" w:fill="auto"/>
            <w:vAlign w:val="center"/>
          </w:tcPr>
          <w:p w14:paraId="295D780C">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全国起重机械标准化技术委员会臂架起重机</w:t>
            </w:r>
            <w:r>
              <w:rPr>
                <w:rFonts w:hint="eastAsia" w:ascii="Times New Roman" w:hAnsi="Times New Roman" w:eastAsia="宋体" w:cs="仿宋_GB2312"/>
                <w:b w:val="0"/>
                <w:bCs/>
                <w:color w:val="auto"/>
                <w:sz w:val="21"/>
                <w:szCs w:val="21"/>
                <w:lang w:eastAsia="zh-CN"/>
              </w:rPr>
              <w:t>分</w:t>
            </w:r>
            <w:r>
              <w:rPr>
                <w:rFonts w:hint="eastAsia" w:ascii="Times New Roman" w:hAnsi="Times New Roman" w:eastAsia="宋体" w:cs="仿宋_GB2312"/>
                <w:b w:val="0"/>
                <w:bCs/>
                <w:color w:val="auto"/>
                <w:sz w:val="21"/>
                <w:szCs w:val="21"/>
              </w:rPr>
              <w:t>技术委员会</w:t>
            </w:r>
          </w:p>
        </w:tc>
      </w:tr>
      <w:tr w14:paraId="1FB4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1C908921">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6</w:t>
            </w:r>
          </w:p>
        </w:tc>
        <w:tc>
          <w:tcPr>
            <w:tcW w:w="1420" w:type="pct"/>
            <w:shd w:val="clear" w:color="auto" w:fill="auto"/>
            <w:vAlign w:val="center"/>
          </w:tcPr>
          <w:p w14:paraId="4E2E4D08">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航测标委会</w:t>
            </w:r>
          </w:p>
        </w:tc>
        <w:tc>
          <w:tcPr>
            <w:tcW w:w="3235" w:type="pct"/>
            <w:shd w:val="clear" w:color="auto" w:fill="auto"/>
            <w:vAlign w:val="center"/>
          </w:tcPr>
          <w:p w14:paraId="27C0B37F">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交通运输航测标准化技术委员会</w:t>
            </w:r>
          </w:p>
        </w:tc>
      </w:tr>
      <w:tr w14:paraId="3A8E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07ED895D">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7</w:t>
            </w:r>
          </w:p>
        </w:tc>
        <w:tc>
          <w:tcPr>
            <w:tcW w:w="1420" w:type="pct"/>
            <w:vAlign w:val="center"/>
          </w:tcPr>
          <w:p w14:paraId="6A8DE8EF">
            <w:pPr>
              <w:autoSpaceDN w:val="0"/>
              <w:spacing w:line="400" w:lineRule="exact"/>
              <w:ind w:firstLine="105" w:firstLineChars="50"/>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信息通导标委会</w:t>
            </w:r>
          </w:p>
        </w:tc>
        <w:tc>
          <w:tcPr>
            <w:tcW w:w="3235" w:type="pct"/>
            <w:vAlign w:val="center"/>
          </w:tcPr>
          <w:p w14:paraId="006BEB98">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交通运输信息通信及导航标准化技术委员会</w:t>
            </w:r>
          </w:p>
        </w:tc>
      </w:tr>
      <w:tr w14:paraId="38C9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8" w:hRule="atLeast"/>
        </w:trPr>
        <w:tc>
          <w:tcPr>
            <w:tcW w:w="343" w:type="pct"/>
            <w:shd w:val="clear" w:color="auto" w:fill="auto"/>
            <w:vAlign w:val="center"/>
          </w:tcPr>
          <w:p w14:paraId="4E47CDB2">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8</w:t>
            </w:r>
          </w:p>
        </w:tc>
        <w:tc>
          <w:tcPr>
            <w:tcW w:w="1420" w:type="pct"/>
            <w:shd w:val="clear" w:color="auto" w:fill="auto"/>
            <w:vAlign w:val="center"/>
          </w:tcPr>
          <w:p w14:paraId="38205027">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环保标委会</w:t>
            </w:r>
          </w:p>
        </w:tc>
        <w:tc>
          <w:tcPr>
            <w:tcW w:w="3235" w:type="pct"/>
            <w:shd w:val="clear" w:color="auto" w:fill="auto"/>
            <w:vAlign w:val="center"/>
          </w:tcPr>
          <w:p w14:paraId="584BEA58">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交通运输环境保护标准化技术委员会</w:t>
            </w:r>
          </w:p>
        </w:tc>
      </w:tr>
      <w:tr w14:paraId="3E1D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30" w:hRule="atLeast"/>
        </w:trPr>
        <w:tc>
          <w:tcPr>
            <w:tcW w:w="343" w:type="pct"/>
            <w:shd w:val="clear" w:color="auto" w:fill="auto"/>
            <w:vAlign w:val="center"/>
          </w:tcPr>
          <w:p w14:paraId="51B77366">
            <w:pPr>
              <w:autoSpaceDN w:val="0"/>
              <w:spacing w:line="400" w:lineRule="exact"/>
              <w:jc w:val="center"/>
              <w:textAlignment w:val="center"/>
              <w:rPr>
                <w:rFonts w:hint="eastAsia" w:ascii="Times New Roman" w:hAnsi="Times New Roman" w:eastAsia="宋体" w:cs="仿宋_GB2312"/>
                <w:b w:val="0"/>
                <w:bCs/>
                <w:color w:val="auto"/>
                <w:sz w:val="21"/>
                <w:szCs w:val="21"/>
              </w:rPr>
            </w:pPr>
            <w:r>
              <w:rPr>
                <w:rFonts w:hint="eastAsia" w:ascii="Times New Roman" w:hAnsi="Times New Roman" w:eastAsia="宋体" w:cs="仿宋_GB2312"/>
                <w:b w:val="0"/>
                <w:bCs/>
                <w:color w:val="auto"/>
                <w:sz w:val="21"/>
                <w:szCs w:val="21"/>
              </w:rPr>
              <w:t>9</w:t>
            </w:r>
          </w:p>
        </w:tc>
        <w:tc>
          <w:tcPr>
            <w:tcW w:w="1420" w:type="pct"/>
            <w:shd w:val="clear" w:color="auto" w:fill="auto"/>
            <w:vAlign w:val="center"/>
          </w:tcPr>
          <w:p w14:paraId="20004F9C">
            <w:pPr>
              <w:autoSpaceDN w:val="0"/>
              <w:spacing w:line="400" w:lineRule="exact"/>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水运计量委员会</w:t>
            </w:r>
          </w:p>
        </w:tc>
        <w:tc>
          <w:tcPr>
            <w:tcW w:w="3235" w:type="pct"/>
            <w:shd w:val="clear" w:color="auto" w:fill="auto"/>
            <w:vAlign w:val="center"/>
          </w:tcPr>
          <w:p w14:paraId="32E29093">
            <w:pPr>
              <w:keepNext w:val="0"/>
              <w:keepLines w:val="0"/>
              <w:pageBreakBefore w:val="0"/>
              <w:widowControl w:val="0"/>
              <w:kinsoku/>
              <w:wordWrap/>
              <w:overflowPunct/>
              <w:topLinePunct w:val="0"/>
              <w:autoSpaceDE/>
              <w:autoSpaceDN w:val="0"/>
              <w:bidi w:val="0"/>
              <w:adjustRightInd/>
              <w:snapToGrid/>
              <w:spacing w:line="400" w:lineRule="exact"/>
              <w:ind w:left="0" w:leftChars="0" w:firstLine="0" w:firstLineChars="0"/>
              <w:jc w:val="center"/>
              <w:textAlignment w:val="center"/>
              <w:rPr>
                <w:rFonts w:hint="eastAsia" w:ascii="Times New Roman" w:hAnsi="Times New Roman" w:eastAsia="宋体" w:cs="仿宋_GB2312"/>
                <w:b w:val="0"/>
                <w:bCs/>
                <w:color w:val="auto"/>
                <w:kern w:val="2"/>
                <w:sz w:val="21"/>
                <w:szCs w:val="21"/>
                <w:lang w:val="en-US" w:eastAsia="zh-CN" w:bidi="ar-SA"/>
              </w:rPr>
            </w:pPr>
            <w:r>
              <w:rPr>
                <w:rFonts w:hint="eastAsia" w:ascii="Times New Roman" w:hAnsi="Times New Roman" w:eastAsia="宋体" w:cs="仿宋_GB2312"/>
                <w:b w:val="0"/>
                <w:bCs/>
                <w:color w:val="auto"/>
                <w:sz w:val="21"/>
                <w:szCs w:val="21"/>
              </w:rPr>
              <w:t>全国水运专用计量器具计量技术委员会</w:t>
            </w:r>
          </w:p>
        </w:tc>
      </w:tr>
    </w:tbl>
    <w:p w14:paraId="680BB3DB">
      <w:pPr>
        <w:rPr>
          <w:b w:val="0"/>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723BA">
    <w:pPr>
      <w:pStyle w:val="9"/>
      <w:bidi w:val="0"/>
      <w:spacing w:beforeAutospacing="0" w:afterAutospacing="0" w:line="240" w:lineRule="auto"/>
      <w:ind w:left="0" w:leftChars="0" w:right="0" w:rightChars="0" w:firstLine="0" w:firstLineChars="0"/>
      <w:jc w:val="center"/>
    </w:pPr>
    <w:r>
      <w:rPr>
        <w:rFonts w:hint="eastAsia"/>
        <w:b w:val="0"/>
        <w:i w:val="0"/>
        <w:snapToGrid/>
        <w:sz w:val="28"/>
        <w:lang w:eastAsia="zh-CN"/>
      </w:rPr>
      <w:t xml:space="preserve">—  </w:t>
    </w:r>
    <w:r>
      <w:rPr>
        <w:rFonts w:hint="eastAsia"/>
        <w:b w:val="0"/>
        <w:i w:val="0"/>
        <w:snapToGrid/>
        <w:sz w:val="28"/>
        <w:lang w:eastAsia="zh-CN"/>
      </w:rPr>
      <w:fldChar w:fldCharType="begin"/>
    </w:r>
    <w:r>
      <w:rPr>
        <w:rFonts w:hint="eastAsia"/>
        <w:b w:val="0"/>
        <w:i w:val="0"/>
        <w:snapToGrid/>
        <w:sz w:val="28"/>
        <w:lang w:eastAsia="zh-CN"/>
      </w:rPr>
      <w:instrText xml:space="preserve"> PAGE  </w:instrText>
    </w:r>
    <w:r>
      <w:rPr>
        <w:rFonts w:hint="eastAsia"/>
        <w:b w:val="0"/>
        <w:i w:val="0"/>
        <w:snapToGrid/>
        <w:sz w:val="28"/>
        <w:lang w:eastAsia="zh-CN"/>
      </w:rPr>
      <w:fldChar w:fldCharType="separate"/>
    </w:r>
    <w:r>
      <w:rPr>
        <w:rFonts w:hint="eastAsia"/>
        <w:b w:val="0"/>
        <w:i w:val="0"/>
        <w:snapToGrid/>
        <w:sz w:val="28"/>
        <w:lang w:eastAsia="zh-CN"/>
      </w:rPr>
      <w:t>1</w:t>
    </w:r>
    <w:r>
      <w:rPr>
        <w:rFonts w:hint="eastAsia"/>
        <w:b w:val="0"/>
        <w:i w:val="0"/>
        <w:snapToGrid/>
        <w:sz w:val="28"/>
        <w:lang w:eastAsia="zh-CN"/>
      </w:rPr>
      <w:fldChar w:fldCharType="end"/>
    </w:r>
    <w:r>
      <w:rPr>
        <w:rFonts w:hint="eastAsia"/>
        <w:b w:val="0"/>
        <w:i w:val="0"/>
        <w:snapToGrid/>
        <w:sz w:val="28"/>
        <w:lang w:eastAsia="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552ED"/>
    <w:multiLevelType w:val="multilevel"/>
    <w:tmpl w:val="E75552ED"/>
    <w:lvl w:ilvl="0" w:tentative="0">
      <w:start w:val="1"/>
      <w:numFmt w:val="decimal"/>
      <w:suff w:val="nothing"/>
      <w:lvlText w:val="%1"/>
      <w:lvlJc w:val="left"/>
      <w:pPr>
        <w:ind w:left="0" w:leftChars="0" w:firstLine="0" w:firstLineChars="0"/>
      </w:pPr>
      <w:rPr>
        <w:rFonts w:hint="eastAsia" w:eastAsia="微软雅黑"/>
      </w:rPr>
    </w:lvl>
    <w:lvl w:ilvl="1" w:tentative="0">
      <w:start w:val="1"/>
      <w:numFmt w:val="lowerLetter"/>
      <w:lvlText w:val="%2)"/>
      <w:lvlJc w:val="left"/>
      <w:pPr>
        <w:ind w:left="1090" w:hanging="440"/>
      </w:pPr>
    </w:lvl>
    <w:lvl w:ilvl="2" w:tentative="0">
      <w:start w:val="1"/>
      <w:numFmt w:val="lowerRoman"/>
      <w:lvlText w:val="%3."/>
      <w:lvlJc w:val="right"/>
      <w:pPr>
        <w:ind w:left="1530" w:hanging="440"/>
      </w:pPr>
    </w:lvl>
    <w:lvl w:ilvl="3" w:tentative="0">
      <w:start w:val="1"/>
      <w:numFmt w:val="decimal"/>
      <w:lvlText w:val="%4."/>
      <w:lvlJc w:val="left"/>
      <w:pPr>
        <w:ind w:left="1970" w:hanging="440"/>
      </w:pPr>
    </w:lvl>
    <w:lvl w:ilvl="4" w:tentative="0">
      <w:start w:val="1"/>
      <w:numFmt w:val="lowerLetter"/>
      <w:lvlText w:val="%5)"/>
      <w:lvlJc w:val="left"/>
      <w:pPr>
        <w:ind w:left="2410" w:hanging="440"/>
      </w:pPr>
    </w:lvl>
    <w:lvl w:ilvl="5" w:tentative="0">
      <w:start w:val="1"/>
      <w:numFmt w:val="lowerRoman"/>
      <w:lvlText w:val="%6."/>
      <w:lvlJc w:val="right"/>
      <w:pPr>
        <w:ind w:left="2850" w:hanging="440"/>
      </w:pPr>
    </w:lvl>
    <w:lvl w:ilvl="6" w:tentative="0">
      <w:start w:val="1"/>
      <w:numFmt w:val="decimal"/>
      <w:lvlText w:val="%7."/>
      <w:lvlJc w:val="left"/>
      <w:pPr>
        <w:ind w:left="3290" w:hanging="440"/>
      </w:pPr>
    </w:lvl>
    <w:lvl w:ilvl="7" w:tentative="0">
      <w:start w:val="1"/>
      <w:numFmt w:val="lowerLetter"/>
      <w:lvlText w:val="%8)"/>
      <w:lvlJc w:val="left"/>
      <w:pPr>
        <w:ind w:left="3730" w:hanging="440"/>
      </w:pPr>
    </w:lvl>
    <w:lvl w:ilvl="8" w:tentative="0">
      <w:start w:val="1"/>
      <w:numFmt w:val="lowerRoman"/>
      <w:lvlText w:val="%9."/>
      <w:lvlJc w:val="right"/>
      <w:pPr>
        <w:ind w:left="4170" w:hanging="440"/>
      </w:pPr>
    </w:lvl>
  </w:abstractNum>
  <w:abstractNum w:abstractNumId="1">
    <w:nsid w:val="0CD2BF4C"/>
    <w:multiLevelType w:val="multilevel"/>
    <w:tmpl w:val="0CD2BF4C"/>
    <w:lvl w:ilvl="0" w:tentative="0">
      <w:start w:val="1"/>
      <w:numFmt w:val="decimal"/>
      <w:suff w:val="nothing"/>
      <w:lvlText w:val="%1"/>
      <w:lvlJc w:val="left"/>
      <w:pPr>
        <w:ind w:left="0" w:leftChars="0" w:firstLine="0" w:firstLineChars="0"/>
      </w:pPr>
      <w:rPr>
        <w:rFonts w:hint="eastAsia" w:eastAsia="微软雅黑"/>
      </w:rPr>
    </w:lvl>
    <w:lvl w:ilvl="1" w:tentative="0">
      <w:start w:val="1"/>
      <w:numFmt w:val="lowerLetter"/>
      <w:lvlText w:val="%2)"/>
      <w:lvlJc w:val="left"/>
      <w:pPr>
        <w:ind w:left="1090" w:hanging="440"/>
      </w:pPr>
    </w:lvl>
    <w:lvl w:ilvl="2" w:tentative="0">
      <w:start w:val="1"/>
      <w:numFmt w:val="lowerRoman"/>
      <w:lvlText w:val="%3."/>
      <w:lvlJc w:val="right"/>
      <w:pPr>
        <w:ind w:left="1530" w:hanging="440"/>
      </w:pPr>
    </w:lvl>
    <w:lvl w:ilvl="3" w:tentative="0">
      <w:start w:val="1"/>
      <w:numFmt w:val="decimal"/>
      <w:lvlText w:val="%4."/>
      <w:lvlJc w:val="left"/>
      <w:pPr>
        <w:ind w:left="1970" w:hanging="440"/>
      </w:pPr>
    </w:lvl>
    <w:lvl w:ilvl="4" w:tentative="0">
      <w:start w:val="1"/>
      <w:numFmt w:val="lowerLetter"/>
      <w:lvlText w:val="%5)"/>
      <w:lvlJc w:val="left"/>
      <w:pPr>
        <w:ind w:left="2410" w:hanging="440"/>
      </w:pPr>
    </w:lvl>
    <w:lvl w:ilvl="5" w:tentative="0">
      <w:start w:val="1"/>
      <w:numFmt w:val="lowerRoman"/>
      <w:lvlText w:val="%6."/>
      <w:lvlJc w:val="right"/>
      <w:pPr>
        <w:ind w:left="2850" w:hanging="440"/>
      </w:pPr>
    </w:lvl>
    <w:lvl w:ilvl="6" w:tentative="0">
      <w:start w:val="1"/>
      <w:numFmt w:val="decimal"/>
      <w:lvlText w:val="%7."/>
      <w:lvlJc w:val="left"/>
      <w:pPr>
        <w:ind w:left="3290" w:hanging="440"/>
      </w:pPr>
    </w:lvl>
    <w:lvl w:ilvl="7" w:tentative="0">
      <w:start w:val="1"/>
      <w:numFmt w:val="lowerLetter"/>
      <w:lvlText w:val="%8)"/>
      <w:lvlJc w:val="left"/>
      <w:pPr>
        <w:ind w:left="3730" w:hanging="440"/>
      </w:pPr>
    </w:lvl>
    <w:lvl w:ilvl="8" w:tentative="0">
      <w:start w:val="1"/>
      <w:numFmt w:val="lowerRoman"/>
      <w:lvlText w:val="%9."/>
      <w:lvlJc w:val="right"/>
      <w:pPr>
        <w:ind w:left="417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C07AC"/>
    <w:rsid w:val="001F5444"/>
    <w:rsid w:val="00962AB2"/>
    <w:rsid w:val="02192E10"/>
    <w:rsid w:val="12527A9D"/>
    <w:rsid w:val="1AAC07AC"/>
    <w:rsid w:val="1F8452B0"/>
    <w:rsid w:val="216C2D42"/>
    <w:rsid w:val="236A0004"/>
    <w:rsid w:val="255C2C60"/>
    <w:rsid w:val="268838D8"/>
    <w:rsid w:val="3038636F"/>
    <w:rsid w:val="335E433E"/>
    <w:rsid w:val="38303DCF"/>
    <w:rsid w:val="38702BA7"/>
    <w:rsid w:val="40F66EF6"/>
    <w:rsid w:val="44980CC0"/>
    <w:rsid w:val="4A67450D"/>
    <w:rsid w:val="53566988"/>
    <w:rsid w:val="60367925"/>
    <w:rsid w:val="63C47A82"/>
    <w:rsid w:val="65831A6C"/>
    <w:rsid w:val="6D140FEE"/>
    <w:rsid w:val="6DAA1953"/>
    <w:rsid w:val="77BF249E"/>
    <w:rsid w:val="7EA54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paragraph" w:customStyle="1" w:styleId="9">
    <w:name w:val="OfficialDoc.PageNumber"/>
    <w:basedOn w:val="1"/>
    <w:uiPriority w:val="98"/>
    <w:pPr>
      <w:ind w:firstLine="0"/>
      <w:jc w:val="center"/>
    </w:pPr>
    <w:rPr>
      <w:rFonts w:ascii="宋体" w:eastAsia="宋体"/>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3760</Words>
  <Characters>4018</Characters>
  <Lines>0</Lines>
  <Paragraphs>0</Paragraphs>
  <TotalTime>29</TotalTime>
  <ScaleCrop>false</ScaleCrop>
  <LinksUpToDate>false</LinksUpToDate>
  <CharactersWithSpaces>4065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2025-09-08T07:00:00Z</dcterms:created>
  <dc:creator>faye</dc:creator>
  <cp:lastModifiedBy>史</cp:lastModifiedBy>
  <dcterms:modified xsi:type="dcterms:W3CDTF">2026-08-10T07:39:24Z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0C8DC47D23F142A2A8E36041EDA2A4B8_13</vt:lpwstr>
  </property>
  <property fmtid="{D5CDD505-2E9C-101B-9397-08002B2CF9AE}" pid="4" name="KSOTemplateDocerSaveRecord">
    <vt:lpwstr>eyJoZGlkIjoiNWNiOTQzNDg4ZmI4YjY3M2U3YTgwYzNiZDA4N2RhOTIiLCJ1c2VySWQiOiIxNDM0MzQzNzg5In0=</vt:lpwstr>
  </property>
</Properties>
</file>