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F8D2F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both"/>
        <w:textAlignment w:val="auto"/>
        <w:rPr>
          <w:rFonts w:hint="eastAsia" w:ascii="方正黑体_GBK" w:hAnsi="方正黑体_GBK" w:eastAsia="方正黑体_GBK" w:cs="方正黑体_GBK"/>
          <w:b w:val="0"/>
          <w:bCs/>
          <w:color w:val="auto"/>
          <w:sz w:val="32"/>
          <w:szCs w:val="32"/>
          <w:lang w:val="en-US" w:eastAsia="zh-CN"/>
        </w:rPr>
      </w:pPr>
      <w:r>
        <w:rPr>
          <w:rFonts w:hint="eastAsia" w:ascii="方正黑体_GBK" w:hAnsi="方正黑体_GBK" w:eastAsia="方正黑体_GBK" w:cs="方正黑体_GBK"/>
          <w:b w:val="0"/>
          <w:bCs/>
          <w:color w:val="auto"/>
          <w:sz w:val="32"/>
          <w:szCs w:val="32"/>
          <w:lang w:eastAsia="zh-CN"/>
        </w:rPr>
        <w:t>附件</w:t>
      </w:r>
      <w:r>
        <w:rPr>
          <w:rFonts w:hint="eastAsia" w:ascii="方正黑体_GBK" w:hAnsi="方正黑体_GBK" w:eastAsia="方正黑体_GBK" w:cs="方正黑体_GBK"/>
          <w:b w:val="0"/>
          <w:bCs/>
          <w:color w:val="auto"/>
          <w:sz w:val="32"/>
          <w:szCs w:val="32"/>
          <w:lang w:val="en-US" w:eastAsia="zh-CN"/>
        </w:rPr>
        <w:t>2</w:t>
      </w:r>
      <w:bookmarkStart w:id="1" w:name="_GoBack"/>
      <w:bookmarkEnd w:id="1"/>
    </w:p>
    <w:p w14:paraId="0A8421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both"/>
        <w:textAlignment w:val="auto"/>
        <w:rPr>
          <w:rFonts w:hint="eastAsia" w:ascii="方正黑体_GBK" w:hAnsi="方正黑体_GBK" w:eastAsia="方正黑体_GBK" w:cs="方正黑体_GBK"/>
          <w:b w:val="0"/>
          <w:bCs/>
          <w:color w:val="auto"/>
          <w:sz w:val="32"/>
          <w:szCs w:val="32"/>
          <w:lang w:eastAsia="zh-CN"/>
        </w:rPr>
      </w:pPr>
    </w:p>
    <w:p w14:paraId="0CEA4C9A">
      <w:pPr>
        <w:pStyle w:val="16"/>
        <w:keepNext w:val="0"/>
        <w:keepLines w:val="0"/>
        <w:pageBreakBefore w:val="0"/>
        <w:widowControl w:val="0"/>
        <w:kinsoku/>
        <w:wordWrap/>
        <w:overflowPunct w:val="0"/>
        <w:topLinePunct w:val="0"/>
        <w:autoSpaceDE/>
        <w:autoSpaceDN/>
        <w:bidi w:val="0"/>
        <w:adjustRightInd w:val="0"/>
        <w:snapToGrid/>
        <w:spacing w:line="700" w:lineRule="exact"/>
        <w:ind w:left="42" w:leftChars="13" w:right="102" w:rightChars="32" w:firstLine="0" w:firstLineChars="0"/>
        <w:textAlignment w:val="baseline"/>
        <w:rPr>
          <w:rFonts w:hint="eastAsia" w:hAnsi="方正小标宋简体"/>
          <w:b w:val="0"/>
          <w:bCs/>
          <w:color w:val="auto"/>
          <w:sz w:val="44"/>
          <w:szCs w:val="44"/>
        </w:rPr>
      </w:pPr>
      <w:r>
        <w:rPr>
          <w:rFonts w:hint="eastAsia" w:hAnsi="方正小标宋简体"/>
          <w:b w:val="0"/>
          <w:bCs/>
          <w:color w:val="auto"/>
          <w:sz w:val="44"/>
          <w:szCs w:val="44"/>
        </w:rPr>
        <w:t>废止的</w:t>
      </w:r>
      <w:r>
        <w:rPr>
          <w:rFonts w:hint="eastAsia" w:hAnsi="方正小标宋简体"/>
          <w:b w:val="0"/>
          <w:bCs/>
          <w:color w:val="auto"/>
          <w:sz w:val="44"/>
          <w:szCs w:val="44"/>
          <w:lang w:eastAsia="zh-CN"/>
        </w:rPr>
        <w:t>行政</w:t>
      </w:r>
      <w:r>
        <w:rPr>
          <w:rFonts w:hint="eastAsia" w:hAnsi="方正小标宋简体"/>
          <w:b w:val="0"/>
          <w:bCs/>
          <w:color w:val="auto"/>
          <w:sz w:val="44"/>
          <w:szCs w:val="44"/>
        </w:rPr>
        <w:t>规范性文件目录</w:t>
      </w:r>
    </w:p>
    <w:p w14:paraId="3309A6E2">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0" w:firstLineChars="0"/>
        <w:jc w:val="both"/>
        <w:textAlignment w:val="auto"/>
        <w:rPr>
          <w:rFonts w:hint="eastAsia" w:ascii="方正黑体_GBK" w:hAnsi="方正黑体_GBK" w:eastAsia="方正黑体_GBK" w:cs="方正黑体_GBK"/>
          <w:b w:val="0"/>
          <w:bCs/>
          <w:color w:val="auto"/>
          <w:sz w:val="32"/>
          <w:szCs w:val="32"/>
          <w:lang w:eastAsia="zh-CN"/>
        </w:rPr>
      </w:pPr>
    </w:p>
    <w:tbl>
      <w:tblPr>
        <w:tblStyle w:val="10"/>
        <w:tblpPr w:leftFromText="180" w:rightFromText="180" w:vertAnchor="text" w:horzAnchor="page" w:tblpX="1055" w:tblpY="345"/>
        <w:tblOverlap w:val="never"/>
        <w:tblW w:w="99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4"/>
        <w:gridCol w:w="5992"/>
        <w:gridCol w:w="3128"/>
      </w:tblGrid>
      <w:tr w14:paraId="28C3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794" w:type="dxa"/>
            <w:noWrap w:val="0"/>
            <w:vAlign w:val="center"/>
          </w:tcPr>
          <w:p w14:paraId="6605B2A5">
            <w:pPr>
              <w:keepNext w:val="0"/>
              <w:keepLines w:val="0"/>
              <w:pageBreakBefore w:val="0"/>
              <w:widowControl w:val="0"/>
              <w:kinsoku/>
              <w:wordWrap/>
              <w:overflowPunct w:val="0"/>
              <w:topLinePunct w:val="0"/>
              <w:autoSpaceDE/>
              <w:autoSpaceDN/>
              <w:bidi w:val="0"/>
              <w:adjustRightInd/>
              <w:snapToGrid/>
              <w:spacing w:line="400" w:lineRule="exact"/>
              <w:ind w:left="42" w:leftChars="13" w:right="102" w:rightChars="32" w:firstLine="0" w:firstLineChars="0"/>
              <w:jc w:val="center"/>
              <w:textAlignment w:val="auto"/>
              <w:rPr>
                <w:rFonts w:hint="eastAsia" w:ascii="方正黑体_GBK" w:hAnsi="方正黑体_GBK" w:eastAsia="方正黑体_GBK" w:cs="方正黑体_GBK"/>
                <w:bCs/>
                <w:color w:val="auto"/>
                <w:sz w:val="30"/>
                <w:szCs w:val="30"/>
              </w:rPr>
            </w:pPr>
            <w:r>
              <w:rPr>
                <w:rFonts w:hint="eastAsia" w:ascii="方正黑体_GBK" w:hAnsi="方正黑体_GBK" w:eastAsia="方正黑体_GBK" w:cs="方正黑体_GBK"/>
                <w:bCs/>
                <w:color w:val="auto"/>
                <w:sz w:val="30"/>
                <w:szCs w:val="30"/>
              </w:rPr>
              <w:t>序号</w:t>
            </w:r>
          </w:p>
        </w:tc>
        <w:tc>
          <w:tcPr>
            <w:tcW w:w="5992" w:type="dxa"/>
            <w:noWrap w:val="0"/>
            <w:vAlign w:val="center"/>
          </w:tcPr>
          <w:p w14:paraId="45ECE345">
            <w:pPr>
              <w:overflowPunct/>
              <w:spacing w:line="240" w:lineRule="auto"/>
              <w:ind w:left="42" w:leftChars="13" w:right="102" w:rightChars="32" w:firstLine="0" w:firstLineChars="0"/>
              <w:jc w:val="center"/>
              <w:rPr>
                <w:rFonts w:hint="eastAsia" w:ascii="方正黑体_GBK" w:hAnsi="方正黑体_GBK" w:eastAsia="方正黑体_GBK" w:cs="方正黑体_GBK"/>
                <w:bCs/>
                <w:color w:val="auto"/>
                <w:sz w:val="30"/>
                <w:szCs w:val="30"/>
              </w:rPr>
            </w:pPr>
            <w:r>
              <w:rPr>
                <w:rFonts w:hint="eastAsia" w:ascii="方正黑体_GBK" w:hAnsi="方正黑体_GBK" w:eastAsia="方正黑体_GBK" w:cs="方正黑体_GBK"/>
                <w:bCs/>
                <w:color w:val="auto"/>
                <w:sz w:val="30"/>
                <w:szCs w:val="30"/>
              </w:rPr>
              <w:t>名  称</w:t>
            </w:r>
          </w:p>
        </w:tc>
        <w:tc>
          <w:tcPr>
            <w:tcW w:w="3128" w:type="dxa"/>
            <w:noWrap w:val="0"/>
            <w:vAlign w:val="center"/>
          </w:tcPr>
          <w:p w14:paraId="54BC6EE8">
            <w:pPr>
              <w:overflowPunct/>
              <w:spacing w:line="240" w:lineRule="auto"/>
              <w:ind w:left="42" w:leftChars="13" w:right="102" w:rightChars="32" w:firstLine="0" w:firstLineChars="0"/>
              <w:jc w:val="center"/>
              <w:rPr>
                <w:rFonts w:hint="eastAsia" w:ascii="方正黑体_GBK" w:hAnsi="方正黑体_GBK" w:eastAsia="方正黑体_GBK" w:cs="方正黑体_GBK"/>
                <w:bCs/>
                <w:color w:val="auto"/>
                <w:sz w:val="30"/>
                <w:szCs w:val="30"/>
              </w:rPr>
            </w:pPr>
            <w:r>
              <w:rPr>
                <w:rFonts w:hint="eastAsia" w:ascii="方正黑体_GBK" w:hAnsi="方正黑体_GBK" w:eastAsia="方正黑体_GBK" w:cs="方正黑体_GBK"/>
                <w:bCs/>
                <w:color w:val="auto"/>
                <w:sz w:val="30"/>
                <w:szCs w:val="30"/>
              </w:rPr>
              <w:t>发文日期和文号</w:t>
            </w:r>
          </w:p>
        </w:tc>
      </w:tr>
      <w:tr w14:paraId="18D1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9914" w:type="dxa"/>
            <w:gridSpan w:val="3"/>
            <w:noWrap w:val="0"/>
            <w:vAlign w:val="center"/>
          </w:tcPr>
          <w:p w14:paraId="61BBB052">
            <w:pPr>
              <w:overflowPunct/>
              <w:spacing w:line="240" w:lineRule="auto"/>
              <w:ind w:left="42" w:leftChars="13" w:right="102" w:rightChars="32" w:firstLine="0" w:firstLineChars="0"/>
              <w:jc w:val="center"/>
              <w:rPr>
                <w:rFonts w:hint="eastAsia" w:ascii="方正黑体_GBK" w:hAnsi="方正黑体_GBK" w:eastAsia="方正黑体_GBK" w:cs="方正黑体_GBK"/>
                <w:b/>
                <w:color w:val="auto"/>
                <w:sz w:val="24"/>
                <w:szCs w:val="24"/>
              </w:rPr>
            </w:pPr>
            <w:r>
              <w:rPr>
                <w:rFonts w:hint="eastAsia" w:ascii="方正黑体_GBK" w:hAnsi="方正黑体_GBK" w:eastAsia="方正黑体_GBK" w:cs="方正黑体_GBK"/>
                <w:b w:val="0"/>
                <w:bCs/>
                <w:color w:val="auto"/>
                <w:sz w:val="30"/>
                <w:szCs w:val="30"/>
                <w:lang w:eastAsia="zh-CN"/>
              </w:rPr>
              <w:t>社会组织</w:t>
            </w:r>
            <w:r>
              <w:rPr>
                <w:rFonts w:hint="eastAsia" w:ascii="方正黑体_GBK" w:hAnsi="方正黑体_GBK" w:eastAsia="方正黑体_GBK" w:cs="方正黑体_GBK"/>
                <w:b w:val="0"/>
                <w:bCs/>
                <w:color w:val="auto"/>
                <w:sz w:val="30"/>
                <w:szCs w:val="30"/>
              </w:rPr>
              <w:t>管理</w:t>
            </w:r>
          </w:p>
        </w:tc>
      </w:tr>
      <w:tr w14:paraId="10D2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tblHeader/>
        </w:trPr>
        <w:tc>
          <w:tcPr>
            <w:tcW w:w="794" w:type="dxa"/>
            <w:noWrap w:val="0"/>
            <w:vAlign w:val="center"/>
          </w:tcPr>
          <w:p w14:paraId="1CB2F3EC">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jc w:val="center"/>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1</w:t>
            </w:r>
          </w:p>
        </w:tc>
        <w:tc>
          <w:tcPr>
            <w:tcW w:w="5992" w:type="dxa"/>
            <w:noWrap w:val="0"/>
            <w:vAlign w:val="center"/>
          </w:tcPr>
          <w:p w14:paraId="0A582676">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color w:val="auto"/>
                <w:sz w:val="30"/>
                <w:szCs w:val="30"/>
              </w:rPr>
            </w:pPr>
            <w:r>
              <w:rPr>
                <w:rFonts w:hint="eastAsia" w:ascii="方正仿宋_GBK" w:hAnsi="方正仿宋_GBK" w:eastAsia="方正仿宋_GBK" w:cs="方正仿宋_GBK"/>
                <w:strike w:val="0"/>
                <w:dstrike w:val="0"/>
                <w:color w:val="auto"/>
                <w:sz w:val="30"/>
                <w:szCs w:val="30"/>
              </w:rPr>
              <w:t>民政部关于印发《民政部主管的社会团体管理暂行办法》的通知</w:t>
            </w:r>
          </w:p>
        </w:tc>
        <w:tc>
          <w:tcPr>
            <w:tcW w:w="3128" w:type="dxa"/>
            <w:noWrap w:val="0"/>
            <w:vAlign w:val="center"/>
          </w:tcPr>
          <w:p w14:paraId="01E7FB71">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dstrike w:val="0"/>
                <w:color w:val="auto"/>
                <w:sz w:val="30"/>
                <w:szCs w:val="30"/>
              </w:rPr>
            </w:pPr>
            <w:r>
              <w:rPr>
                <w:rFonts w:hint="eastAsia" w:ascii="方正仿宋_GBK" w:hAnsi="方正仿宋_GBK" w:eastAsia="方正仿宋_GBK" w:cs="方正仿宋_GBK"/>
                <w:strike w:val="0"/>
                <w:dstrike w:val="0"/>
                <w:color w:val="auto"/>
                <w:sz w:val="30"/>
                <w:szCs w:val="30"/>
              </w:rPr>
              <w:t>1998年6月12日</w:t>
            </w:r>
          </w:p>
          <w:p w14:paraId="6E5BF54F">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color w:val="auto"/>
                <w:sz w:val="30"/>
                <w:szCs w:val="30"/>
              </w:rPr>
            </w:pPr>
            <w:r>
              <w:rPr>
                <w:rFonts w:hint="eastAsia" w:ascii="方正仿宋_GBK" w:hAnsi="方正仿宋_GBK" w:eastAsia="方正仿宋_GBK" w:cs="方正仿宋_GBK"/>
                <w:strike w:val="0"/>
                <w:dstrike w:val="0"/>
                <w:color w:val="auto"/>
                <w:sz w:val="30"/>
                <w:szCs w:val="30"/>
              </w:rPr>
              <w:t>民社发〔1998〕6号</w:t>
            </w:r>
          </w:p>
        </w:tc>
      </w:tr>
      <w:tr w14:paraId="40FC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blHeader/>
        </w:trPr>
        <w:tc>
          <w:tcPr>
            <w:tcW w:w="794" w:type="dxa"/>
            <w:noWrap w:val="0"/>
            <w:vAlign w:val="center"/>
          </w:tcPr>
          <w:p w14:paraId="10C03040">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jc w:val="center"/>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2</w:t>
            </w:r>
          </w:p>
        </w:tc>
        <w:tc>
          <w:tcPr>
            <w:tcW w:w="5992" w:type="dxa"/>
            <w:noWrap w:val="0"/>
            <w:vAlign w:val="center"/>
          </w:tcPr>
          <w:p w14:paraId="17C9D82A">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color w:val="auto"/>
                <w:kern w:val="0"/>
                <w:sz w:val="30"/>
                <w:szCs w:val="30"/>
              </w:rPr>
            </w:pPr>
            <w:r>
              <w:rPr>
                <w:rFonts w:hint="eastAsia" w:ascii="方正仿宋_GBK" w:hAnsi="方正仿宋_GBK" w:eastAsia="方正仿宋_GBK" w:cs="方正仿宋_GBK"/>
                <w:strike w:val="0"/>
                <w:dstrike w:val="0"/>
                <w:color w:val="auto"/>
                <w:sz w:val="30"/>
                <w:szCs w:val="30"/>
              </w:rPr>
              <w:t>民政部关于印发《全国性行业协会商会负责人任职管理办法（试行）》的通知</w:t>
            </w:r>
          </w:p>
        </w:tc>
        <w:tc>
          <w:tcPr>
            <w:tcW w:w="3128" w:type="dxa"/>
            <w:noWrap w:val="0"/>
            <w:vAlign w:val="center"/>
          </w:tcPr>
          <w:p w14:paraId="1105E2A4">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dstrike w:val="0"/>
                <w:color w:val="auto"/>
                <w:sz w:val="30"/>
                <w:szCs w:val="30"/>
              </w:rPr>
            </w:pPr>
            <w:r>
              <w:rPr>
                <w:rFonts w:hint="eastAsia" w:ascii="方正仿宋_GBK" w:hAnsi="方正仿宋_GBK" w:eastAsia="方正仿宋_GBK" w:cs="方正仿宋_GBK"/>
                <w:strike w:val="0"/>
                <w:dstrike w:val="0"/>
                <w:color w:val="auto"/>
                <w:sz w:val="30"/>
                <w:szCs w:val="30"/>
                <w:lang w:val="en-US" w:eastAsia="zh-CN"/>
              </w:rPr>
              <w:t>2</w:t>
            </w:r>
            <w:r>
              <w:rPr>
                <w:rFonts w:hint="eastAsia" w:ascii="方正仿宋_GBK" w:hAnsi="方正仿宋_GBK" w:eastAsia="方正仿宋_GBK" w:cs="方正仿宋_GBK"/>
                <w:strike w:val="0"/>
                <w:dstrike w:val="0"/>
                <w:color w:val="auto"/>
                <w:sz w:val="30"/>
                <w:szCs w:val="30"/>
              </w:rPr>
              <w:t>015年9月7日</w:t>
            </w:r>
          </w:p>
          <w:p w14:paraId="27BE143F">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color w:val="auto"/>
                <w:sz w:val="30"/>
                <w:szCs w:val="30"/>
              </w:rPr>
            </w:pPr>
            <w:r>
              <w:rPr>
                <w:rFonts w:hint="eastAsia" w:ascii="方正仿宋_GBK" w:hAnsi="方正仿宋_GBK" w:eastAsia="方正仿宋_GBK" w:cs="方正仿宋_GBK"/>
                <w:strike w:val="0"/>
                <w:dstrike w:val="0"/>
                <w:color w:val="auto"/>
                <w:sz w:val="30"/>
                <w:szCs w:val="30"/>
              </w:rPr>
              <w:t>民发〔2015〕166号</w:t>
            </w:r>
          </w:p>
        </w:tc>
      </w:tr>
      <w:tr w14:paraId="0045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blHeader/>
        </w:trPr>
        <w:tc>
          <w:tcPr>
            <w:tcW w:w="794" w:type="dxa"/>
            <w:noWrap w:val="0"/>
            <w:vAlign w:val="center"/>
          </w:tcPr>
          <w:p w14:paraId="31AE2C0E">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jc w:val="center"/>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val="en-US" w:eastAsia="zh-CN"/>
              </w:rPr>
              <w:t>3</w:t>
            </w:r>
          </w:p>
        </w:tc>
        <w:tc>
          <w:tcPr>
            <w:tcW w:w="5992" w:type="dxa"/>
            <w:noWrap w:val="0"/>
            <w:vAlign w:val="center"/>
          </w:tcPr>
          <w:p w14:paraId="307FA987">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dstrike w:val="0"/>
                <w:color w:val="auto"/>
                <w:sz w:val="30"/>
                <w:szCs w:val="30"/>
              </w:rPr>
            </w:pPr>
            <w:r>
              <w:rPr>
                <w:rFonts w:hint="eastAsia" w:ascii="方正仿宋_GBK" w:hAnsi="方正仿宋_GBK" w:eastAsia="方正仿宋_GBK" w:cs="方正仿宋_GBK"/>
                <w:strike w:val="0"/>
                <w:dstrike w:val="0"/>
                <w:color w:val="auto"/>
                <w:sz w:val="30"/>
                <w:szCs w:val="30"/>
              </w:rPr>
              <w:t>民政部关于印发《全国性社会组织评估管理规定》的通知</w:t>
            </w:r>
          </w:p>
        </w:tc>
        <w:tc>
          <w:tcPr>
            <w:tcW w:w="3128" w:type="dxa"/>
            <w:noWrap w:val="0"/>
            <w:vAlign w:val="center"/>
          </w:tcPr>
          <w:p w14:paraId="4A3836C6">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dstrike w:val="0"/>
                <w:color w:val="auto"/>
                <w:sz w:val="30"/>
                <w:szCs w:val="30"/>
              </w:rPr>
            </w:pPr>
            <w:r>
              <w:rPr>
                <w:rFonts w:hint="eastAsia" w:ascii="方正仿宋_GBK" w:hAnsi="方正仿宋_GBK" w:eastAsia="方正仿宋_GBK" w:cs="方正仿宋_GBK"/>
                <w:strike w:val="0"/>
                <w:dstrike w:val="0"/>
                <w:color w:val="auto"/>
                <w:sz w:val="30"/>
                <w:szCs w:val="30"/>
              </w:rPr>
              <w:t>2021年12月2日</w:t>
            </w:r>
          </w:p>
          <w:p w14:paraId="6E40EDC4">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dstrike w:val="0"/>
                <w:color w:val="auto"/>
                <w:sz w:val="30"/>
                <w:szCs w:val="30"/>
              </w:rPr>
            </w:pPr>
            <w:r>
              <w:rPr>
                <w:rFonts w:hint="eastAsia" w:ascii="方正仿宋_GBK" w:hAnsi="方正仿宋_GBK" w:eastAsia="方正仿宋_GBK" w:cs="方正仿宋_GBK"/>
                <w:strike w:val="0"/>
                <w:dstrike w:val="0"/>
                <w:color w:val="auto"/>
                <w:sz w:val="30"/>
                <w:szCs w:val="30"/>
              </w:rPr>
              <w:t>民发〔2021〕96号</w:t>
            </w:r>
          </w:p>
        </w:tc>
      </w:tr>
      <w:tr w14:paraId="4AB1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9914" w:type="dxa"/>
            <w:gridSpan w:val="3"/>
            <w:noWrap w:val="0"/>
            <w:vAlign w:val="center"/>
          </w:tcPr>
          <w:p w14:paraId="13C6F5DA">
            <w:pPr>
              <w:overflowPunct/>
              <w:spacing w:line="240" w:lineRule="auto"/>
              <w:ind w:left="42" w:leftChars="13" w:right="102" w:rightChars="32" w:firstLine="0" w:firstLineChars="0"/>
              <w:jc w:val="center"/>
              <w:rPr>
                <w:rFonts w:hint="eastAsia" w:ascii="宋体" w:hAnsi="宋体" w:eastAsia="宋体" w:cs="宋体"/>
                <w:b/>
                <w:bCs/>
                <w:color w:val="auto"/>
                <w:sz w:val="30"/>
                <w:szCs w:val="30"/>
              </w:rPr>
            </w:pPr>
            <w:r>
              <w:rPr>
                <w:rFonts w:hint="eastAsia" w:ascii="方正黑体_GBK" w:hAnsi="方正黑体_GBK" w:eastAsia="方正黑体_GBK" w:cs="方正黑体_GBK"/>
                <w:b w:val="0"/>
                <w:bCs/>
                <w:color w:val="auto"/>
                <w:sz w:val="30"/>
                <w:szCs w:val="30"/>
                <w:lang w:eastAsia="zh-CN"/>
              </w:rPr>
              <w:t>社会救助</w:t>
            </w:r>
          </w:p>
        </w:tc>
      </w:tr>
      <w:tr w14:paraId="596C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blHeader/>
        </w:trPr>
        <w:tc>
          <w:tcPr>
            <w:tcW w:w="794" w:type="dxa"/>
            <w:noWrap w:val="0"/>
            <w:vAlign w:val="center"/>
          </w:tcPr>
          <w:p w14:paraId="52A7306A">
            <w:pPr>
              <w:keepNext w:val="0"/>
              <w:keepLines w:val="0"/>
              <w:pageBreakBefore w:val="0"/>
              <w:widowControl/>
              <w:kinsoku/>
              <w:wordWrap/>
              <w:overflowPunct/>
              <w:topLinePunct w:val="0"/>
              <w:autoSpaceDE/>
              <w:autoSpaceDN/>
              <w:bidi w:val="0"/>
              <w:adjustRightInd/>
              <w:snapToGrid/>
              <w:spacing w:line="400" w:lineRule="exact"/>
              <w:ind w:left="42" w:leftChars="13" w:right="102" w:rightChars="32" w:firstLine="0" w:firstLineChars="0"/>
              <w:jc w:val="center"/>
              <w:textAlignment w:val="center"/>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val="en-US" w:eastAsia="zh-CN"/>
              </w:rPr>
              <w:t>4</w:t>
            </w:r>
          </w:p>
        </w:tc>
        <w:tc>
          <w:tcPr>
            <w:tcW w:w="5992" w:type="dxa"/>
            <w:noWrap w:val="0"/>
            <w:vAlign w:val="center"/>
          </w:tcPr>
          <w:p w14:paraId="2B367535">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color w:val="auto"/>
                <w:sz w:val="30"/>
                <w:szCs w:val="30"/>
              </w:rPr>
            </w:pPr>
            <w:r>
              <w:rPr>
                <w:rFonts w:hint="eastAsia" w:ascii="方正仿宋_GBK" w:hAnsi="方正仿宋_GBK" w:eastAsia="方正仿宋_GBK" w:cs="方正仿宋_GBK"/>
                <w:strike w:val="0"/>
                <w:dstrike w:val="0"/>
                <w:color w:val="auto"/>
                <w:sz w:val="30"/>
                <w:szCs w:val="30"/>
              </w:rPr>
              <w:t>民政部关于推进深度贫困地区民政领域脱贫攻坚工作的意见</w:t>
            </w:r>
          </w:p>
        </w:tc>
        <w:tc>
          <w:tcPr>
            <w:tcW w:w="3128" w:type="dxa"/>
            <w:noWrap w:val="0"/>
            <w:vAlign w:val="center"/>
          </w:tcPr>
          <w:p w14:paraId="22F67289">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dstrike w:val="0"/>
                <w:color w:val="auto"/>
                <w:sz w:val="30"/>
                <w:szCs w:val="30"/>
              </w:rPr>
            </w:pPr>
            <w:r>
              <w:rPr>
                <w:rFonts w:hint="eastAsia" w:ascii="方正仿宋_GBK" w:hAnsi="方正仿宋_GBK" w:eastAsia="方正仿宋_GBK" w:cs="方正仿宋_GBK"/>
                <w:strike w:val="0"/>
                <w:dstrike w:val="0"/>
                <w:color w:val="auto"/>
                <w:sz w:val="30"/>
                <w:szCs w:val="30"/>
              </w:rPr>
              <w:t>2018年4月7日</w:t>
            </w:r>
          </w:p>
          <w:p w14:paraId="125B2DF1">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color w:val="auto"/>
                <w:sz w:val="30"/>
                <w:szCs w:val="30"/>
              </w:rPr>
            </w:pPr>
            <w:r>
              <w:rPr>
                <w:rFonts w:hint="eastAsia" w:ascii="方正仿宋_GBK" w:hAnsi="方正仿宋_GBK" w:eastAsia="方正仿宋_GBK" w:cs="方正仿宋_GBK"/>
                <w:strike w:val="0"/>
                <w:dstrike w:val="0"/>
                <w:color w:val="auto"/>
                <w:sz w:val="30"/>
                <w:szCs w:val="30"/>
              </w:rPr>
              <w:t>民发〔2018〕43号</w:t>
            </w:r>
          </w:p>
        </w:tc>
      </w:tr>
      <w:tr w14:paraId="261D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9914" w:type="dxa"/>
            <w:gridSpan w:val="3"/>
            <w:noWrap w:val="0"/>
            <w:vAlign w:val="center"/>
          </w:tcPr>
          <w:p w14:paraId="1AB63072">
            <w:pPr>
              <w:tabs>
                <w:tab w:val="left" w:pos="3825"/>
              </w:tabs>
              <w:overflowPunct/>
              <w:spacing w:line="240" w:lineRule="auto"/>
              <w:ind w:left="42" w:leftChars="13" w:right="102" w:rightChars="32" w:firstLine="0" w:firstLineChars="0"/>
              <w:jc w:val="center"/>
              <w:rPr>
                <w:rFonts w:hint="eastAsia" w:ascii="方正黑体_GBK" w:hAnsi="方正黑体_GBK" w:eastAsia="方正黑体_GBK" w:cs="方正黑体_GBK"/>
                <w:strike w:val="0"/>
                <w:dstrike w:val="0"/>
                <w:color w:val="auto"/>
                <w:sz w:val="30"/>
                <w:szCs w:val="30"/>
                <w:lang w:eastAsia="zh-CN"/>
              </w:rPr>
            </w:pPr>
            <w:r>
              <w:rPr>
                <w:rFonts w:hint="eastAsia" w:ascii="方正黑体_GBK" w:hAnsi="方正黑体_GBK" w:eastAsia="方正黑体_GBK" w:cs="方正黑体_GBK"/>
                <w:b w:val="0"/>
                <w:bCs/>
                <w:color w:val="auto"/>
                <w:sz w:val="30"/>
                <w:szCs w:val="30"/>
                <w:lang w:eastAsia="zh-CN"/>
              </w:rPr>
              <w:t>救助管理</w:t>
            </w:r>
          </w:p>
        </w:tc>
      </w:tr>
      <w:tr w14:paraId="0ABD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blHeader/>
        </w:trPr>
        <w:tc>
          <w:tcPr>
            <w:tcW w:w="794" w:type="dxa"/>
            <w:noWrap w:val="0"/>
            <w:vAlign w:val="center"/>
          </w:tcPr>
          <w:p w14:paraId="357383F0">
            <w:pPr>
              <w:keepNext w:val="0"/>
              <w:keepLines w:val="0"/>
              <w:pageBreakBefore w:val="0"/>
              <w:widowControl/>
              <w:kinsoku/>
              <w:wordWrap/>
              <w:overflowPunct/>
              <w:topLinePunct w:val="0"/>
              <w:autoSpaceDE/>
              <w:autoSpaceDN/>
              <w:bidi w:val="0"/>
              <w:adjustRightInd/>
              <w:snapToGrid/>
              <w:spacing w:line="400" w:lineRule="exact"/>
              <w:ind w:left="42" w:leftChars="13" w:right="102" w:rightChars="32" w:firstLine="0" w:firstLineChars="0"/>
              <w:jc w:val="center"/>
              <w:textAlignment w:val="center"/>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val="en-US" w:eastAsia="zh-CN"/>
              </w:rPr>
              <w:t>5</w:t>
            </w:r>
          </w:p>
        </w:tc>
        <w:tc>
          <w:tcPr>
            <w:tcW w:w="5992" w:type="dxa"/>
            <w:noWrap w:val="0"/>
            <w:vAlign w:val="center"/>
          </w:tcPr>
          <w:p w14:paraId="0B1005D7">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dstrike w:val="0"/>
                <w:color w:val="auto"/>
                <w:sz w:val="30"/>
                <w:szCs w:val="30"/>
              </w:rPr>
            </w:pPr>
            <w:r>
              <w:rPr>
                <w:rFonts w:hint="eastAsia" w:ascii="方正仿宋_GBK" w:hAnsi="方正仿宋_GBK" w:eastAsia="方正仿宋_GBK" w:cs="方正仿宋_GBK"/>
                <w:color w:val="auto"/>
                <w:sz w:val="30"/>
                <w:szCs w:val="30"/>
              </w:rPr>
              <w:t>民政部、中央政法委、公安部、财政部、人力资源社会保障部、住房城乡建设部、国家卫生健康委、应急部、市场监管总局、国家医保局、</w:t>
            </w:r>
            <w:bookmarkStart w:id="0" w:name="hmcheck_0dc9fea53c2e4ee6809dcfcadc9806c3"/>
            <w:r>
              <w:rPr>
                <w:rFonts w:hint="eastAsia" w:ascii="方正仿宋_GBK" w:hAnsi="方正仿宋_GBK" w:eastAsia="方正仿宋_GBK" w:cs="方正仿宋_GBK"/>
                <w:color w:val="auto"/>
                <w:sz w:val="30"/>
                <w:szCs w:val="30"/>
                <w:shd w:val="clear" w:color="auto" w:fill="FFFFFF"/>
              </w:rPr>
              <w:t>国务院扶贫办</w:t>
            </w:r>
            <w:bookmarkEnd w:id="0"/>
            <w:r>
              <w:rPr>
                <w:rFonts w:hint="eastAsia" w:ascii="方正仿宋_GBK" w:hAnsi="方正仿宋_GBK" w:eastAsia="方正仿宋_GBK" w:cs="方正仿宋_GBK"/>
                <w:color w:val="auto"/>
                <w:sz w:val="30"/>
                <w:szCs w:val="30"/>
              </w:rPr>
              <w:t>关于开展生活无着的流浪乞讨人员救助管理服务质量大提升专项行动的通知</w:t>
            </w:r>
          </w:p>
        </w:tc>
        <w:tc>
          <w:tcPr>
            <w:tcW w:w="3128" w:type="dxa"/>
            <w:noWrap w:val="0"/>
            <w:vAlign w:val="center"/>
          </w:tcPr>
          <w:p w14:paraId="04E01440">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2020年3月9日</w:t>
            </w:r>
          </w:p>
          <w:p w14:paraId="5E9FA346">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dstrike w:val="0"/>
                <w:color w:val="auto"/>
                <w:sz w:val="30"/>
                <w:szCs w:val="30"/>
              </w:rPr>
            </w:pPr>
            <w:r>
              <w:rPr>
                <w:rFonts w:hint="eastAsia" w:ascii="方正仿宋_GBK" w:hAnsi="方正仿宋_GBK" w:eastAsia="方正仿宋_GBK" w:cs="方正仿宋_GBK"/>
                <w:color w:val="auto"/>
                <w:sz w:val="30"/>
                <w:szCs w:val="30"/>
              </w:rPr>
              <w:t>民发〔20</w:t>
            </w:r>
            <w:r>
              <w:rPr>
                <w:rFonts w:hint="eastAsia" w:ascii="方正仿宋_GBK" w:hAnsi="方正仿宋_GBK" w:eastAsia="方正仿宋_GBK" w:cs="方正仿宋_GBK"/>
                <w:color w:val="auto"/>
                <w:sz w:val="30"/>
                <w:szCs w:val="30"/>
                <w:lang w:val="en-US" w:eastAsia="zh-CN"/>
              </w:rPr>
              <w:t>20</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lang w:val="en-US" w:eastAsia="zh-CN"/>
              </w:rPr>
              <w:t>14</w:t>
            </w:r>
            <w:r>
              <w:rPr>
                <w:rFonts w:hint="eastAsia" w:ascii="方正仿宋_GBK" w:hAnsi="方正仿宋_GBK" w:eastAsia="方正仿宋_GBK" w:cs="方正仿宋_GBK"/>
                <w:color w:val="auto"/>
                <w:sz w:val="30"/>
                <w:szCs w:val="30"/>
              </w:rPr>
              <w:t>号</w:t>
            </w:r>
          </w:p>
        </w:tc>
      </w:tr>
      <w:tr w14:paraId="7802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9914" w:type="dxa"/>
            <w:gridSpan w:val="3"/>
            <w:noWrap w:val="0"/>
            <w:vAlign w:val="center"/>
          </w:tcPr>
          <w:p w14:paraId="4B2629A5">
            <w:pPr>
              <w:overflowPunct/>
              <w:spacing w:line="240" w:lineRule="auto"/>
              <w:ind w:left="42" w:leftChars="13" w:right="102" w:rightChars="32" w:firstLine="0" w:firstLineChars="0"/>
              <w:jc w:val="center"/>
              <w:rPr>
                <w:rFonts w:hint="eastAsia" w:ascii="方正黑体_GBK" w:hAnsi="方正黑体_GBK" w:eastAsia="方正黑体_GBK" w:cs="方正黑体_GBK"/>
                <w:b w:val="0"/>
                <w:bCs/>
                <w:color w:val="auto"/>
                <w:sz w:val="30"/>
                <w:szCs w:val="30"/>
                <w:lang w:eastAsia="zh-CN"/>
              </w:rPr>
            </w:pPr>
            <w:r>
              <w:rPr>
                <w:rFonts w:hint="eastAsia" w:ascii="方正黑体_GBK" w:hAnsi="方正黑体_GBK" w:eastAsia="方正黑体_GBK" w:cs="方正黑体_GBK"/>
                <w:b w:val="0"/>
                <w:bCs/>
                <w:color w:val="auto"/>
                <w:sz w:val="30"/>
                <w:szCs w:val="30"/>
                <w:lang w:eastAsia="zh-CN"/>
              </w:rPr>
              <w:t>殡葬管理</w:t>
            </w:r>
          </w:p>
        </w:tc>
      </w:tr>
      <w:tr w14:paraId="2766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blHeader/>
        </w:trPr>
        <w:tc>
          <w:tcPr>
            <w:tcW w:w="794" w:type="dxa"/>
            <w:noWrap w:val="0"/>
            <w:vAlign w:val="center"/>
          </w:tcPr>
          <w:p w14:paraId="5DB5A093">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jc w:val="center"/>
              <w:rPr>
                <w:rFonts w:hint="default"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val="en-US" w:eastAsia="zh-CN"/>
              </w:rPr>
              <w:t>6</w:t>
            </w:r>
          </w:p>
        </w:tc>
        <w:tc>
          <w:tcPr>
            <w:tcW w:w="5992" w:type="dxa"/>
            <w:noWrap w:val="0"/>
            <w:vAlign w:val="center"/>
          </w:tcPr>
          <w:p w14:paraId="7359302F">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民政部关于印发《殡仪服务站管理暂行办法》的通知</w:t>
            </w:r>
          </w:p>
        </w:tc>
        <w:tc>
          <w:tcPr>
            <w:tcW w:w="3128" w:type="dxa"/>
            <w:noWrap w:val="0"/>
            <w:vAlign w:val="center"/>
          </w:tcPr>
          <w:p w14:paraId="77198F44">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202</w:t>
            </w:r>
            <w:r>
              <w:rPr>
                <w:rFonts w:hint="eastAsia" w:ascii="方正仿宋_GBK" w:hAnsi="方正仿宋_GBK" w:eastAsia="方正仿宋_GBK" w:cs="方正仿宋_GBK"/>
                <w:color w:val="auto"/>
                <w:sz w:val="30"/>
                <w:szCs w:val="30"/>
                <w:lang w:val="en-US" w:eastAsia="zh-CN"/>
              </w:rPr>
              <w:t>5</w:t>
            </w:r>
            <w:r>
              <w:rPr>
                <w:rFonts w:hint="eastAsia" w:ascii="方正仿宋_GBK" w:hAnsi="方正仿宋_GBK" w:eastAsia="方正仿宋_GBK" w:cs="方正仿宋_GBK"/>
                <w:color w:val="auto"/>
                <w:sz w:val="30"/>
                <w:szCs w:val="30"/>
                <w:lang w:eastAsia="zh-CN"/>
              </w:rPr>
              <w:t>年</w:t>
            </w:r>
            <w:r>
              <w:rPr>
                <w:rFonts w:hint="eastAsia" w:ascii="方正仿宋_GBK" w:hAnsi="方正仿宋_GBK" w:eastAsia="方正仿宋_GBK" w:cs="方正仿宋_GBK"/>
                <w:color w:val="auto"/>
                <w:sz w:val="30"/>
                <w:szCs w:val="30"/>
                <w:lang w:val="en-US" w:eastAsia="zh-CN"/>
              </w:rPr>
              <w:t>4</w:t>
            </w:r>
            <w:r>
              <w:rPr>
                <w:rFonts w:hint="eastAsia" w:ascii="方正仿宋_GBK" w:hAnsi="方正仿宋_GBK" w:eastAsia="方正仿宋_GBK" w:cs="方正仿宋_GBK"/>
                <w:color w:val="auto"/>
                <w:sz w:val="30"/>
                <w:szCs w:val="30"/>
                <w:lang w:eastAsia="zh-CN"/>
              </w:rPr>
              <w:t>月</w:t>
            </w:r>
            <w:r>
              <w:rPr>
                <w:rFonts w:hint="eastAsia" w:ascii="方正仿宋_GBK" w:hAnsi="方正仿宋_GBK" w:eastAsia="方正仿宋_GBK" w:cs="方正仿宋_GBK"/>
                <w:color w:val="auto"/>
                <w:sz w:val="30"/>
                <w:szCs w:val="30"/>
                <w:lang w:val="en-US" w:eastAsia="zh-CN"/>
              </w:rPr>
              <w:t>1</w:t>
            </w:r>
            <w:r>
              <w:rPr>
                <w:rFonts w:hint="eastAsia" w:ascii="方正仿宋_GBK" w:hAnsi="方正仿宋_GBK" w:eastAsia="方正仿宋_GBK" w:cs="方正仿宋_GBK"/>
                <w:color w:val="auto"/>
                <w:sz w:val="30"/>
                <w:szCs w:val="30"/>
                <w:lang w:eastAsia="zh-CN"/>
              </w:rPr>
              <w:t>日</w:t>
            </w:r>
          </w:p>
          <w:p w14:paraId="13CB07E1">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黑体_GBK" w:hAnsi="方正黑体_GBK" w:eastAsia="方正黑体_GBK" w:cs="方正黑体_GBK"/>
                <w:b w:val="0"/>
                <w:bCs/>
                <w:color w:val="auto"/>
                <w:sz w:val="30"/>
                <w:szCs w:val="30"/>
                <w:lang w:eastAsia="zh-CN"/>
              </w:rPr>
            </w:pPr>
            <w:r>
              <w:rPr>
                <w:rFonts w:hint="eastAsia" w:ascii="方正仿宋_GBK" w:hAnsi="方正仿宋_GBK" w:eastAsia="方正仿宋_GBK" w:cs="方正仿宋_GBK"/>
                <w:color w:val="auto"/>
                <w:sz w:val="30"/>
                <w:szCs w:val="30"/>
                <w:lang w:eastAsia="zh-CN"/>
              </w:rPr>
              <w:t>民发〔20</w:t>
            </w:r>
            <w:r>
              <w:rPr>
                <w:rFonts w:hint="eastAsia" w:ascii="方正仿宋_GBK" w:hAnsi="方正仿宋_GBK" w:eastAsia="方正仿宋_GBK" w:cs="方正仿宋_GBK"/>
                <w:color w:val="auto"/>
                <w:sz w:val="30"/>
                <w:szCs w:val="30"/>
                <w:lang w:val="en-US" w:eastAsia="zh-CN"/>
              </w:rPr>
              <w:t>25</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lang w:val="en-US" w:eastAsia="zh-CN"/>
              </w:rPr>
              <w:t>14</w:t>
            </w:r>
            <w:r>
              <w:rPr>
                <w:rFonts w:hint="eastAsia" w:ascii="方正仿宋_GBK" w:hAnsi="方正仿宋_GBK" w:eastAsia="方正仿宋_GBK" w:cs="方正仿宋_GBK"/>
                <w:color w:val="auto"/>
                <w:sz w:val="30"/>
                <w:szCs w:val="30"/>
                <w:lang w:eastAsia="zh-CN"/>
              </w:rPr>
              <w:t>号</w:t>
            </w:r>
          </w:p>
        </w:tc>
      </w:tr>
      <w:tr w14:paraId="364A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9914" w:type="dxa"/>
            <w:gridSpan w:val="3"/>
            <w:noWrap w:val="0"/>
            <w:vAlign w:val="center"/>
          </w:tcPr>
          <w:p w14:paraId="1DAA65BD">
            <w:pPr>
              <w:overflowPunct/>
              <w:spacing w:line="240" w:lineRule="auto"/>
              <w:ind w:left="42" w:leftChars="13" w:right="102" w:rightChars="32" w:firstLine="0" w:firstLineChars="0"/>
              <w:jc w:val="center"/>
              <w:rPr>
                <w:rFonts w:hint="eastAsia" w:ascii="方正黑体_GBK" w:hAnsi="方正黑体_GBK" w:eastAsia="方正黑体_GBK" w:cs="方正黑体_GBK"/>
                <w:strike w:val="0"/>
                <w:dstrike w:val="0"/>
                <w:color w:val="auto"/>
                <w:sz w:val="30"/>
                <w:szCs w:val="30"/>
              </w:rPr>
            </w:pPr>
            <w:r>
              <w:rPr>
                <w:rFonts w:hint="eastAsia" w:ascii="方正黑体_GBK" w:hAnsi="方正黑体_GBK" w:eastAsia="方正黑体_GBK" w:cs="方正黑体_GBK"/>
                <w:b w:val="0"/>
                <w:bCs/>
                <w:color w:val="auto"/>
                <w:sz w:val="30"/>
                <w:szCs w:val="30"/>
                <w:lang w:eastAsia="zh-CN"/>
              </w:rPr>
              <w:t>婚姻登记</w:t>
            </w:r>
          </w:p>
        </w:tc>
      </w:tr>
      <w:tr w14:paraId="0B36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blHeader/>
        </w:trPr>
        <w:tc>
          <w:tcPr>
            <w:tcW w:w="794" w:type="dxa"/>
            <w:noWrap w:val="0"/>
            <w:vAlign w:val="center"/>
          </w:tcPr>
          <w:p w14:paraId="4C2DB3FD">
            <w:pPr>
              <w:keepNext w:val="0"/>
              <w:keepLines w:val="0"/>
              <w:pageBreakBefore w:val="0"/>
              <w:widowControl/>
              <w:kinsoku/>
              <w:wordWrap/>
              <w:overflowPunct/>
              <w:topLinePunct w:val="0"/>
              <w:autoSpaceDE/>
              <w:autoSpaceDN/>
              <w:bidi w:val="0"/>
              <w:adjustRightInd/>
              <w:snapToGrid/>
              <w:spacing w:line="400" w:lineRule="exact"/>
              <w:ind w:left="42" w:leftChars="13" w:right="102" w:rightChars="32" w:firstLine="0" w:firstLineChars="0"/>
              <w:jc w:val="center"/>
              <w:textAlignment w:val="center"/>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val="en-US" w:eastAsia="zh-CN"/>
              </w:rPr>
              <w:t>7</w:t>
            </w:r>
          </w:p>
        </w:tc>
        <w:tc>
          <w:tcPr>
            <w:tcW w:w="5992" w:type="dxa"/>
            <w:noWrap w:val="0"/>
            <w:vAlign w:val="center"/>
          </w:tcPr>
          <w:p w14:paraId="15D89569">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dstrike w:val="0"/>
                <w:color w:val="auto"/>
                <w:sz w:val="30"/>
                <w:szCs w:val="30"/>
              </w:rPr>
            </w:pPr>
            <w:r>
              <w:rPr>
                <w:rFonts w:hint="eastAsia" w:ascii="方正仿宋_GBK" w:hAnsi="方正仿宋_GBK" w:eastAsia="方正仿宋_GBK" w:cs="方正仿宋_GBK"/>
                <w:color w:val="auto"/>
                <w:sz w:val="30"/>
                <w:szCs w:val="30"/>
              </w:rPr>
              <w:t>民政部办公厅关于开展婚姻登记“跨省通办”试点工作的通知</w:t>
            </w:r>
          </w:p>
        </w:tc>
        <w:tc>
          <w:tcPr>
            <w:tcW w:w="3128" w:type="dxa"/>
            <w:noWrap w:val="0"/>
            <w:vAlign w:val="center"/>
          </w:tcPr>
          <w:p w14:paraId="51847179">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2021年5月17日</w:t>
            </w:r>
          </w:p>
          <w:p w14:paraId="4A5CCB4D">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strike w:val="0"/>
                <w:dstrike w:val="0"/>
                <w:color w:val="auto"/>
                <w:sz w:val="30"/>
                <w:szCs w:val="30"/>
              </w:rPr>
            </w:pPr>
            <w:r>
              <w:rPr>
                <w:rFonts w:hint="eastAsia" w:ascii="方正仿宋_GBK" w:hAnsi="方正仿宋_GBK" w:eastAsia="方正仿宋_GBK" w:cs="方正仿宋_GBK"/>
                <w:color w:val="auto"/>
                <w:sz w:val="30"/>
                <w:szCs w:val="30"/>
              </w:rPr>
              <w:t>民办发〔2021〕8号</w:t>
            </w:r>
          </w:p>
        </w:tc>
      </w:tr>
      <w:tr w14:paraId="5B27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794" w:type="dxa"/>
            <w:noWrap w:val="0"/>
            <w:vAlign w:val="center"/>
          </w:tcPr>
          <w:p w14:paraId="2EB70C2F">
            <w:pPr>
              <w:keepNext w:val="0"/>
              <w:keepLines w:val="0"/>
              <w:pageBreakBefore w:val="0"/>
              <w:widowControl w:val="0"/>
              <w:kinsoku/>
              <w:wordWrap/>
              <w:overflowPunct w:val="0"/>
              <w:topLinePunct w:val="0"/>
              <w:autoSpaceDE/>
              <w:autoSpaceDN/>
              <w:bidi w:val="0"/>
              <w:adjustRightInd/>
              <w:snapToGrid/>
              <w:spacing w:line="400" w:lineRule="exact"/>
              <w:ind w:left="42" w:leftChars="13" w:right="102" w:rightChars="32" w:firstLine="0" w:firstLineChars="0"/>
              <w:jc w:val="center"/>
              <w:textAlignment w:val="auto"/>
              <w:rPr>
                <w:rFonts w:hint="eastAsia" w:ascii="方正仿宋_GBK" w:hAnsi="方正仿宋_GBK" w:eastAsia="方正仿宋_GBK" w:cs="方正仿宋_GBK"/>
                <w:color w:val="auto"/>
                <w:sz w:val="30"/>
                <w:szCs w:val="30"/>
                <w:lang w:val="en-US" w:eastAsia="zh-CN"/>
              </w:rPr>
            </w:pPr>
            <w:r>
              <w:rPr>
                <w:rFonts w:hint="eastAsia" w:ascii="方正黑体_GBK" w:hAnsi="方正黑体_GBK" w:eastAsia="方正黑体_GBK" w:cs="方正黑体_GBK"/>
                <w:bCs/>
                <w:color w:val="auto"/>
                <w:sz w:val="30"/>
                <w:szCs w:val="30"/>
              </w:rPr>
              <w:t>序号</w:t>
            </w:r>
          </w:p>
        </w:tc>
        <w:tc>
          <w:tcPr>
            <w:tcW w:w="5992" w:type="dxa"/>
            <w:noWrap w:val="0"/>
            <w:vAlign w:val="center"/>
          </w:tcPr>
          <w:p w14:paraId="1CD3DA99">
            <w:pPr>
              <w:overflowPunct/>
              <w:spacing w:line="240" w:lineRule="auto"/>
              <w:ind w:left="42" w:leftChars="13" w:right="102" w:rightChars="32" w:firstLine="0" w:firstLineChars="0"/>
              <w:jc w:val="center"/>
              <w:rPr>
                <w:rFonts w:hint="eastAsia" w:ascii="方正仿宋_GBK" w:hAnsi="方正仿宋_GBK" w:eastAsia="方正仿宋_GBK" w:cs="方正仿宋_GBK"/>
                <w:color w:val="auto"/>
                <w:sz w:val="30"/>
                <w:szCs w:val="30"/>
              </w:rPr>
            </w:pPr>
            <w:r>
              <w:rPr>
                <w:rFonts w:hint="eastAsia" w:ascii="方正黑体_GBK" w:hAnsi="方正黑体_GBK" w:eastAsia="方正黑体_GBK" w:cs="方正黑体_GBK"/>
                <w:bCs/>
                <w:color w:val="auto"/>
                <w:sz w:val="30"/>
                <w:szCs w:val="30"/>
              </w:rPr>
              <w:t>名  称</w:t>
            </w:r>
          </w:p>
        </w:tc>
        <w:tc>
          <w:tcPr>
            <w:tcW w:w="3128" w:type="dxa"/>
            <w:noWrap w:val="0"/>
            <w:vAlign w:val="center"/>
          </w:tcPr>
          <w:p w14:paraId="4E635CC8">
            <w:pPr>
              <w:overflowPunct/>
              <w:spacing w:line="240" w:lineRule="auto"/>
              <w:ind w:left="42" w:leftChars="13" w:right="102" w:rightChars="32" w:firstLine="0" w:firstLineChars="0"/>
              <w:jc w:val="center"/>
              <w:rPr>
                <w:rFonts w:hint="eastAsia" w:ascii="方正仿宋_GBK" w:hAnsi="方正仿宋_GBK" w:eastAsia="方正仿宋_GBK" w:cs="方正仿宋_GBK"/>
                <w:color w:val="auto"/>
                <w:sz w:val="30"/>
                <w:szCs w:val="30"/>
              </w:rPr>
            </w:pPr>
            <w:r>
              <w:rPr>
                <w:rFonts w:hint="eastAsia" w:ascii="方正黑体_GBK" w:hAnsi="方正黑体_GBK" w:eastAsia="方正黑体_GBK" w:cs="方正黑体_GBK"/>
                <w:bCs/>
                <w:color w:val="auto"/>
                <w:sz w:val="30"/>
                <w:szCs w:val="30"/>
              </w:rPr>
              <w:t>发文日期和文号</w:t>
            </w:r>
          </w:p>
        </w:tc>
      </w:tr>
      <w:tr w14:paraId="7CE8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blHeader/>
        </w:trPr>
        <w:tc>
          <w:tcPr>
            <w:tcW w:w="794" w:type="dxa"/>
            <w:noWrap w:val="0"/>
            <w:vAlign w:val="center"/>
          </w:tcPr>
          <w:p w14:paraId="080C62AA">
            <w:pPr>
              <w:keepNext w:val="0"/>
              <w:keepLines w:val="0"/>
              <w:pageBreakBefore w:val="0"/>
              <w:widowControl/>
              <w:kinsoku/>
              <w:wordWrap/>
              <w:overflowPunct/>
              <w:topLinePunct w:val="0"/>
              <w:autoSpaceDE/>
              <w:autoSpaceDN/>
              <w:bidi w:val="0"/>
              <w:adjustRightInd/>
              <w:snapToGrid/>
              <w:spacing w:line="400" w:lineRule="exact"/>
              <w:ind w:left="42" w:leftChars="13" w:right="102" w:rightChars="32" w:firstLine="0" w:firstLineChars="0"/>
              <w:jc w:val="center"/>
              <w:textAlignment w:val="center"/>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val="en-US" w:eastAsia="zh-CN"/>
              </w:rPr>
              <w:t>8</w:t>
            </w:r>
          </w:p>
        </w:tc>
        <w:tc>
          <w:tcPr>
            <w:tcW w:w="5992" w:type="dxa"/>
            <w:noWrap w:val="0"/>
            <w:vAlign w:val="center"/>
          </w:tcPr>
          <w:p w14:paraId="4B19EEAA">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民政部办公厅关于扩大内地居民婚姻登记“跨省通办”试点的通知</w:t>
            </w:r>
          </w:p>
        </w:tc>
        <w:tc>
          <w:tcPr>
            <w:tcW w:w="3128" w:type="dxa"/>
            <w:noWrap w:val="0"/>
            <w:vAlign w:val="center"/>
          </w:tcPr>
          <w:p w14:paraId="028B1C14">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2023年5月22日</w:t>
            </w:r>
          </w:p>
          <w:p w14:paraId="2001B89A">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民办发〔2</w:t>
            </w:r>
            <w:r>
              <w:rPr>
                <w:rFonts w:hint="eastAsia" w:ascii="方正仿宋_GBK" w:hAnsi="方正仿宋_GBK" w:eastAsia="方正仿宋_GBK" w:cs="方正仿宋_GBK"/>
                <w:color w:val="auto"/>
                <w:sz w:val="30"/>
                <w:szCs w:val="30"/>
                <w:lang w:val="en-US" w:eastAsia="zh-CN"/>
              </w:rPr>
              <w:t>023</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lang w:val="en-US" w:eastAsia="zh-CN"/>
              </w:rPr>
              <w:t>6</w:t>
            </w:r>
            <w:r>
              <w:rPr>
                <w:rFonts w:hint="eastAsia" w:ascii="方正仿宋_GBK" w:hAnsi="方正仿宋_GBK" w:eastAsia="方正仿宋_GBK" w:cs="方正仿宋_GBK"/>
                <w:color w:val="auto"/>
                <w:sz w:val="30"/>
                <w:szCs w:val="30"/>
              </w:rPr>
              <w:t>号</w:t>
            </w:r>
          </w:p>
        </w:tc>
      </w:tr>
      <w:tr w14:paraId="5DB6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9914" w:type="dxa"/>
            <w:gridSpan w:val="3"/>
            <w:noWrap w:val="0"/>
            <w:vAlign w:val="center"/>
          </w:tcPr>
          <w:p w14:paraId="3C66EA41">
            <w:pPr>
              <w:overflowPunct/>
              <w:spacing w:line="240" w:lineRule="auto"/>
              <w:ind w:left="42" w:leftChars="13" w:right="102" w:rightChars="32" w:firstLine="0" w:firstLineChars="0"/>
              <w:jc w:val="center"/>
              <w:rPr>
                <w:rFonts w:hint="eastAsia" w:ascii="方正黑体_GBK" w:hAnsi="方正黑体_GBK" w:eastAsia="方正黑体_GBK" w:cs="方正黑体_GBK"/>
                <w:color w:val="auto"/>
                <w:sz w:val="30"/>
                <w:szCs w:val="30"/>
                <w:lang w:eastAsia="zh-CN"/>
              </w:rPr>
            </w:pPr>
            <w:r>
              <w:rPr>
                <w:rFonts w:hint="eastAsia" w:ascii="方正黑体_GBK" w:hAnsi="方正黑体_GBK" w:eastAsia="方正黑体_GBK" w:cs="方正黑体_GBK"/>
                <w:color w:val="auto"/>
                <w:sz w:val="30"/>
                <w:szCs w:val="30"/>
                <w:lang w:eastAsia="zh-CN"/>
              </w:rPr>
              <w:t>残疾人福利</w:t>
            </w:r>
          </w:p>
        </w:tc>
      </w:tr>
      <w:tr w14:paraId="2910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blHeader/>
        </w:trPr>
        <w:tc>
          <w:tcPr>
            <w:tcW w:w="794" w:type="dxa"/>
            <w:noWrap w:val="0"/>
            <w:vAlign w:val="center"/>
          </w:tcPr>
          <w:p w14:paraId="5AA0ED21">
            <w:pPr>
              <w:keepNext w:val="0"/>
              <w:keepLines w:val="0"/>
              <w:pageBreakBefore w:val="0"/>
              <w:widowControl/>
              <w:kinsoku/>
              <w:wordWrap/>
              <w:overflowPunct/>
              <w:topLinePunct w:val="0"/>
              <w:autoSpaceDE/>
              <w:autoSpaceDN/>
              <w:bidi w:val="0"/>
              <w:adjustRightInd/>
              <w:snapToGrid/>
              <w:spacing w:line="400" w:lineRule="exact"/>
              <w:ind w:left="42" w:leftChars="13" w:right="102" w:rightChars="32" w:firstLine="0" w:firstLineChars="0"/>
              <w:jc w:val="center"/>
              <w:textAlignment w:val="center"/>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val="en-US" w:eastAsia="zh-CN"/>
              </w:rPr>
              <w:t>9</w:t>
            </w:r>
          </w:p>
        </w:tc>
        <w:tc>
          <w:tcPr>
            <w:tcW w:w="5992" w:type="dxa"/>
            <w:noWrap w:val="0"/>
            <w:vAlign w:val="center"/>
          </w:tcPr>
          <w:p w14:paraId="25F9A1C0">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民政部办公厅关于在脱贫攻坚中做好“福康工程”项目实施工作的通知</w:t>
            </w:r>
          </w:p>
        </w:tc>
        <w:tc>
          <w:tcPr>
            <w:tcW w:w="3128" w:type="dxa"/>
            <w:noWrap w:val="0"/>
            <w:vAlign w:val="center"/>
          </w:tcPr>
          <w:p w14:paraId="2E4F68B4">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2019年5月6日</w:t>
            </w:r>
          </w:p>
          <w:p w14:paraId="17A96E63">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民办发〔2019〕18号</w:t>
            </w:r>
          </w:p>
        </w:tc>
      </w:tr>
      <w:tr w14:paraId="4E27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9914" w:type="dxa"/>
            <w:gridSpan w:val="3"/>
            <w:noWrap w:val="0"/>
            <w:vAlign w:val="center"/>
          </w:tcPr>
          <w:p w14:paraId="53069C91">
            <w:pPr>
              <w:overflowPunct/>
              <w:spacing w:line="240" w:lineRule="auto"/>
              <w:ind w:left="42" w:leftChars="13" w:right="102" w:rightChars="32" w:firstLine="0" w:firstLineChars="0"/>
              <w:jc w:val="center"/>
              <w:rPr>
                <w:rFonts w:hint="eastAsia" w:ascii="宋体" w:hAnsi="宋体" w:eastAsia="宋体" w:cs="宋体"/>
                <w:color w:val="auto"/>
                <w:sz w:val="30"/>
                <w:szCs w:val="30"/>
              </w:rPr>
            </w:pPr>
            <w:r>
              <w:rPr>
                <w:rFonts w:hint="eastAsia" w:ascii="黑体" w:hAnsi="黑体" w:eastAsia="黑体" w:cs="黑体"/>
                <w:b w:val="0"/>
                <w:bCs/>
                <w:color w:val="auto"/>
                <w:sz w:val="30"/>
                <w:szCs w:val="30"/>
                <w:lang w:eastAsia="zh-CN"/>
              </w:rPr>
              <w:t>收养登记</w:t>
            </w:r>
          </w:p>
        </w:tc>
      </w:tr>
      <w:tr w14:paraId="4C21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blHeader/>
        </w:trPr>
        <w:tc>
          <w:tcPr>
            <w:tcW w:w="794" w:type="dxa"/>
            <w:noWrap w:val="0"/>
            <w:vAlign w:val="center"/>
          </w:tcPr>
          <w:p w14:paraId="0727FB7F">
            <w:pPr>
              <w:keepNext w:val="0"/>
              <w:keepLines w:val="0"/>
              <w:pageBreakBefore w:val="0"/>
              <w:widowControl/>
              <w:kinsoku/>
              <w:wordWrap/>
              <w:overflowPunct/>
              <w:topLinePunct w:val="0"/>
              <w:autoSpaceDE/>
              <w:autoSpaceDN/>
              <w:bidi w:val="0"/>
              <w:adjustRightInd/>
              <w:snapToGrid/>
              <w:spacing w:line="400" w:lineRule="exact"/>
              <w:ind w:left="42" w:leftChars="13" w:right="102" w:rightChars="32" w:firstLine="0" w:firstLineChars="0"/>
              <w:jc w:val="center"/>
              <w:textAlignment w:val="center"/>
              <w:rPr>
                <w:rFonts w:hint="default"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val="en-US" w:eastAsia="zh-CN"/>
              </w:rPr>
              <w:t>10</w:t>
            </w:r>
          </w:p>
        </w:tc>
        <w:tc>
          <w:tcPr>
            <w:tcW w:w="5992" w:type="dxa"/>
            <w:noWrap w:val="0"/>
            <w:vAlign w:val="center"/>
          </w:tcPr>
          <w:p w14:paraId="333B8C17">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民政部关于社会福利机构涉外送养工作的若干规定</w:t>
            </w:r>
          </w:p>
        </w:tc>
        <w:tc>
          <w:tcPr>
            <w:tcW w:w="3128" w:type="dxa"/>
            <w:noWrap w:val="0"/>
            <w:vAlign w:val="center"/>
          </w:tcPr>
          <w:p w14:paraId="770BCD44">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2003年9月4日</w:t>
            </w:r>
          </w:p>
          <w:p w14:paraId="5B84D40E">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民发〔2003〕112号</w:t>
            </w:r>
          </w:p>
        </w:tc>
      </w:tr>
      <w:tr w14:paraId="219B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9914" w:type="dxa"/>
            <w:gridSpan w:val="3"/>
            <w:noWrap w:val="0"/>
            <w:vAlign w:val="center"/>
          </w:tcPr>
          <w:p w14:paraId="0B82E9DA">
            <w:pPr>
              <w:overflowPunct/>
              <w:spacing w:line="240" w:lineRule="auto"/>
              <w:ind w:left="42" w:leftChars="13" w:right="102" w:rightChars="32" w:firstLine="0" w:firstLineChars="0"/>
              <w:jc w:val="center"/>
              <w:rPr>
                <w:rFonts w:hint="eastAsia" w:ascii="宋体" w:hAnsi="宋体" w:eastAsia="宋体" w:cs="宋体"/>
                <w:color w:val="auto"/>
                <w:sz w:val="30"/>
                <w:szCs w:val="30"/>
              </w:rPr>
            </w:pPr>
            <w:r>
              <w:rPr>
                <w:rFonts w:hint="eastAsia" w:ascii="黑体" w:hAnsi="黑体" w:eastAsia="黑体" w:cs="黑体"/>
                <w:b w:val="0"/>
                <w:bCs/>
                <w:color w:val="auto"/>
                <w:sz w:val="30"/>
                <w:szCs w:val="30"/>
                <w:lang w:eastAsia="zh-CN"/>
              </w:rPr>
              <w:t>儿童福利</w:t>
            </w:r>
          </w:p>
        </w:tc>
      </w:tr>
      <w:tr w14:paraId="0840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blHeader/>
        </w:trPr>
        <w:tc>
          <w:tcPr>
            <w:tcW w:w="794" w:type="dxa"/>
            <w:noWrap w:val="0"/>
            <w:vAlign w:val="center"/>
          </w:tcPr>
          <w:p w14:paraId="1C00C853">
            <w:pPr>
              <w:keepNext w:val="0"/>
              <w:keepLines w:val="0"/>
              <w:pageBreakBefore w:val="0"/>
              <w:widowControl/>
              <w:kinsoku/>
              <w:wordWrap/>
              <w:overflowPunct/>
              <w:topLinePunct w:val="0"/>
              <w:autoSpaceDE/>
              <w:autoSpaceDN/>
              <w:bidi w:val="0"/>
              <w:adjustRightInd/>
              <w:snapToGrid/>
              <w:spacing w:line="400" w:lineRule="exact"/>
              <w:ind w:left="42" w:leftChars="13" w:right="102" w:rightChars="32" w:firstLine="0" w:firstLineChars="0"/>
              <w:jc w:val="center"/>
              <w:textAlignment w:val="center"/>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val="en-US" w:eastAsia="zh-CN"/>
              </w:rPr>
              <w:t>11</w:t>
            </w:r>
          </w:p>
        </w:tc>
        <w:tc>
          <w:tcPr>
            <w:tcW w:w="5992" w:type="dxa"/>
            <w:noWrap w:val="0"/>
            <w:vAlign w:val="center"/>
          </w:tcPr>
          <w:p w14:paraId="2B15702F">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民政部关于印发《流浪未成年人需求和家庭监护情况评估规范》的通知</w:t>
            </w:r>
          </w:p>
        </w:tc>
        <w:tc>
          <w:tcPr>
            <w:tcW w:w="3128" w:type="dxa"/>
            <w:noWrap w:val="0"/>
            <w:vAlign w:val="center"/>
          </w:tcPr>
          <w:p w14:paraId="0385CF6D">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2012年9月13日</w:t>
            </w:r>
          </w:p>
          <w:p w14:paraId="1E7E3C92">
            <w:pPr>
              <w:keepNext w:val="0"/>
              <w:keepLines w:val="0"/>
              <w:pageBreakBefore w:val="0"/>
              <w:kinsoku/>
              <w:wordWrap/>
              <w:overflowPunct/>
              <w:topLinePunct w:val="0"/>
              <w:autoSpaceDE/>
              <w:autoSpaceDN/>
              <w:bidi w:val="0"/>
              <w:adjustRightInd/>
              <w:snapToGrid/>
              <w:spacing w:line="400" w:lineRule="exact"/>
              <w:ind w:left="42" w:leftChars="13" w:right="102" w:rightChars="32" w:firstLine="0" w:firstLineChars="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民发〔2012〕158号</w:t>
            </w:r>
          </w:p>
        </w:tc>
      </w:tr>
    </w:tbl>
    <w:p w14:paraId="52A898E4">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480" w:lineRule="exact"/>
        <w:ind w:firstLine="572" w:firstLineChars="200"/>
        <w:jc w:val="both"/>
        <w:textAlignment w:val="auto"/>
        <w:outlineLvl w:val="9"/>
        <w:rPr>
          <w:rFonts w:hint="default" w:ascii="Times New Roman" w:hAnsi="Times New Roman" w:eastAsia="方正仿宋_GBK" w:cs="Times New Roman"/>
          <w:smallCaps w:val="0"/>
          <w:color w:val="auto"/>
          <w:spacing w:val="0"/>
          <w:sz w:val="32"/>
          <w:szCs w:val="32"/>
          <w:highlight w:val="none"/>
          <w:lang w:val="en-US" w:eastAsia="zh-CN" w:bidi="ar-SA"/>
        </w:rPr>
      </w:pPr>
      <w:r>
        <w:rPr>
          <w:rFonts w:hint="eastAsia" w:ascii="方正楷体_GBK" w:hAnsi="方正楷体_GBK" w:eastAsia="方正楷体_GBK" w:cs="方正楷体_GBK"/>
          <w:color w:val="auto"/>
          <w:spacing w:val="-17"/>
          <w:sz w:val="32"/>
          <w:szCs w:val="32"/>
          <w:lang w:val="en-US" w:eastAsia="zh-CN"/>
        </w:rPr>
        <w:t>注：2023年</w:t>
      </w:r>
      <w:r>
        <w:rPr>
          <w:rFonts w:hint="eastAsia" w:ascii="方正楷体_GBK" w:hAnsi="方正楷体_GBK" w:eastAsia="方正楷体_GBK" w:cs="方正楷体_GBK"/>
          <w:color w:val="auto"/>
          <w:spacing w:val="-17"/>
          <w:sz w:val="32"/>
          <w:szCs w:val="32"/>
          <w:lang w:eastAsia="zh-CN"/>
        </w:rPr>
        <w:t>机构改革前以民政部文号制发的属于原优抚安置、救灾救济、医疗救助、基层政权建设社区治理、社会工作、志愿服务业务的规范性文件，由相关部门处理。</w:t>
      </w:r>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9AE585-20C4-4F71-B80E-D539D15CA1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embedRegular r:id="rId2" w:fontKey="{9CFB55A8-301A-4D59-A0E6-692D74B43A68}"/>
  </w:font>
  <w:font w:name="方正小标宋简体">
    <w:panose1 w:val="02000000000000000000"/>
    <w:charset w:val="86"/>
    <w:family w:val="script"/>
    <w:pitch w:val="default"/>
    <w:sig w:usb0="A00002BF" w:usb1="184F6CFA" w:usb2="00000012" w:usb3="00000000" w:csb0="00040001" w:csb1="00000000"/>
    <w:embedRegular r:id="rId3" w:fontKey="{2DC76719-B940-4962-93DC-4F0621C367E3}"/>
  </w:font>
  <w:font w:name="等线">
    <w:panose1 w:val="02010600030101010101"/>
    <w:charset w:val="86"/>
    <w:family w:val="auto"/>
    <w:pitch w:val="default"/>
    <w:sig w:usb0="A00002BF" w:usb1="38CF7CFA" w:usb2="00000016" w:usb3="00000000" w:csb0="0004000F" w:csb1="00000000"/>
  </w:font>
  <w:font w:name="方正楷体_GBK">
    <w:panose1 w:val="02000000000000000000"/>
    <w:charset w:val="86"/>
    <w:family w:val="auto"/>
    <w:pitch w:val="default"/>
    <w:sig w:usb0="800002BF" w:usb1="38CF7CFA" w:usb2="00000016" w:usb3="00000000" w:csb0="00040000" w:csb1="00000000"/>
    <w:embedRegular r:id="rId4" w:fontKey="{E9219D87-8B15-41B5-BE1E-8D530BB30696}"/>
  </w:font>
  <w:font w:name="方正黑体_GBK">
    <w:altName w:val="微软雅黑"/>
    <w:panose1 w:val="02000000000000000000"/>
    <w:charset w:val="86"/>
    <w:family w:val="auto"/>
    <w:pitch w:val="default"/>
    <w:sig w:usb0="00000000" w:usb1="00000000" w:usb2="00000000" w:usb3="00000000" w:csb0="00040000" w:csb1="00000000"/>
    <w:embedRegular r:id="rId5" w:fontKey="{205EBB57-2E9D-4D6B-BDA4-2F466493F9F8}"/>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KSOFEC83043A">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AFBEC">
    <w:pPr>
      <w:pStyle w:val="7"/>
      <w:rPr>
        <w:rFonts w:eastAsia="方正仿宋_GBK"/>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4802EA">
                          <w:pPr>
                            <w:snapToGrid w:val="0"/>
                            <w:ind w:left="0" w:leftChars="0" w:firstLine="0" w:firstLine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364802EA">
                    <w:pPr>
                      <w:snapToGrid w:val="0"/>
                      <w:ind w:left="0" w:leftChars="0" w:firstLine="0" w:firstLine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320"/>
  <w:hyphenationZone w:val="36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8B18F4"/>
    <w:rsid w:val="03C71A42"/>
    <w:rsid w:val="0D8B18F4"/>
    <w:rsid w:val="0E4E5304"/>
    <w:rsid w:val="11A256FB"/>
    <w:rsid w:val="11C23A31"/>
    <w:rsid w:val="12A771A7"/>
    <w:rsid w:val="13EB1DBD"/>
    <w:rsid w:val="15E7507B"/>
    <w:rsid w:val="17543053"/>
    <w:rsid w:val="17E3743F"/>
    <w:rsid w:val="18CF0973"/>
    <w:rsid w:val="1C990377"/>
    <w:rsid w:val="1E2458FF"/>
    <w:rsid w:val="1F142C89"/>
    <w:rsid w:val="1F4F7365"/>
    <w:rsid w:val="1FCD6480"/>
    <w:rsid w:val="2284712E"/>
    <w:rsid w:val="235F5B97"/>
    <w:rsid w:val="242F7169"/>
    <w:rsid w:val="25D3422F"/>
    <w:rsid w:val="296609FB"/>
    <w:rsid w:val="2BF166BD"/>
    <w:rsid w:val="2D190E0B"/>
    <w:rsid w:val="2E8E41F0"/>
    <w:rsid w:val="2EDD5CD8"/>
    <w:rsid w:val="2F37A007"/>
    <w:rsid w:val="2F5B9506"/>
    <w:rsid w:val="309C7661"/>
    <w:rsid w:val="33EC20BE"/>
    <w:rsid w:val="36E70481"/>
    <w:rsid w:val="37D0E5FC"/>
    <w:rsid w:val="37DB4289"/>
    <w:rsid w:val="37DF32B8"/>
    <w:rsid w:val="37F724C9"/>
    <w:rsid w:val="39DFE434"/>
    <w:rsid w:val="3D7D954A"/>
    <w:rsid w:val="3EFB7D01"/>
    <w:rsid w:val="3FED908E"/>
    <w:rsid w:val="41B536F3"/>
    <w:rsid w:val="440C5FB1"/>
    <w:rsid w:val="4CB229E2"/>
    <w:rsid w:val="4D5634F0"/>
    <w:rsid w:val="506F3702"/>
    <w:rsid w:val="55C5E75D"/>
    <w:rsid w:val="56AA353D"/>
    <w:rsid w:val="57FE0118"/>
    <w:rsid w:val="583F13D4"/>
    <w:rsid w:val="59AE084F"/>
    <w:rsid w:val="5B01445B"/>
    <w:rsid w:val="5DBA7ED1"/>
    <w:rsid w:val="5FFD679A"/>
    <w:rsid w:val="5FFFF790"/>
    <w:rsid w:val="67D7F9AB"/>
    <w:rsid w:val="6B4FB08D"/>
    <w:rsid w:val="6BEF9EB0"/>
    <w:rsid w:val="6D9E6164"/>
    <w:rsid w:val="6DFE0ACF"/>
    <w:rsid w:val="6EA56D16"/>
    <w:rsid w:val="6EB1CFFE"/>
    <w:rsid w:val="6EE1F0C8"/>
    <w:rsid w:val="6EFBFAC2"/>
    <w:rsid w:val="6F686A54"/>
    <w:rsid w:val="71BF9DE3"/>
    <w:rsid w:val="737B5760"/>
    <w:rsid w:val="73E82D35"/>
    <w:rsid w:val="74FD067F"/>
    <w:rsid w:val="74FFA1F2"/>
    <w:rsid w:val="75B9B6BE"/>
    <w:rsid w:val="76FDBC17"/>
    <w:rsid w:val="770551D1"/>
    <w:rsid w:val="77E5FC46"/>
    <w:rsid w:val="77F1A6D5"/>
    <w:rsid w:val="77F7B4B4"/>
    <w:rsid w:val="79B7BA9A"/>
    <w:rsid w:val="7ACFB7C3"/>
    <w:rsid w:val="7AFF37D8"/>
    <w:rsid w:val="7B5E2785"/>
    <w:rsid w:val="7BBF6D82"/>
    <w:rsid w:val="7C1F6294"/>
    <w:rsid w:val="7DF81F5F"/>
    <w:rsid w:val="7E354673"/>
    <w:rsid w:val="7E7D6455"/>
    <w:rsid w:val="7EDFB100"/>
    <w:rsid w:val="7F5F8776"/>
    <w:rsid w:val="7F6382AC"/>
    <w:rsid w:val="7F7F0035"/>
    <w:rsid w:val="7F97A8BF"/>
    <w:rsid w:val="7FCCDE42"/>
    <w:rsid w:val="7FE6772E"/>
    <w:rsid w:val="7FE74C83"/>
    <w:rsid w:val="7FFFA6EB"/>
    <w:rsid w:val="8F8F3140"/>
    <w:rsid w:val="9BEF7E14"/>
    <w:rsid w:val="BCF56393"/>
    <w:rsid w:val="BF7CFEC1"/>
    <w:rsid w:val="C5CEB778"/>
    <w:rsid w:val="C77F72F7"/>
    <w:rsid w:val="CA876513"/>
    <w:rsid w:val="CBF97C43"/>
    <w:rsid w:val="CD7FC441"/>
    <w:rsid w:val="D6F27AD0"/>
    <w:rsid w:val="DFC3E7CB"/>
    <w:rsid w:val="DFFFF8B5"/>
    <w:rsid w:val="E73E6759"/>
    <w:rsid w:val="EF572C7B"/>
    <w:rsid w:val="F32B9655"/>
    <w:rsid w:val="F4B792AB"/>
    <w:rsid w:val="F6FEBFB0"/>
    <w:rsid w:val="FBD5214E"/>
    <w:rsid w:val="FBDB64B6"/>
    <w:rsid w:val="FDDFB400"/>
    <w:rsid w:val="FEF77BF3"/>
    <w:rsid w:val="FF2FA7B8"/>
    <w:rsid w:val="FF7541B1"/>
    <w:rsid w:val="FFFFB8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pacing w:line="560" w:lineRule="exact"/>
      <w:ind w:firstLine="561" w:firstLineChars="200"/>
      <w:jc w:val="both"/>
    </w:pPr>
    <w:rPr>
      <w:rFonts w:ascii="方正仿宋_GBK" w:hAnsi="方正仿宋_GBK" w:eastAsia="方正仿宋_GBK" w:cs="方正仿宋_GBK"/>
      <w:kern w:val="2"/>
      <w:sz w:val="32"/>
      <w:szCs w:val="32"/>
      <w:lang w:val="en-US" w:eastAsia="zh-CN" w:bidi="ar-SA"/>
    </w:rPr>
  </w:style>
  <w:style w:type="paragraph" w:styleId="2">
    <w:name w:val="heading 1"/>
    <w:next w:val="1"/>
    <w:qFormat/>
    <w:uiPriority w:val="9"/>
    <w:pPr>
      <w:keepNext/>
      <w:keepLines/>
      <w:spacing w:beforeLines="0" w:beforeAutospacing="0" w:afterLines="0" w:afterAutospacing="0" w:line="700" w:lineRule="exact"/>
      <w:jc w:val="center"/>
      <w:outlineLvl w:val="0"/>
    </w:pPr>
    <w:rPr>
      <w:rFonts w:ascii="Times New Roman" w:hAnsi="Times New Roman" w:eastAsia="方正小标宋简体" w:cs="方正小标宋简体"/>
      <w:kern w:val="44"/>
      <w:sz w:val="44"/>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0"/>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toc 3"/>
    <w:basedOn w:val="1"/>
    <w:next w:val="1"/>
    <w:qFormat/>
    <w:uiPriority w:val="0"/>
    <w:pPr>
      <w:ind w:left="420"/>
    </w:pPr>
    <w:rPr>
      <w:rFonts w:ascii="等线" w:hAnsi="等线" w:eastAsia="等线"/>
      <w:b/>
      <w:sz w:val="30"/>
      <w:szCs w:val="30"/>
    </w:rPr>
  </w:style>
  <w:style w:type="paragraph" w:styleId="7">
    <w:name w:val="footer"/>
    <w:basedOn w:val="1"/>
    <w:unhideWhenUsed/>
    <w:qFormat/>
    <w:uiPriority w:val="0"/>
    <w:pPr>
      <w:tabs>
        <w:tab w:val="center" w:pos="4153"/>
        <w:tab w:val="right" w:pos="8306"/>
      </w:tabs>
      <w:snapToGrid w:val="0"/>
      <w:jc w:val="left"/>
    </w:pPr>
    <w:rPr>
      <w:sz w:val="18"/>
    </w:rPr>
  </w:style>
  <w:style w:type="paragraph" w:styleId="8">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2">
    <w:name w:val="Strong"/>
    <w:basedOn w:val="11"/>
    <w:qFormat/>
    <w:uiPriority w:val="0"/>
    <w:rPr>
      <w:b/>
      <w:bCs/>
    </w:rPr>
  </w:style>
  <w:style w:type="paragraph" w:customStyle="1" w:styleId="13">
    <w:name w:val="样式1"/>
    <w:qFormat/>
    <w:uiPriority w:val="0"/>
    <w:pPr>
      <w:spacing w:line="560" w:lineRule="exact"/>
      <w:ind w:firstLine="561" w:firstLineChars="200"/>
    </w:pPr>
    <w:rPr>
      <w:rFonts w:ascii="Times New Roman" w:hAnsi="Times New Roman" w:eastAsia="方正仿宋_GBK" w:cs="Times New Roman"/>
      <w:sz w:val="32"/>
    </w:rPr>
  </w:style>
  <w:style w:type="paragraph" w:customStyle="1" w:styleId="14">
    <w:name w:val="公文:正文"/>
    <w:basedOn w:val="1"/>
    <w:qFormat/>
    <w:uiPriority w:val="0"/>
    <w:pPr>
      <w:spacing w:line="600" w:lineRule="exact"/>
      <w:ind w:firstLine="720" w:firstLineChars="200"/>
    </w:pPr>
    <w:rPr>
      <w:rFonts w:ascii="方正仿宋_GBK" w:hAnsi="方正仿宋_GBK" w:eastAsia="方正仿宋_GBK"/>
      <w:sz w:val="32"/>
    </w:rPr>
  </w:style>
  <w:style w:type="paragraph" w:customStyle="1" w:styleId="15">
    <w:name w:val="Char Char Char Char Char Char Char"/>
    <w:basedOn w:val="1"/>
    <w:qFormat/>
    <w:uiPriority w:val="0"/>
  </w:style>
  <w:style w:type="paragraph" w:customStyle="1" w:styleId="16">
    <w:name w:val="文件标题"/>
    <w:next w:val="5"/>
    <w:qFormat/>
    <w:uiPriority w:val="0"/>
    <w:pPr>
      <w:widowControl w:val="0"/>
      <w:adjustRightInd w:val="0"/>
      <w:spacing w:line="620" w:lineRule="exact"/>
      <w:jc w:val="center"/>
      <w:textAlignment w:val="baseline"/>
    </w:pPr>
    <w:rPr>
      <w:rFonts w:ascii="方正小标宋简体" w:hAnsi="Times New Roman" w:eastAsia="方正小标宋简体" w:cs="Times New Roman"/>
      <w:b/>
      <w:color w:val="000000"/>
      <w:kern w:val="0"/>
      <w:sz w:val="44"/>
      <w:szCs w:val="4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2</Pages>
  <Words>2708</Words>
  <Characters>3209</Characters>
  <Lines>1</Lines>
  <Paragraphs>1</Paragraphs>
  <TotalTime>38</TotalTime>
  <ScaleCrop>false</ScaleCrop>
  <LinksUpToDate>false</LinksUpToDate>
  <CharactersWithSpaces>3274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2021-05-19T17:21:00Z</dcterms:created>
  <dc:creator>wangqi</dc:creator>
  <cp:lastModifiedBy>Jia</cp:lastModifiedBy>
  <cp:lastPrinted>2024-05-18T17:31:00Z</cp:lastPrinted>
  <dcterms:modified xsi:type="dcterms:W3CDTF">2026-07-23T06:22:11Z</dcterms:modified>
  <dc:title>关于2020年年度考核有关情况的报告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F197ABD92A2248BC9F832DA77F2345C6_13</vt:lpwstr>
  </property>
  <property fmtid="{D5CDD505-2E9C-101B-9397-08002B2CF9AE}" pid="4" name="KSOTemplateDocerSaveRecord">
    <vt:lpwstr>eyJoZGlkIjoiNGUxNWJjYTM4M2FkYWIxMjk4YjBkY2JmNWZkNzM2NTYiLCJ1c2VySWQiOiIyNjg1NzM1NjYifQ==</vt:lpwstr>
  </property>
</Properties>
</file>