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rPr>
          <w:rFonts w:ascii="Times New Roman" w:hAnsi="Times New Roman" w:eastAsia="黑体" w:cs="Times New Roman"/>
          <w:sz w:val="32"/>
          <w:szCs w:val="32"/>
        </w:rPr>
      </w:pPr>
      <w:bookmarkStart w:id="1" w:name="_GoBack"/>
      <w:bookmarkEnd w:id="1"/>
      <w:r>
        <w:rPr>
          <w:rFonts w:ascii="Times New Roman" w:hAnsi="Times New Roman" w:eastAsia="黑体" w:cs="Times New Roman"/>
          <w:sz w:val="32"/>
          <w:szCs w:val="32"/>
        </w:rPr>
        <w:t>附件1</w:t>
      </w:r>
    </w:p>
    <w:p>
      <w:pPr>
        <w:overflowPunct w:val="0"/>
        <w:adjustRightInd w:val="0"/>
        <w:snapToGrid w:val="0"/>
        <w:spacing w:after="291" w:afterLines="50" w:line="660" w:lineRule="exact"/>
        <w:jc w:val="center"/>
        <w:rPr>
          <w:rFonts w:ascii="Times New Roman" w:hAnsi="Times New Roman" w:eastAsia="方正小标宋简体" w:cs="Times New Roman"/>
          <w:color w:val="auto"/>
          <w:sz w:val="44"/>
          <w:szCs w:val="44"/>
          <w:highlight w:val="none"/>
        </w:rPr>
      </w:pPr>
      <w:r>
        <w:rPr>
          <w:rFonts w:ascii="Times New Roman" w:hAnsi="Times New Roman" w:eastAsia="方正小标宋简体" w:cs="Times New Roman"/>
          <w:color w:val="auto"/>
          <w:sz w:val="44"/>
          <w:szCs w:val="44"/>
          <w:highlight w:val="none"/>
        </w:rPr>
        <w:t>202</w:t>
      </w:r>
      <w:r>
        <w:rPr>
          <w:rFonts w:hint="default" w:ascii="Times New Roman" w:hAnsi="Times New Roman" w:eastAsia="方正小标宋简体" w:cs="Times New Roman"/>
          <w:color w:val="auto"/>
          <w:sz w:val="44"/>
          <w:szCs w:val="44"/>
          <w:highlight w:val="none"/>
        </w:rPr>
        <w:t>6</w:t>
      </w:r>
      <w:r>
        <w:rPr>
          <w:rFonts w:ascii="Times New Roman" w:hAnsi="Times New Roman" w:eastAsia="方正小标宋简体" w:cs="Times New Roman"/>
          <w:color w:val="auto"/>
          <w:sz w:val="44"/>
          <w:szCs w:val="44"/>
          <w:highlight w:val="none"/>
        </w:rPr>
        <w:t>年开展统计分析的强制性国家标准清单</w:t>
      </w:r>
    </w:p>
    <w:tbl>
      <w:tblPr>
        <w:tblStyle w:val="4"/>
        <w:tblW w:w="13427" w:type="dxa"/>
        <w:jc w:val="center"/>
        <w:tblInd w:w="0" w:type="dxa"/>
        <w:tblLayout w:type="fixed"/>
        <w:tblCellMar>
          <w:top w:w="49" w:type="dxa"/>
          <w:left w:w="108" w:type="dxa"/>
          <w:bottom w:w="49" w:type="dxa"/>
          <w:right w:w="108" w:type="dxa"/>
        </w:tblCellMar>
      </w:tblPr>
      <w:tblGrid>
        <w:gridCol w:w="789"/>
        <w:gridCol w:w="2247"/>
        <w:gridCol w:w="6144"/>
        <w:gridCol w:w="2133"/>
        <w:gridCol w:w="2114"/>
      </w:tblGrid>
      <w:tr>
        <w:tblPrEx>
          <w:tblLayout w:type="fixed"/>
          <w:tblCellMar>
            <w:top w:w="49" w:type="dxa"/>
            <w:left w:w="108" w:type="dxa"/>
            <w:bottom w:w="49" w:type="dxa"/>
            <w:right w:w="108" w:type="dxa"/>
          </w:tblCellMar>
        </w:tblPrEx>
        <w:trPr>
          <w:trHeight w:val="285" w:hRule="atLeast"/>
          <w:tblHeader/>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黑体" w:cs="Times New Roman"/>
                <w:i w:val="0"/>
                <w:iCs w:val="0"/>
                <w:color w:val="auto"/>
                <w:kern w:val="0"/>
                <w:sz w:val="24"/>
                <w:szCs w:val="24"/>
                <w:u w:val="none"/>
                <w:lang w:val="en-US" w:eastAsia="zh-CN" w:bidi="ar"/>
              </w:rPr>
            </w:pPr>
            <w:r>
              <w:rPr>
                <w:rFonts w:hint="default" w:ascii="Times New Roman" w:hAnsi="Times New Roman" w:eastAsia="黑体" w:cs="Times New Roman"/>
                <w:i w:val="0"/>
                <w:iCs w:val="0"/>
                <w:color w:val="auto"/>
                <w:kern w:val="0"/>
                <w:sz w:val="24"/>
                <w:szCs w:val="24"/>
                <w:u w:val="none"/>
                <w:lang w:val="en-US" w:eastAsia="zh-CN" w:bidi="ar"/>
              </w:rPr>
              <w:t>序号</w:t>
            </w:r>
          </w:p>
        </w:tc>
        <w:tc>
          <w:tcPr>
            <w:tcW w:w="2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黑体" w:cs="Times New Roman"/>
                <w:i w:val="0"/>
                <w:iCs w:val="0"/>
                <w:color w:val="auto"/>
                <w:kern w:val="0"/>
                <w:sz w:val="24"/>
                <w:szCs w:val="24"/>
                <w:u w:val="none"/>
                <w:lang w:val="en-US" w:eastAsia="zh-CN" w:bidi="ar"/>
              </w:rPr>
            </w:pPr>
            <w:r>
              <w:rPr>
                <w:rFonts w:hint="default" w:ascii="Times New Roman" w:hAnsi="Times New Roman" w:eastAsia="黑体" w:cs="Times New Roman"/>
                <w:i w:val="0"/>
                <w:iCs w:val="0"/>
                <w:color w:val="auto"/>
                <w:kern w:val="0"/>
                <w:sz w:val="24"/>
                <w:szCs w:val="24"/>
                <w:u w:val="none"/>
                <w:lang w:val="en-US" w:eastAsia="zh-CN" w:bidi="ar"/>
              </w:rPr>
              <w:t>标准号</w:t>
            </w:r>
          </w:p>
        </w:tc>
        <w:tc>
          <w:tcPr>
            <w:tcW w:w="61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eastAsia"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标准名称</w:t>
            </w:r>
          </w:p>
        </w:tc>
        <w:tc>
          <w:tcPr>
            <w:tcW w:w="21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eastAsia"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归口管理部门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eastAsia"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实施日期</w:t>
            </w:r>
          </w:p>
        </w:tc>
      </w:tr>
      <w:tr>
        <w:tblPrEx>
          <w:tblLayout w:type="fixed"/>
          <w:tblCellMar>
            <w:top w:w="49" w:type="dxa"/>
            <w:left w:w="108" w:type="dxa"/>
            <w:bottom w:w="49" w:type="dxa"/>
            <w:right w:w="108" w:type="dxa"/>
          </w:tblCellMar>
        </w:tblPrEx>
        <w:trPr>
          <w:trHeight w:val="573"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14922—2022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实验动物 微生物、寄生虫学等级及监测</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科技部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14923—2022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实验动物 遗传质量控制</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科技部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4943.1—2022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音视频、信息技术和通信技术设备 第1部分：安全要求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9656—2021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机动车玻璃安全技术规范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11614—2022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平板玻璃</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15084—2022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机动车辆 间接视野装置 性能和安装要求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16897—2022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制动软管的结构、性能要求及试验方法</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8</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18030—2022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信息技术 中文编码字符集</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9</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19239—2022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燃气汽车燃气系统安装规范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10</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23350—2021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限制商品过度包装要求 食品和化妆品</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2023年9月1日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11</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42296—2022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电动自行车用充电器安全技术要求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12</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811—2022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摩托车、电动自行车乘员头盔</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公安部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13</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42250—2022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信息安全技术 网络安全专用产品安全技术要求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公安部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14</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18597—2023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危险废物贮存污染控制标准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15</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26453—2022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玻璃工业大气污染物排放标准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16</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41616—2022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印刷工业大气污染物排放标准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17</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41617—2022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矿物棉工业大气污染物排放标准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18</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41618—2022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石灰、电石工业大气污染物排放标准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19</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41930—2022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低水平放射性废物包特性鉴定 水泥固化体</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20</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5863—2022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内河助航标志</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21</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12708—2020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航标灯光信号颜色</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22</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13851—2022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内河交通安全标志</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23</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16557—2023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船用救生设备安全标志</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24</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16994.7—2022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港口作业安全要求 第7部分 水泥</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25</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18180—2022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液化气体船舶安全作业要求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26</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18434—2022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油船在港作业安全要求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27</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18436—2022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轮机日志和车钟记录簿</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28</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29743.1—2022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机动车冷却液 第1部分：燃油汽车发动机冷却液</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29</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41730—2022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油船清洗舱安全作业要求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30</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41731—2022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船用气胀式救生衣</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31</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41847—2022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港口防雷与接地技术要求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2023年3月1日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32</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42234—2022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油船静电安全技术要求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33</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42283—2022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液化天然气燃料水上加注作业安全规程</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34</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7300.902—2022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饲料添加剂 第9部分：着色剂 β，β-胡萝卜素-4,4-二酮 （斑蝥黄）</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农业农村部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35</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7300.1002—2022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饲料添加剂 第10部分：调味和诱食物质 大蒜素</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农业农村部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36</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15603—2022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危险化学品仓库储存通则</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应急管理部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37</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40560—2021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人民币现金机具鉴别能力技术规范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中国人民银行</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38</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5842—2023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液化石油气钢瓶</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市场监管总局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39</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7512—2023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液化石油气瓶阀</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市场监管总局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40</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17799.4—2022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电磁兼容 通用标准 第4部分：工业环境中的发射</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国家标准委</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2023年11月1日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41</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28379—2022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便器冲洗阀水效限定值及水效等级</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国家标准委</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42</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1351—2023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小麦</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国家粮食和储备局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43</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1352—2023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大豆</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国家粮食和储备局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44</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5749—2022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生活饮用水卫生标准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国家疾控局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2023年4月1日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45</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16883—2022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鼠疫自然疫源地及动物鼠疫流行判定</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国家疾控局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2023年4月1日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46</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9706.1—2020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第1部分：基本安全和基本性能的通用要求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1306"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47</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9706.103—2020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第1-3部分：基本安全和基本性能的通用要求 并列标准：诊断X射线设备的辐射防护</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1382"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48</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9706.201—2020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第2-1部分：能量为1MeV至50MeV电子加速器基本安全和基本性能专用要求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1459"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49</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9706.202—2021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第2-2部分：高频手术设备及高频附件的基本安全和基本性能专用要求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50</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9706.203—2020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第2-3部分：短波治疗设备的基本安全和基本性能专用要求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51</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9706.205—2020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第2-5部分：超声理疗设备的基本安全和基本性能专用要求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52</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9706.206—2020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第2-6部分：微波治疗设备的基本安全和基本性能专用要求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53</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9706.208—2021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第2-8部分：能量为10kV至1MV 治疗X射线设备的基本安全和基本性能专用要求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54</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9706.211—2020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第2-11部分：γ射束治疗设备的基本安全和基本性能专用要求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55</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9706.212—2020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第2-12部分：重症护理呼吸机的基本安全和基本性能专用要求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56</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9706.213—2021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第2-13部分：麻醉工作站的基本安全和基本性能专用要求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57</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9706.216—2021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第2-16部分：血液透析、血液透析滤过和血液滤过设备的基本安全和基本性能专用要求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58</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9706.217—2020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第2-17部分：自动控制式近距离治疗后装设备的基本安全和基本性能专用要求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59</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9706.218—2021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第2-18部分：内窥镜设备的基本安全和基本性能专用要求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60</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9706.219—2021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第2-19部分：婴儿培养箱的基本安全和基本性能专用要求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61</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9706.224—2021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第2-24部分：输液泵和输液控制器的基本安全和基本性能专用要求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62</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9706.225—2021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第2-25部分：心电图机的基本安全和基本性能专用要求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63</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9706.226—2021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第2-26部分：脑电图机的基本安全和基本性能专用要求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64</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9706.227—2021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第2-27部分：心电监护设备的基本安全和基本性能专用要求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65</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9706.228—2020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第2-28部分：医用诊断X射线管组件的基本安全和基本性能专用要求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66</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9706.229—2021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第2-29部分：放射治疗模拟机的基本安全和基本性能专用要求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67</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9706.236—2021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第2-36部分：体外引发碎石设备的基本安全和基本性能专用要求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68</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9706.237—2020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第2-37部分：超声诊断和监护设备的基本安全和基本性能专用要求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69</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9706.239—2021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第2-39部分：腹膜透析设备的基本安全和基本性能专用要求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70</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9706.243—2021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第2-43部分：介入操作X射线设备的基本安全和基本性能专用要求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71</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9706.244—2020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第2-44部分：X射线计算机体层摄影设备的基本安全和基本性能专用要求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72</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9706.245—2020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第2-45部分：乳腺X射线摄影设备和乳腺摄影立体定位装置的基本安全和基本性能专用要求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73</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9706.254—2020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第2-54部分：X射线摄影和透视设备的基本安全和基本性能专用要求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74</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9706.260—2020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第2-60部分：牙科设备的基本安全和基本性能专用要求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75</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9706.263—2020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第2-63部分：口外成像牙科X射线机基本安全和基本性能专用要求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76</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9706.265—2021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第2-65部分：口内成像牙科X射线机的基本安全和基本性能专用要求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77</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14232.4—2021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人体血液及血液成分袋式塑料容器 第4部分：含特殊组件的单采血袋系统</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2023年6月1日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78</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12319—2022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中国海图图式</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海军</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79</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12320—2022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中国航海图编绘规范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海军</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tblPrEx>
          <w:tblLayout w:type="fixed"/>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80</w:t>
            </w:r>
          </w:p>
        </w:tc>
        <w:tc>
          <w:tcPr>
            <w:tcW w:w="22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12327—2022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left"/>
              <w:textAlignment w:val="center"/>
              <w:rPr>
                <w:rFonts w:hint="eastAsia"/>
                <w:sz w:val="21"/>
                <w:szCs w:val="24"/>
                <w:lang w:val="en-US" w:eastAsia="zh-CN"/>
              </w:rPr>
            </w:pPr>
            <w:r>
              <w:rPr>
                <w:rFonts w:hint="eastAsia" w:ascii="Times New Roman" w:hAnsi="Times New Roman" w:eastAsia="仿宋_GB2312" w:cs="仿宋_GB2312"/>
                <w:i w:val="0"/>
                <w:iCs w:val="0"/>
                <w:color w:val="000000"/>
                <w:kern w:val="0"/>
                <w:sz w:val="24"/>
                <w:szCs w:val="24"/>
                <w:u w:val="none"/>
                <w:lang w:val="en-US" w:eastAsia="zh-CN" w:bidi="ar"/>
              </w:rPr>
              <w:t>海道测量规范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海军</w:t>
            </w:r>
          </w:p>
        </w:tc>
        <w:tc>
          <w:tcPr>
            <w:tcW w:w="21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bl>
    <w:p>
      <w:pPr>
        <w:rPr>
          <w:rFonts w:ascii="Times New Roman" w:hAnsi="Times New Roman" w:eastAsia="黑体" w:cs="Times New Roman"/>
          <w:sz w:val="32"/>
          <w:szCs w:val="32"/>
        </w:rPr>
        <w:sectPr>
          <w:footerReference r:id="rId3" w:type="default"/>
          <w:footerReference r:id="rId4" w:type="even"/>
          <w:pgSz w:w="16838" w:h="11906" w:orient="landscape"/>
          <w:pgMar w:top="1531" w:right="2041" w:bottom="1531" w:left="2098" w:header="851" w:footer="1191" w:gutter="0"/>
          <w:pgBorders>
            <w:top w:val="none" w:sz="0" w:space="0"/>
            <w:left w:val="none" w:sz="0" w:space="0"/>
            <w:bottom w:val="none" w:sz="0" w:space="0"/>
            <w:right w:val="none" w:sz="0" w:space="0"/>
          </w:pgBorders>
          <w:pgNumType w:fmt="decimal"/>
          <w:cols w:space="720" w:num="1"/>
          <w:rtlGutter w:val="0"/>
          <w:docGrid w:type="linesAndChars" w:linePitch="577" w:charSpace="-849"/>
        </w:sect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方正舒体"/>
    <w:panose1 w:val="02000000000000000000"/>
    <w:charset w:val="86"/>
    <w:family w:val="script"/>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bidi w:val="0"/>
      <w:rPr>
        <w:rFonts w:hint="eastAsia"/>
      </w:rPr>
    </w:pPr>
    <w:r>
      <mc:AlternateContent>
        <mc:Choice Requires="wps">
          <w:drawing>
            <wp:anchor distT="0" distB="0" distL="114300" distR="114300" simplePos="0" relativeHeight="251659264" behindDoc="0" locked="0" layoutInCell="1" allowOverlap="1">
              <wp:simplePos x="0" y="0"/>
              <wp:positionH relativeFrom="page">
                <wp:posOffset>8227695</wp:posOffset>
              </wp:positionH>
              <wp:positionV relativeFrom="page">
                <wp:posOffset>6710680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tabs>
                              <w:tab w:val="center" w:pos="4153"/>
                              <w:tab w:val="right" w:pos="8306"/>
                            </w:tabs>
                            <w:rPr>
                              <w:rFonts w:ascii="宋体" w:hAnsi="宋体" w:eastAsia="宋体"/>
                              <w:sz w:val="28"/>
                            </w:rPr>
                          </w:pPr>
                          <w:bookmarkStart w:id="0" w:name="_RB5RMXPBX0X43_PageNum"/>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bookmarkEnd w:id="0"/>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left:647.85pt;margin-top:528.4pt;height:144pt;width:144pt;mso-position-horizontal-relative:page;mso-position-vertical-relative:page;mso-wrap-style:none;z-index:251659264;mso-width-relative:page;mso-height-relative:page;" filled="f" stroked="f" coordsize="21600,21600" o:gfxdata="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9PPlFNoAAAAPAQAADwAAAAAAAAAB&#10;ACAAAAAiAAAAZHJzL2Rvd25yZXYueG1sUEsBAhQAFAAAAAgAh07iQIODwKvVAQAAkgMAAA4AAAAA&#10;AAAAAQAgAAAAKQEAAGRycy9lMm9Eb2MueG1sUEsFBgAAAAAGAAYAWQEAAHAFAAAAAA==&#10;">
              <v:fill on="f" focussize="0,0"/>
              <v:stroke on="f" weight="1.25pt"/>
              <v:imagedata o:title=""/>
              <o:lock v:ext="edit" aspectratio="f"/>
              <v:textbox inset="16pt,0mm,16pt,0mm" style="mso-fit-shape-to-text:t;">
                <w:txbxContent>
                  <w:p>
                    <w:pPr>
                      <w:tabs>
                        <w:tab w:val="center" w:pos="4153"/>
                        <w:tab w:val="right" w:pos="8306"/>
                      </w:tabs>
                      <w:rPr>
                        <w:rFonts w:ascii="宋体" w:hAnsi="宋体" w:eastAsia="宋体"/>
                        <w:sz w:val="28"/>
                      </w:rPr>
                    </w:pPr>
                    <w:bookmarkStart w:id="0" w:name="_RB5RMXPBX0X43_PageNum"/>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bookmarkEnd w:id="0"/>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tabs>
        <w:tab w:val="center" w:pos="4153"/>
        <w:tab w:val="right" w:pos="8306"/>
      </w:tabs>
      <w:kinsoku/>
      <w:wordWrap/>
      <w:overflowPunct w:val="0"/>
      <w:topLinePunct w:val="0"/>
      <w:autoSpaceDE w:val="0"/>
      <w:autoSpaceDN w:val="0"/>
      <w:bidi w:val="0"/>
      <w:adjustRightInd w:val="0"/>
      <w:snapToGrid/>
      <w:spacing w:line="471" w:lineRule="auto"/>
      <w:ind w:left="320" w:leftChars="100" w:right="0" w:rightChars="0" w:firstLine="0" w:firstLineChars="0"/>
      <w:jc w:val="left"/>
      <w:textAlignment w:val="baseline"/>
      <w:outlineLvl w:val="9"/>
      <w:rPr>
        <w:rFonts w:hint="eastAsia" w:ascii="宋体" w:hAnsi="宋体" w:eastAsia="宋体"/>
        <w:sz w:val="28"/>
      </w:rPr>
    </w:pPr>
    <w:r>
      <w:rPr>
        <w:sz w:val="28"/>
      </w:rPr>
      <mc:AlternateContent>
        <mc:Choice Requires="wps">
          <w:drawing>
            <wp:anchor distT="0" distB="0" distL="114300" distR="114300" simplePos="0" relativeHeight="251658240" behindDoc="0" locked="0" layoutInCell="1" allowOverlap="1">
              <wp:simplePos x="0" y="0"/>
              <wp:positionH relativeFrom="column">
                <wp:posOffset>92075</wp:posOffset>
              </wp:positionH>
              <wp:positionV relativeFrom="paragraph">
                <wp:posOffset>15240</wp:posOffset>
              </wp:positionV>
              <wp:extent cx="1742440" cy="342900"/>
              <wp:effectExtent l="0" t="0" r="10160" b="0"/>
              <wp:wrapNone/>
              <wp:docPr id="4" name="文本框 4"/>
              <wp:cNvGraphicFramePr/>
              <a:graphic xmlns:a="http://schemas.openxmlformats.org/drawingml/2006/main">
                <a:graphicData uri="http://schemas.microsoft.com/office/word/2010/wordprocessingShape">
                  <wps:wsp>
                    <wps:cNvSpPr txBox="1"/>
                    <wps:spPr>
                      <a:xfrm>
                        <a:off x="0" y="0"/>
                        <a:ext cx="1742440" cy="342900"/>
                      </a:xfrm>
                      <a:prstGeom prst="rect">
                        <a:avLst/>
                      </a:prstGeom>
                      <a:gradFill rotWithShape="0">
                        <a:gsLst>
                          <a:gs pos="0">
                            <a:srgbClr val="FFFFFF"/>
                          </a:gs>
                          <a:gs pos="100000">
                            <a:srgbClr val="FFFFFF"/>
                          </a:gs>
                        </a:gsLst>
                        <a:lin ang="0"/>
                        <a:tileRect/>
                      </a:gradFill>
                      <a:ln w="15875">
                        <a:noFill/>
                      </a:ln>
                      <a:effectLst/>
                    </wps:spPr>
                    <wps:txbx>
                      <w:txbxContent>
                        <w:p>
                          <w:pPr>
                            <w:jc w:val="left"/>
                            <w:rPr>
                              <w:rFonts w:hint="eastAsia" w:ascii="宋体" w:hAnsi="宋体" w:eastAsia="宋体" w:cs="宋体"/>
                            </w:rPr>
                          </w:pPr>
                          <w:r>
                            <w:rPr>
                              <w:rFonts w:hint="eastAsia" w:ascii="宋体" w:hAnsi="宋体" w:eastAsia="宋体" w:cs="宋体"/>
                              <w:sz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rPr>
                            <w:t>3</w:t>
                          </w:r>
                          <w:r>
                            <w:rPr>
                              <w:rFonts w:hint="eastAsia" w:ascii="宋体" w:hAnsi="宋体" w:eastAsia="宋体" w:cs="宋体"/>
                              <w:sz w:val="28"/>
                              <w:szCs w:val="28"/>
                            </w:rPr>
                            <w:fldChar w:fldCharType="end"/>
                          </w:r>
                          <w:r>
                            <w:rPr>
                              <w:rFonts w:hint="eastAsia" w:ascii="宋体" w:hAnsi="宋体" w:eastAsia="宋体" w:cs="宋体"/>
                              <w:sz w:val="28"/>
                            </w:rPr>
                            <w:t xml:space="preserve"> —</w:t>
                          </w:r>
                        </w:p>
                      </w:txbxContent>
                    </wps:txbx>
                    <wps:bodyPr vert="horz" wrap="square" anchor="t" anchorCtr="0" upright="1"/>
                  </wps:wsp>
                </a:graphicData>
              </a:graphic>
            </wp:anchor>
          </w:drawing>
        </mc:Choice>
        <mc:Fallback>
          <w:pict>
            <v:shape id="_x0000_s1026" o:spid="_x0000_s1026" o:spt="202" type="#_x0000_t202" style="position:absolute;left:0pt;margin-left:7.25pt;margin-top:1.2pt;height:27pt;width:137.2pt;z-index:251658240;mso-width-relative:page;mso-height-relative:page;" fillcolor="#FFFFFF" filled="t" stroked="f" coordsize="21600,21600" o:gfxdata="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gLstjXAAAABwEAAA8AAAAAAAAAAQAgAAAAIgAAAGRycy9k&#10;b3ducmV2LnhtbFBLAQIUABQAAAAIAIdO4kBNJRDpAwIAAPsDAAAOAAAAAAAAAAEAIAAAACYBAABk&#10;cnMvZTJvRG9jLnhtbFBLBQYAAAAABgAGAFkBAACbBQAAAAA=&#10;">
              <v:fill type="gradient" on="t" color2="#FFFFFF" angle="90" focus="100%" focussize="0,0">
                <o:fill type="gradientUnscaled" v:ext="backwardCompatible"/>
              </v:fill>
              <v:stroke on="f" weight="1.25pt"/>
              <v:imagedata o:title=""/>
              <o:lock v:ext="edit" aspectratio="f"/>
              <v:textbox>
                <w:txbxContent>
                  <w:p>
                    <w:pPr>
                      <w:jc w:val="left"/>
                      <w:rPr>
                        <w:rFonts w:hint="eastAsia" w:ascii="宋体" w:hAnsi="宋体" w:eastAsia="宋体" w:cs="宋体"/>
                      </w:rPr>
                    </w:pPr>
                    <w:r>
                      <w:rPr>
                        <w:rFonts w:hint="eastAsia" w:ascii="宋体" w:hAnsi="宋体" w:eastAsia="宋体" w:cs="宋体"/>
                        <w:sz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rPr>
                      <w:t>3</w:t>
                    </w:r>
                    <w:r>
                      <w:rPr>
                        <w:rFonts w:hint="eastAsia" w:ascii="宋体" w:hAnsi="宋体" w:eastAsia="宋体" w:cs="宋体"/>
                        <w:sz w:val="28"/>
                        <w:szCs w:val="28"/>
                      </w:rPr>
                      <w:fldChar w:fldCharType="end"/>
                    </w:r>
                    <w:r>
                      <w:rPr>
                        <w:rFonts w:hint="eastAsia" w:ascii="宋体" w:hAnsi="宋体" w:eastAsia="宋体" w:cs="宋体"/>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1FBCC7B"/>
    <w:rsid w:val="1347417C"/>
    <w:rsid w:val="F1FBCC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spacing w:line="240" w:lineRule="auto"/>
      <w:jc w:val="both"/>
    </w:pPr>
    <w:rPr>
      <w:rFonts w:ascii="Times New Roman" w:hAnsi="Times New Roman" w:eastAsia="仿宋_GB2312" w:cs="Times New Roman"/>
      <w:spacing w:val="0"/>
      <w:kern w:val="2"/>
      <w:sz w:val="32"/>
      <w:szCs w:val="3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Style w:val="4"/>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Calibri" w:hAnsi="Calibr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2026-07-24T09:54:00Z</dcterms:created>
  <dc:creator>oa</dc:creator>
  <cp:lastModifiedBy>HHH</cp:lastModifiedBy>
  <dcterms:modified xsi:type="dcterms:W3CDTF">2026-07-28T01:26:55Z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9770CBEE018E057CD8C5626A1D6AB7F0</vt:lpwstr>
  </property>
</Properties>
</file>