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color w:val="000000"/>
          <w:kern w:val="0"/>
          <w:sz w:val="32"/>
          <w:szCs w:val="32"/>
          <w:lang w:val="en-US" w:eastAsia="zh-CN" w:bidi="ar"/>
        </w:rPr>
      </w:pPr>
      <w:bookmarkStart w:id="0" w:name="_GoBack"/>
      <w:bookmarkEnd w:id="0"/>
      <w:r>
        <w:rPr>
          <w:rFonts w:hint="eastAsia" w:ascii="黑体" w:hAnsi="黑体" w:eastAsia="黑体" w:cs="黑体"/>
          <w:color w:val="000000"/>
          <w:kern w:val="0"/>
          <w:sz w:val="32"/>
          <w:szCs w:val="32"/>
          <w:lang w:eastAsia="zh-CN" w:bidi="ar"/>
        </w:rPr>
        <w:t>附件</w:t>
      </w:r>
      <w:r>
        <w:rPr>
          <w:rFonts w:hint="eastAsia" w:ascii="黑体" w:hAnsi="黑体" w:eastAsia="黑体" w:cs="黑体"/>
          <w:color w:val="000000"/>
          <w:kern w:val="0"/>
          <w:sz w:val="32"/>
          <w:szCs w:val="32"/>
          <w:lang w:val="en-US" w:eastAsia="zh-CN" w:bidi="ar"/>
        </w:rPr>
        <w:t>4</w:t>
      </w:r>
    </w:p>
    <w:p>
      <w:pPr>
        <w:jc w:val="center"/>
        <w:rPr>
          <w:rFonts w:hint="eastAsia" w:ascii="仿宋_GB2312" w:hAnsi="仿宋_GB2312" w:eastAsia="仿宋_GB2312" w:cs="仿宋_GB2312"/>
          <w:sz w:val="32"/>
          <w:szCs w:val="32"/>
        </w:rPr>
      </w:pPr>
      <w:r>
        <w:rPr>
          <w:rFonts w:hint="eastAsia" w:ascii="方正小标宋_GBK" w:hAnsi="方正小标宋_GBK" w:eastAsia="方正小标宋_GBK" w:cs="方正小标宋_GBK"/>
          <w:color w:val="000000"/>
          <w:kern w:val="0"/>
          <w:sz w:val="32"/>
          <w:szCs w:val="32"/>
          <w:lang w:bidi="ar"/>
        </w:rPr>
        <w:t>离岸信托清算个人所得税纳税申报表</w:t>
      </w:r>
    </w:p>
    <w:tbl>
      <w:tblPr>
        <w:tblStyle w:val="5"/>
        <w:tblW w:w="8305" w:type="dxa"/>
        <w:tblInd w:w="108" w:type="dxa"/>
        <w:tblLayout w:type="fixed"/>
        <w:tblCellMar>
          <w:top w:w="0" w:type="dxa"/>
          <w:left w:w="108" w:type="dxa"/>
          <w:bottom w:w="0" w:type="dxa"/>
          <w:right w:w="108" w:type="dxa"/>
        </w:tblCellMar>
      </w:tblPr>
      <w:tblGrid>
        <w:gridCol w:w="1734"/>
        <w:gridCol w:w="1909"/>
        <w:gridCol w:w="1454"/>
        <w:gridCol w:w="3208"/>
      </w:tblGrid>
      <w:tr>
        <w:tblPrEx>
          <w:tblLayout w:type="fixed"/>
          <w:tblCellMar>
            <w:top w:w="0" w:type="dxa"/>
            <w:left w:w="108" w:type="dxa"/>
            <w:bottom w:w="0" w:type="dxa"/>
            <w:right w:w="108" w:type="dxa"/>
          </w:tblCellMar>
        </w:tblPrEx>
        <w:trPr>
          <w:trHeight w:val="270" w:hRule="atLeast"/>
        </w:trPr>
        <w:tc>
          <w:tcPr>
            <w:tcW w:w="5097" w:type="dxa"/>
            <w:gridSpan w:val="3"/>
            <w:tcBorders>
              <w:top w:val="nil"/>
              <w:left w:val="nil"/>
              <w:bottom w:val="nil"/>
              <w:right w:val="nil"/>
            </w:tcBorders>
            <w:noWrap/>
            <w:tcMar>
              <w:left w:w="108" w:type="dxa"/>
              <w:right w:w="108" w:type="dxa"/>
            </w:tcMar>
            <w:vAlign w:val="bottom"/>
          </w:tcPr>
          <w:p>
            <w:pPr>
              <w:jc w:val="both"/>
              <w:rPr>
                <w:rFonts w:hint="eastAsia" w:ascii="宋体" w:hAnsi="宋体" w:cs="宋体"/>
                <w:color w:val="000000"/>
                <w:sz w:val="22"/>
                <w:szCs w:val="22"/>
              </w:rPr>
            </w:pPr>
            <w:r>
              <w:rPr>
                <w:rFonts w:hint="eastAsia" w:ascii="宋体" w:hAnsi="宋体" w:cs="宋体"/>
                <w:color w:val="000000"/>
                <w:kern w:val="0"/>
                <w:sz w:val="22"/>
                <w:szCs w:val="22"/>
                <w:lang w:bidi="ar"/>
              </w:rPr>
              <w:t>税款所属期：   年   月   日 至   年   月   日</w:t>
            </w:r>
          </w:p>
        </w:tc>
        <w:tc>
          <w:tcPr>
            <w:tcW w:w="3208" w:type="dxa"/>
            <w:tcBorders>
              <w:top w:val="nil"/>
              <w:left w:val="nil"/>
              <w:bottom w:val="nil"/>
              <w:right w:val="nil"/>
            </w:tcBorders>
            <w:noWrap/>
            <w:tcMar>
              <w:left w:w="108" w:type="dxa"/>
              <w:right w:w="108" w:type="dxa"/>
            </w:tcMar>
            <w:vAlign w:val="bottom"/>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1640" w:hRule="atLeast"/>
        </w:trPr>
        <w:tc>
          <w:tcPr>
            <w:tcW w:w="3643" w:type="dxa"/>
            <w:gridSpan w:val="2"/>
            <w:tcBorders>
              <w:top w:val="nil"/>
              <w:left w:val="nil"/>
              <w:bottom w:val="nil"/>
              <w:right w:val="nil"/>
            </w:tcBorders>
            <w:noWrap/>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清算类型</w:t>
            </w:r>
          </w:p>
        </w:tc>
        <w:tc>
          <w:tcPr>
            <w:tcW w:w="4662" w:type="dxa"/>
            <w:gridSpan w:val="2"/>
            <w:tcBorders>
              <w:top w:val="nil"/>
              <w:left w:val="nil"/>
              <w:bottom w:val="nil"/>
              <w:right w:val="nil"/>
            </w:tcBorders>
            <w:noWrap w:val="0"/>
            <w:tcMar>
              <w:left w:w="108" w:type="dxa"/>
              <w:right w:w="108" w:type="dxa"/>
            </w:tcMar>
            <w:vAlign w:val="bottom"/>
          </w:tcPr>
          <w:p>
            <w:pPr>
              <w:widowControl/>
              <w:jc w:val="left"/>
              <w:textAlignment w:val="bottom"/>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 xml:space="preserve">□离岸信托终止            </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eastAsia="zh-CN" w:bidi="ar"/>
              </w:rPr>
              <w:t>离岸</w:t>
            </w:r>
            <w:r>
              <w:rPr>
                <w:rFonts w:hint="eastAsia" w:ascii="宋体" w:hAnsi="宋体" w:cs="宋体"/>
                <w:color w:val="000000"/>
                <w:kern w:val="0"/>
                <w:sz w:val="22"/>
                <w:szCs w:val="22"/>
                <w:lang w:bidi="ar"/>
              </w:rPr>
              <w:t>信托终止日期：  年  月  日</w:t>
            </w:r>
          </w:p>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eastAsia="zh-CN" w:bidi="ar"/>
              </w:rPr>
              <w:t>清算完成日期：</w:t>
            </w:r>
            <w:r>
              <w:rPr>
                <w:rFonts w:hint="eastAsia" w:ascii="宋体" w:hAnsi="宋体" w:cs="宋体"/>
                <w:color w:val="000000"/>
                <w:kern w:val="0"/>
                <w:sz w:val="22"/>
                <w:szCs w:val="22"/>
                <w:lang w:val="en-US" w:eastAsia="zh-CN" w:bidi="ar"/>
              </w:rPr>
              <w:t xml:space="preserve">      年  月  日</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 xml:space="preserve">□将财产装入离岸信托的居民个人死亡 </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居民个人死亡日期： 年  月  日</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 xml:space="preserve">□将财产装入离岸信托的居民个人转为非居民个人 </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转为非居民个人日期： 年  月  日</w:t>
            </w:r>
          </w:p>
        </w:tc>
      </w:tr>
      <w:tr>
        <w:tblPrEx>
          <w:tblLayout w:type="fixed"/>
          <w:tblCellMar>
            <w:top w:w="0" w:type="dxa"/>
            <w:left w:w="108" w:type="dxa"/>
            <w:bottom w:w="0" w:type="dxa"/>
            <w:right w:w="108" w:type="dxa"/>
          </w:tblCellMar>
        </w:tblPrEx>
        <w:trPr>
          <w:trHeight w:val="270" w:hRule="atLeast"/>
        </w:trPr>
        <w:tc>
          <w:tcPr>
            <w:tcW w:w="3643" w:type="dxa"/>
            <w:gridSpan w:val="2"/>
            <w:tcBorders>
              <w:top w:val="nil"/>
              <w:left w:val="nil"/>
              <w:bottom w:val="nil"/>
              <w:right w:val="nil"/>
            </w:tcBorders>
            <w:noWrap/>
            <w:tcMar>
              <w:left w:w="108" w:type="dxa"/>
              <w:right w:w="108" w:type="dxa"/>
            </w:tcMar>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纳税人姓名：</w:t>
            </w:r>
          </w:p>
        </w:tc>
        <w:tc>
          <w:tcPr>
            <w:tcW w:w="1454" w:type="dxa"/>
            <w:tcBorders>
              <w:top w:val="nil"/>
              <w:left w:val="nil"/>
              <w:bottom w:val="nil"/>
              <w:right w:val="nil"/>
            </w:tcBorders>
            <w:noWrap/>
            <w:tcMar>
              <w:left w:w="108" w:type="dxa"/>
              <w:right w:w="108" w:type="dxa"/>
            </w:tcMar>
            <w:vAlign w:val="bottom"/>
          </w:tcPr>
          <w:p>
            <w:pPr>
              <w:jc w:val="center"/>
              <w:rPr>
                <w:rFonts w:hint="eastAsia" w:ascii="宋体" w:hAnsi="宋体" w:cs="宋体"/>
                <w:color w:val="000000"/>
                <w:sz w:val="22"/>
                <w:szCs w:val="22"/>
              </w:rPr>
            </w:pPr>
          </w:p>
        </w:tc>
        <w:tc>
          <w:tcPr>
            <w:tcW w:w="3208" w:type="dxa"/>
            <w:tcBorders>
              <w:top w:val="nil"/>
              <w:left w:val="nil"/>
              <w:bottom w:val="nil"/>
              <w:right w:val="nil"/>
            </w:tcBorders>
            <w:noWrap/>
            <w:tcMar>
              <w:left w:w="108" w:type="dxa"/>
              <w:right w:w="108" w:type="dxa"/>
            </w:tcMar>
            <w:vAlign w:val="bottom"/>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270" w:hRule="atLeast"/>
        </w:trPr>
        <w:tc>
          <w:tcPr>
            <w:tcW w:w="3643" w:type="dxa"/>
            <w:gridSpan w:val="2"/>
            <w:tcBorders>
              <w:top w:val="nil"/>
              <w:left w:val="nil"/>
              <w:bottom w:val="nil"/>
              <w:right w:val="nil"/>
            </w:tcBorders>
            <w:noWrap/>
            <w:tcMar>
              <w:left w:w="108" w:type="dxa"/>
              <w:right w:w="108" w:type="dxa"/>
            </w:tcMar>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纳税人识别号：</w:t>
            </w:r>
          </w:p>
        </w:tc>
        <w:tc>
          <w:tcPr>
            <w:tcW w:w="1454" w:type="dxa"/>
            <w:tcBorders>
              <w:top w:val="nil"/>
              <w:left w:val="nil"/>
              <w:bottom w:val="nil"/>
              <w:right w:val="nil"/>
            </w:tcBorders>
            <w:noWrap/>
            <w:tcMar>
              <w:left w:w="108" w:type="dxa"/>
              <w:right w:w="108" w:type="dxa"/>
            </w:tcMar>
            <w:vAlign w:val="bottom"/>
          </w:tcPr>
          <w:p>
            <w:pPr>
              <w:jc w:val="center"/>
              <w:rPr>
                <w:rFonts w:hint="eastAsia" w:ascii="宋体" w:hAnsi="宋体" w:cs="宋体"/>
                <w:color w:val="000000"/>
                <w:sz w:val="22"/>
                <w:szCs w:val="22"/>
              </w:rPr>
            </w:pPr>
          </w:p>
        </w:tc>
        <w:tc>
          <w:tcPr>
            <w:tcW w:w="3208" w:type="dxa"/>
            <w:tcBorders>
              <w:top w:val="nil"/>
              <w:left w:val="nil"/>
              <w:bottom w:val="nil"/>
              <w:right w:val="nil"/>
            </w:tcBorders>
            <w:noWrap/>
            <w:tcMar>
              <w:left w:w="108" w:type="dxa"/>
              <w:right w:w="108" w:type="dxa"/>
            </w:tcMar>
            <w:vAlign w:val="bottom"/>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610" w:hRule="atLeast"/>
        </w:trPr>
        <w:tc>
          <w:tcPr>
            <w:tcW w:w="3643" w:type="dxa"/>
            <w:gridSpan w:val="2"/>
            <w:tcBorders>
              <w:top w:val="nil"/>
              <w:left w:val="nil"/>
              <w:bottom w:val="nil"/>
              <w:right w:val="nil"/>
            </w:tcBorders>
            <w:noWrap/>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纳税人身份类型：</w:t>
            </w:r>
          </w:p>
        </w:tc>
        <w:tc>
          <w:tcPr>
            <w:tcW w:w="4662" w:type="dxa"/>
            <w:gridSpan w:val="2"/>
            <w:tcBorders>
              <w:top w:val="nil"/>
              <w:left w:val="nil"/>
              <w:bottom w:val="nil"/>
              <w:right w:val="nil"/>
            </w:tcBorders>
            <w:noWrap w:val="0"/>
            <w:tcMar>
              <w:left w:w="108" w:type="dxa"/>
              <w:right w:w="108" w:type="dxa"/>
            </w:tcMar>
            <w:vAlign w:val="center"/>
          </w:tcPr>
          <w:p>
            <w:pPr>
              <w:widowControl/>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 xml:space="preserve">□将财产装入离岸信托的居民个人 </w:t>
            </w:r>
          </w:p>
          <w:p>
            <w:pPr>
              <w:widowControl/>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□居民个人受益人  </w:t>
            </w:r>
          </w:p>
        </w:tc>
      </w:tr>
      <w:tr>
        <w:tblPrEx>
          <w:tblLayout w:type="fixed"/>
          <w:tblCellMar>
            <w:top w:w="0" w:type="dxa"/>
            <w:left w:w="108" w:type="dxa"/>
            <w:bottom w:w="0" w:type="dxa"/>
            <w:right w:w="108" w:type="dxa"/>
          </w:tblCellMar>
        </w:tblPrEx>
        <w:trPr>
          <w:trHeight w:val="441" w:hRule="atLeast"/>
        </w:trPr>
        <w:tc>
          <w:tcPr>
            <w:tcW w:w="5097" w:type="dxa"/>
            <w:gridSpan w:val="3"/>
            <w:tcBorders>
              <w:top w:val="nil"/>
              <w:left w:val="nil"/>
              <w:bottom w:val="nil"/>
              <w:right w:val="nil"/>
            </w:tcBorders>
            <w:noWrap/>
            <w:tcMar>
              <w:left w:w="108" w:type="dxa"/>
              <w:right w:w="108" w:type="dxa"/>
            </w:tcMar>
            <w:vAlign w:val="center"/>
          </w:tcPr>
          <w:p>
            <w:pPr>
              <w:widowControl/>
              <w:jc w:val="left"/>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bidi="ar"/>
              </w:rPr>
              <w:t>由离岸信托受托人代为申报缴税</w:t>
            </w:r>
            <w:r>
              <w:rPr>
                <w:rFonts w:hint="eastAsia" w:ascii="宋体" w:hAnsi="宋体" w:cs="宋体"/>
                <w:color w:val="000000"/>
                <w:kern w:val="0"/>
                <w:sz w:val="22"/>
                <w:szCs w:val="22"/>
                <w:lang w:eastAsia="zh-CN" w:bidi="ar"/>
              </w:rPr>
              <w:t>：</w:t>
            </w:r>
          </w:p>
        </w:tc>
        <w:tc>
          <w:tcPr>
            <w:tcW w:w="3208" w:type="dxa"/>
            <w:tcBorders>
              <w:top w:val="nil"/>
              <w:left w:val="nil"/>
              <w:bottom w:val="nil"/>
              <w:right w:val="nil"/>
            </w:tcBorders>
            <w:noWrap/>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□是 □否</w:t>
            </w:r>
          </w:p>
        </w:tc>
      </w:tr>
      <w:tr>
        <w:tblPrEx>
          <w:tblLayout w:type="fixed"/>
          <w:tblCellMar>
            <w:top w:w="0" w:type="dxa"/>
            <w:left w:w="108" w:type="dxa"/>
            <w:bottom w:w="0" w:type="dxa"/>
            <w:right w:w="108" w:type="dxa"/>
          </w:tblCellMar>
        </w:tblPrEx>
        <w:trPr>
          <w:trHeight w:val="345" w:hRule="atLeast"/>
        </w:trPr>
        <w:tc>
          <w:tcPr>
            <w:tcW w:w="5097" w:type="dxa"/>
            <w:gridSpan w:val="3"/>
            <w:tcBorders>
              <w:top w:val="nil"/>
              <w:left w:val="nil"/>
              <w:bottom w:val="nil"/>
              <w:right w:val="nil"/>
            </w:tcBorders>
            <w:noWrap/>
            <w:tcMar>
              <w:left w:w="108" w:type="dxa"/>
              <w:right w:w="108" w:type="dxa"/>
            </w:tcMar>
            <w:vAlign w:val="center"/>
          </w:tcPr>
          <w:p>
            <w:pPr>
              <w:widowControl/>
              <w:jc w:val="left"/>
              <w:textAlignment w:val="center"/>
              <w:rPr>
                <w:rFonts w:hint="eastAsia" w:ascii="宋体" w:hAnsi="宋体" w:eastAsia="宋体" w:cs="宋体"/>
                <w:color w:val="000000"/>
                <w:kern w:val="0"/>
                <w:sz w:val="22"/>
                <w:szCs w:val="22"/>
                <w:lang w:eastAsia="zh-CN" w:bidi="ar"/>
              </w:rPr>
            </w:pPr>
            <w:r>
              <w:rPr>
                <w:rFonts w:hint="eastAsia" w:ascii="宋体" w:hAnsi="宋体" w:cs="宋体"/>
                <w:color w:val="000000"/>
                <w:kern w:val="0"/>
                <w:sz w:val="22"/>
                <w:szCs w:val="22"/>
                <w:lang w:bidi="ar"/>
              </w:rPr>
              <w:t>由离岸信托受托人指定的境内机构代为申报缴税</w:t>
            </w:r>
            <w:r>
              <w:rPr>
                <w:rFonts w:hint="eastAsia" w:ascii="宋体" w:hAnsi="宋体" w:cs="宋体"/>
                <w:color w:val="000000"/>
                <w:kern w:val="0"/>
                <w:sz w:val="22"/>
                <w:szCs w:val="22"/>
                <w:lang w:eastAsia="zh-CN" w:bidi="ar"/>
              </w:rPr>
              <w:t>：</w:t>
            </w:r>
          </w:p>
        </w:tc>
        <w:tc>
          <w:tcPr>
            <w:tcW w:w="3208" w:type="dxa"/>
            <w:tcBorders>
              <w:top w:val="nil"/>
              <w:left w:val="nil"/>
              <w:bottom w:val="nil"/>
              <w:right w:val="nil"/>
            </w:tcBorders>
            <w:noWrap/>
            <w:tcMar>
              <w:left w:w="108" w:type="dxa"/>
              <w:right w:w="108" w:type="dxa"/>
            </w:tcMar>
            <w:vAlign w:val="center"/>
          </w:tcPr>
          <w:p>
            <w:pPr>
              <w:widowControl/>
              <w:jc w:val="center"/>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□是 □否</w:t>
            </w:r>
          </w:p>
        </w:tc>
      </w:tr>
      <w:tr>
        <w:tblPrEx>
          <w:tblLayout w:type="fixed"/>
          <w:tblCellMar>
            <w:top w:w="0" w:type="dxa"/>
            <w:left w:w="108" w:type="dxa"/>
            <w:bottom w:w="0" w:type="dxa"/>
            <w:right w:w="108" w:type="dxa"/>
          </w:tblCellMar>
        </w:tblPrEx>
        <w:trPr>
          <w:trHeight w:val="270" w:hRule="atLeast"/>
        </w:trPr>
        <w:tc>
          <w:tcPr>
            <w:tcW w:w="5097" w:type="dxa"/>
            <w:gridSpan w:val="3"/>
            <w:tcBorders>
              <w:top w:val="nil"/>
              <w:left w:val="nil"/>
              <w:bottom w:val="nil"/>
              <w:right w:val="nil"/>
            </w:tcBorders>
            <w:noWrap/>
            <w:tcMar>
              <w:left w:w="108" w:type="dxa"/>
              <w:right w:w="108" w:type="dxa"/>
            </w:tcMar>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受托人或其指定的境内机构名称：</w:t>
            </w:r>
          </w:p>
        </w:tc>
        <w:tc>
          <w:tcPr>
            <w:tcW w:w="3208" w:type="dxa"/>
            <w:tcBorders>
              <w:top w:val="nil"/>
              <w:left w:val="nil"/>
              <w:bottom w:val="nil"/>
              <w:right w:val="nil"/>
            </w:tcBorders>
            <w:noWrap/>
            <w:tcMar>
              <w:left w:w="108" w:type="dxa"/>
              <w:right w:w="108" w:type="dxa"/>
            </w:tcMar>
            <w:vAlign w:val="bottom"/>
          </w:tcPr>
          <w:p>
            <w:pPr>
              <w:jc w:val="right"/>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270" w:hRule="atLeast"/>
        </w:trPr>
        <w:tc>
          <w:tcPr>
            <w:tcW w:w="5097" w:type="dxa"/>
            <w:gridSpan w:val="3"/>
            <w:tcBorders>
              <w:top w:val="nil"/>
              <w:left w:val="nil"/>
              <w:bottom w:val="nil"/>
              <w:right w:val="nil"/>
            </w:tcBorders>
            <w:noWrap/>
            <w:tcMar>
              <w:left w:w="108" w:type="dxa"/>
              <w:right w:w="108" w:type="dxa"/>
            </w:tcMar>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受托人或其指定的境内机构纳税人识别号：</w:t>
            </w:r>
          </w:p>
        </w:tc>
        <w:tc>
          <w:tcPr>
            <w:tcW w:w="3208" w:type="dxa"/>
            <w:tcBorders>
              <w:top w:val="nil"/>
              <w:left w:val="nil"/>
              <w:bottom w:val="nil"/>
              <w:right w:val="nil"/>
            </w:tcBorders>
            <w:noWrap/>
            <w:tcMar>
              <w:left w:w="108" w:type="dxa"/>
              <w:right w:w="108" w:type="dxa"/>
            </w:tcMar>
            <w:vAlign w:val="bottom"/>
          </w:tcPr>
          <w:p>
            <w:pPr>
              <w:jc w:val="right"/>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360" w:hRule="atLeast"/>
        </w:trPr>
        <w:tc>
          <w:tcPr>
            <w:tcW w:w="5097" w:type="dxa"/>
            <w:gridSpan w:val="3"/>
            <w:tcBorders>
              <w:top w:val="nil"/>
              <w:left w:val="nil"/>
              <w:bottom w:val="nil"/>
              <w:right w:val="nil"/>
            </w:tcBorders>
            <w:noWrap/>
            <w:tcMar>
              <w:left w:w="108" w:type="dxa"/>
              <w:right w:w="108" w:type="dxa"/>
            </w:tcMar>
            <w:vAlign w:val="bottom"/>
          </w:tcPr>
          <w:p>
            <w:pPr>
              <w:rPr>
                <w:rFonts w:hint="eastAsia" w:ascii="宋体" w:hAnsi="宋体" w:cs="宋体"/>
                <w:color w:val="000000"/>
                <w:sz w:val="22"/>
                <w:szCs w:val="22"/>
              </w:rPr>
            </w:pPr>
            <w:r>
              <w:rPr>
                <w:rFonts w:hint="eastAsia" w:ascii="宋体" w:hAnsi="宋体" w:cs="宋体"/>
                <w:color w:val="000000"/>
                <w:kern w:val="0"/>
                <w:sz w:val="22"/>
                <w:szCs w:val="22"/>
                <w:lang w:bidi="ar"/>
              </w:rPr>
              <w:t>离岸信托编码：（系统</w:t>
            </w:r>
            <w:r>
              <w:rPr>
                <w:rFonts w:hint="eastAsia" w:ascii="宋体" w:hAnsi="宋体" w:cs="宋体"/>
                <w:color w:val="000000"/>
                <w:kern w:val="0"/>
                <w:sz w:val="22"/>
                <w:szCs w:val="22"/>
                <w:lang w:eastAsia="zh-CN" w:bidi="ar"/>
              </w:rPr>
              <w:t>带入</w:t>
            </w:r>
            <w:r>
              <w:rPr>
                <w:rFonts w:hint="eastAsia" w:ascii="宋体" w:hAnsi="宋体" w:cs="宋体"/>
                <w:color w:val="000000"/>
                <w:kern w:val="0"/>
                <w:sz w:val="22"/>
                <w:szCs w:val="22"/>
                <w:lang w:bidi="ar"/>
              </w:rPr>
              <w:t>）</w:t>
            </w:r>
          </w:p>
        </w:tc>
        <w:tc>
          <w:tcPr>
            <w:tcW w:w="3208" w:type="dxa"/>
            <w:tcBorders>
              <w:top w:val="nil"/>
              <w:left w:val="nil"/>
              <w:bottom w:val="nil"/>
              <w:right w:val="nil"/>
            </w:tcBorders>
            <w:noWrap/>
            <w:tcMar>
              <w:left w:w="108" w:type="dxa"/>
              <w:right w:w="108" w:type="dxa"/>
            </w:tcMar>
            <w:vAlign w:val="bottom"/>
          </w:tcPr>
          <w:p>
            <w:pPr>
              <w:widowControl/>
              <w:jc w:val="righ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金额单位：人民币元（列至角分）</w:t>
            </w:r>
          </w:p>
        </w:tc>
      </w:tr>
      <w:tr>
        <w:tblPrEx>
          <w:tblLayout w:type="fixed"/>
          <w:tblCellMar>
            <w:top w:w="0" w:type="dxa"/>
            <w:left w:w="108" w:type="dxa"/>
            <w:bottom w:w="0" w:type="dxa"/>
            <w:right w:w="108" w:type="dxa"/>
          </w:tblCellMar>
        </w:tblPrEx>
        <w:trPr>
          <w:trHeight w:val="270" w:hRule="atLeast"/>
        </w:trPr>
        <w:tc>
          <w:tcPr>
            <w:tcW w:w="8305" w:type="dxa"/>
            <w:gridSpan w:val="4"/>
            <w:tcBorders>
              <w:top w:val="single" w:color="000000" w:sz="4" w:space="0"/>
              <w:left w:val="single" w:color="000000" w:sz="4" w:space="0"/>
              <w:bottom w:val="single" w:color="000000" w:sz="4" w:space="0"/>
              <w:right w:val="single" w:color="000000" w:sz="4" w:space="0"/>
            </w:tcBorders>
            <w:noWrap/>
            <w:tcMar>
              <w:left w:w="108" w:type="dxa"/>
              <w:right w:w="108" w:type="dxa"/>
            </w:tcMar>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离岸信托名称：</w:t>
            </w:r>
          </w:p>
        </w:tc>
      </w:tr>
      <w:tr>
        <w:tblPrEx>
          <w:tblLayout w:type="fixed"/>
          <w:tblCellMar>
            <w:top w:w="0" w:type="dxa"/>
            <w:left w:w="108" w:type="dxa"/>
            <w:bottom w:w="0" w:type="dxa"/>
            <w:right w:w="108" w:type="dxa"/>
          </w:tblCellMar>
        </w:tblPrEx>
        <w:trPr>
          <w:trHeight w:val="860" w:hRule="atLeast"/>
        </w:trPr>
        <w:tc>
          <w:tcPr>
            <w:tcW w:w="8305" w:type="dxa"/>
            <w:gridSpan w:val="4"/>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bottom"/>
          </w:tcPr>
          <w:p>
            <w:pPr>
              <w:widowControl/>
              <w:jc w:val="center"/>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当年1月1日</w:t>
            </w:r>
            <w:r>
              <w:rPr>
                <w:rFonts w:hint="eastAsia" w:ascii="宋体" w:hAnsi="宋体" w:cs="宋体"/>
                <w:color w:val="000000"/>
                <w:kern w:val="0"/>
                <w:sz w:val="22"/>
                <w:szCs w:val="22"/>
                <w:lang w:eastAsia="zh-CN" w:bidi="ar"/>
              </w:rPr>
              <w:t>至</w:t>
            </w:r>
            <w:r>
              <w:rPr>
                <w:rFonts w:hint="eastAsia" w:ascii="宋体" w:hAnsi="宋体" w:cs="宋体"/>
                <w:color w:val="000000"/>
                <w:kern w:val="0"/>
                <w:sz w:val="22"/>
                <w:szCs w:val="22"/>
                <w:lang w:bidi="ar"/>
              </w:rPr>
              <w:t>清算日</w:t>
            </w:r>
            <w:r>
              <w:rPr>
                <w:rFonts w:hint="eastAsia" w:ascii="宋体" w:hAnsi="宋体" w:cs="宋体"/>
                <w:color w:val="000000"/>
                <w:kern w:val="0"/>
                <w:sz w:val="22"/>
                <w:szCs w:val="22"/>
                <w:lang w:eastAsia="zh-CN" w:bidi="ar"/>
              </w:rPr>
              <w:t>期间</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w:t>
            </w:r>
            <w:r>
              <w:rPr>
                <w:rFonts w:hint="eastAsia" w:ascii="宋体" w:hAnsi="宋体" w:cs="宋体"/>
                <w:color w:val="000000"/>
                <w:kern w:val="0"/>
                <w:sz w:val="22"/>
                <w:szCs w:val="22"/>
                <w:lang w:eastAsia="zh-CN" w:bidi="ar"/>
              </w:rPr>
              <w:t>清算日是指</w:t>
            </w:r>
            <w:r>
              <w:rPr>
                <w:rFonts w:hint="eastAsia" w:ascii="宋体" w:hAnsi="宋体" w:cs="宋体"/>
                <w:color w:val="000000"/>
                <w:kern w:val="0"/>
                <w:sz w:val="22"/>
                <w:szCs w:val="22"/>
                <w:lang w:bidi="ar"/>
              </w:rPr>
              <w:t>离岸信托终止</w:t>
            </w:r>
            <w:r>
              <w:rPr>
                <w:rFonts w:hint="eastAsia" w:ascii="宋体" w:hAnsi="宋体" w:cs="宋体"/>
                <w:color w:val="000000"/>
                <w:kern w:val="0"/>
                <w:sz w:val="22"/>
                <w:szCs w:val="22"/>
                <w:lang w:eastAsia="zh-CN" w:bidi="ar"/>
              </w:rPr>
              <w:t>之</w:t>
            </w:r>
            <w:r>
              <w:rPr>
                <w:rFonts w:hint="eastAsia" w:ascii="宋体" w:hAnsi="宋体" w:cs="宋体"/>
                <w:color w:val="000000"/>
                <w:kern w:val="0"/>
                <w:sz w:val="22"/>
                <w:szCs w:val="22"/>
                <w:lang w:bidi="ar"/>
              </w:rPr>
              <w:t>日</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bidi="ar"/>
              </w:rPr>
              <w:t>装入财产的居民个人转为非居民个人之日</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bidi="ar"/>
              </w:rPr>
              <w:t>装入财产</w:t>
            </w:r>
            <w:r>
              <w:rPr>
                <w:rFonts w:hint="eastAsia" w:ascii="宋体" w:hAnsi="宋体" w:cs="宋体"/>
                <w:color w:val="000000"/>
                <w:kern w:val="0"/>
                <w:sz w:val="22"/>
                <w:szCs w:val="22"/>
                <w:lang w:eastAsia="zh-CN" w:bidi="ar"/>
              </w:rPr>
              <w:t>的</w:t>
            </w:r>
            <w:r>
              <w:rPr>
                <w:rFonts w:hint="eastAsia" w:ascii="宋体" w:hAnsi="宋体" w:cs="宋体"/>
                <w:color w:val="000000"/>
                <w:kern w:val="0"/>
                <w:sz w:val="22"/>
                <w:szCs w:val="22"/>
                <w:lang w:bidi="ar"/>
              </w:rPr>
              <w:t>居民个人死亡之日）收益个人所得税计算</w:t>
            </w:r>
          </w:p>
        </w:tc>
      </w:tr>
      <w:tr>
        <w:tblPrEx>
          <w:tblLayout w:type="fixed"/>
          <w:tblCellMar>
            <w:top w:w="0" w:type="dxa"/>
            <w:left w:w="108" w:type="dxa"/>
            <w:bottom w:w="0" w:type="dxa"/>
            <w:right w:w="108" w:type="dxa"/>
          </w:tblCellMar>
        </w:tblPrEx>
        <w:trPr>
          <w:trHeight w:val="270" w:hRule="atLeast"/>
        </w:trPr>
        <w:tc>
          <w:tcPr>
            <w:tcW w:w="3643" w:type="dxa"/>
            <w:gridSpan w:val="2"/>
            <w:tcBorders>
              <w:top w:val="single" w:color="000000" w:sz="4" w:space="0"/>
              <w:left w:val="single" w:color="000000" w:sz="4" w:space="0"/>
              <w:bottom w:val="single" w:color="000000" w:sz="4" w:space="0"/>
              <w:right w:val="single" w:color="000000" w:sz="4" w:space="0"/>
            </w:tcBorders>
            <w:noWrap/>
            <w:tcMar>
              <w:left w:w="108" w:type="dxa"/>
              <w:right w:w="108" w:type="dxa"/>
            </w:tcMar>
            <w:vAlign w:val="bottom"/>
          </w:tcPr>
          <w:p>
            <w:pPr>
              <w:widowControl/>
              <w:jc w:val="center"/>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项目</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bottom"/>
          </w:tcPr>
          <w:p>
            <w:pPr>
              <w:widowControl/>
              <w:jc w:val="center"/>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行次</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bottom"/>
          </w:tcPr>
          <w:p>
            <w:pPr>
              <w:widowControl/>
              <w:jc w:val="center"/>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金额</w:t>
            </w:r>
          </w:p>
        </w:tc>
      </w:tr>
      <w:tr>
        <w:tblPrEx>
          <w:tblLayout w:type="fixed"/>
          <w:tblCellMar>
            <w:top w:w="0" w:type="dxa"/>
            <w:left w:w="108" w:type="dxa"/>
            <w:bottom w:w="0" w:type="dxa"/>
            <w:right w:w="108" w:type="dxa"/>
          </w:tblCellMar>
        </w:tblPrEx>
        <w:trPr>
          <w:trHeight w:val="270" w:hRule="atLeast"/>
        </w:trPr>
        <w:tc>
          <w:tcPr>
            <w:tcW w:w="1734" w:type="dxa"/>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清算日前财产转让所得</w:t>
            </w: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转让收入</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270" w:hRule="atLeast"/>
        </w:trPr>
        <w:tc>
          <w:tcPr>
            <w:tcW w:w="1734"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财产原值</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2</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270" w:hRule="atLeast"/>
        </w:trPr>
        <w:tc>
          <w:tcPr>
            <w:tcW w:w="1734"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相关费用</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3</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270" w:hRule="atLeast"/>
        </w:trPr>
        <w:tc>
          <w:tcPr>
            <w:tcW w:w="1734"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应纳税所得额</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4</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270" w:hRule="atLeast"/>
        </w:trPr>
        <w:tc>
          <w:tcPr>
            <w:tcW w:w="1734"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税率</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eastAsia" w:ascii="宋体" w:hAnsi="宋体" w:eastAsia="宋体" w:cs="宋体"/>
                <w:color w:val="000000"/>
                <w:sz w:val="22"/>
                <w:szCs w:val="22"/>
                <w:lang w:eastAsia="zh-CN"/>
              </w:rPr>
            </w:pPr>
            <w:r>
              <w:rPr>
                <w:rFonts w:hint="eastAsia" w:ascii="宋体" w:hAnsi="宋体" w:cs="宋体"/>
                <w:color w:val="000000"/>
                <w:kern w:val="0"/>
                <w:sz w:val="22"/>
                <w:szCs w:val="22"/>
                <w:lang w:val="en-US" w:eastAsia="zh-CN" w:bidi="ar"/>
              </w:rPr>
              <w:t>5</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270" w:hRule="atLeast"/>
        </w:trPr>
        <w:tc>
          <w:tcPr>
            <w:tcW w:w="1734"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应纳税额</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eastAsia" w:ascii="宋体" w:hAnsi="宋体" w:eastAsia="宋体" w:cs="宋体"/>
                <w:color w:val="000000"/>
                <w:sz w:val="22"/>
                <w:szCs w:val="22"/>
                <w:lang w:eastAsia="zh-CN"/>
              </w:rPr>
            </w:pPr>
            <w:r>
              <w:rPr>
                <w:rFonts w:hint="eastAsia" w:ascii="宋体" w:hAnsi="宋体" w:cs="宋体"/>
                <w:color w:val="000000"/>
                <w:kern w:val="0"/>
                <w:sz w:val="22"/>
                <w:szCs w:val="22"/>
                <w:lang w:val="en-US" w:eastAsia="zh-CN" w:bidi="ar"/>
              </w:rPr>
              <w:t>6</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270" w:hRule="atLeast"/>
        </w:trPr>
        <w:tc>
          <w:tcPr>
            <w:tcW w:w="1734"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已缴税额</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eastAsia" w:ascii="宋体" w:hAnsi="宋体" w:eastAsia="宋体" w:cs="宋体"/>
                <w:color w:val="000000"/>
                <w:sz w:val="22"/>
                <w:szCs w:val="22"/>
                <w:lang w:eastAsia="zh-CN"/>
              </w:rPr>
            </w:pPr>
            <w:r>
              <w:rPr>
                <w:rFonts w:hint="eastAsia" w:ascii="宋体" w:hAnsi="宋体" w:cs="宋体"/>
                <w:color w:val="000000"/>
                <w:kern w:val="0"/>
                <w:sz w:val="22"/>
                <w:szCs w:val="22"/>
                <w:lang w:val="en-US" w:eastAsia="zh-CN" w:bidi="ar"/>
              </w:rPr>
              <w:t>7</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270" w:hRule="atLeast"/>
        </w:trPr>
        <w:tc>
          <w:tcPr>
            <w:tcW w:w="1734"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应补退税额</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eastAsia" w:ascii="宋体" w:hAnsi="宋体" w:eastAsia="宋体" w:cs="宋体"/>
                <w:color w:val="000000"/>
                <w:sz w:val="22"/>
                <w:szCs w:val="22"/>
                <w:lang w:eastAsia="zh-CN"/>
              </w:rPr>
            </w:pPr>
            <w:r>
              <w:rPr>
                <w:rFonts w:hint="eastAsia" w:ascii="宋体" w:hAnsi="宋体" w:cs="宋体"/>
                <w:color w:val="000000"/>
                <w:kern w:val="0"/>
                <w:sz w:val="22"/>
                <w:szCs w:val="22"/>
                <w:lang w:val="en-US" w:eastAsia="zh-CN" w:bidi="ar"/>
              </w:rPr>
              <w:t>8</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270" w:hRule="atLeast"/>
        </w:trPr>
        <w:tc>
          <w:tcPr>
            <w:tcW w:w="1734" w:type="dxa"/>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清算日前利息、股息、红利所得</w:t>
            </w: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应纳税所得额</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eastAsia" w:ascii="宋体" w:hAnsi="宋体" w:eastAsia="宋体" w:cs="宋体"/>
                <w:color w:val="000000"/>
                <w:sz w:val="22"/>
                <w:szCs w:val="22"/>
                <w:lang w:eastAsia="zh-CN"/>
              </w:rPr>
            </w:pPr>
            <w:r>
              <w:rPr>
                <w:rFonts w:hint="eastAsia" w:ascii="宋体" w:hAnsi="宋体" w:cs="宋体"/>
                <w:color w:val="000000"/>
                <w:kern w:val="0"/>
                <w:sz w:val="22"/>
                <w:szCs w:val="22"/>
                <w:lang w:val="en-US" w:eastAsia="zh-CN" w:bidi="ar"/>
              </w:rPr>
              <w:t>9</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270" w:hRule="atLeast"/>
        </w:trPr>
        <w:tc>
          <w:tcPr>
            <w:tcW w:w="1734"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税率</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default" w:ascii="宋体" w:hAnsi="宋体" w:eastAsia="宋体" w:cs="宋体"/>
                <w:color w:val="000000"/>
                <w:sz w:val="22"/>
                <w:szCs w:val="22"/>
                <w:lang w:val="en-US" w:eastAsia="zh-CN"/>
              </w:rPr>
            </w:pPr>
            <w:r>
              <w:rPr>
                <w:rFonts w:hint="eastAsia" w:ascii="宋体" w:hAnsi="宋体" w:cs="宋体"/>
                <w:color w:val="000000"/>
                <w:kern w:val="0"/>
                <w:sz w:val="22"/>
                <w:szCs w:val="22"/>
                <w:lang w:val="en-US" w:eastAsia="zh-CN" w:bidi="ar"/>
              </w:rPr>
              <w:t>10</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270" w:hRule="atLeast"/>
        </w:trPr>
        <w:tc>
          <w:tcPr>
            <w:tcW w:w="1734"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应纳税额</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default" w:ascii="宋体" w:hAnsi="宋体" w:eastAsia="宋体" w:cs="宋体"/>
                <w:color w:val="000000"/>
                <w:sz w:val="22"/>
                <w:szCs w:val="22"/>
                <w:lang w:val="en-US" w:eastAsia="zh-CN"/>
              </w:rPr>
            </w:pPr>
            <w:r>
              <w:rPr>
                <w:rFonts w:hint="eastAsia" w:ascii="宋体" w:hAnsi="宋体" w:cs="宋体"/>
                <w:color w:val="000000"/>
                <w:kern w:val="0"/>
                <w:sz w:val="22"/>
                <w:szCs w:val="22"/>
                <w:lang w:val="en-US" w:eastAsia="zh-CN" w:bidi="ar"/>
              </w:rPr>
              <w:t>11</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270" w:hRule="atLeast"/>
        </w:trPr>
        <w:tc>
          <w:tcPr>
            <w:tcW w:w="1734"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已缴税额</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default" w:ascii="宋体" w:hAnsi="宋体" w:eastAsia="宋体" w:cs="宋体"/>
                <w:color w:val="000000"/>
                <w:sz w:val="22"/>
                <w:szCs w:val="22"/>
                <w:lang w:val="en-US" w:eastAsia="zh-CN"/>
              </w:rPr>
            </w:pPr>
            <w:r>
              <w:rPr>
                <w:rFonts w:hint="eastAsia" w:ascii="宋体" w:hAnsi="宋体" w:cs="宋体"/>
                <w:color w:val="000000"/>
                <w:kern w:val="0"/>
                <w:sz w:val="22"/>
                <w:szCs w:val="22"/>
                <w:lang w:val="en-US" w:eastAsia="zh-CN" w:bidi="ar"/>
              </w:rPr>
              <w:t>12</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40" w:hRule="atLeast"/>
        </w:trPr>
        <w:tc>
          <w:tcPr>
            <w:tcW w:w="1734"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应补退税额</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default" w:ascii="宋体" w:hAnsi="宋体" w:eastAsia="宋体" w:cs="宋体"/>
                <w:color w:val="000000"/>
                <w:sz w:val="22"/>
                <w:szCs w:val="22"/>
                <w:lang w:val="en-US" w:eastAsia="zh-CN"/>
              </w:rPr>
            </w:pPr>
            <w:r>
              <w:rPr>
                <w:rFonts w:hint="eastAsia" w:ascii="宋体" w:hAnsi="宋体" w:cs="宋体"/>
                <w:color w:val="000000"/>
                <w:kern w:val="0"/>
                <w:sz w:val="22"/>
                <w:szCs w:val="22"/>
                <w:lang w:val="en-US" w:eastAsia="zh-CN" w:bidi="ar"/>
              </w:rPr>
              <w:t>13</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500" w:hRule="atLeast"/>
        </w:trPr>
        <w:tc>
          <w:tcPr>
            <w:tcW w:w="8305" w:type="dxa"/>
            <w:gridSpan w:val="4"/>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清算收益个人所得税计算</w:t>
            </w:r>
          </w:p>
        </w:tc>
      </w:tr>
      <w:tr>
        <w:tblPrEx>
          <w:tblLayout w:type="fixed"/>
          <w:tblCellMar>
            <w:top w:w="0" w:type="dxa"/>
            <w:left w:w="108" w:type="dxa"/>
            <w:bottom w:w="0" w:type="dxa"/>
            <w:right w:w="108" w:type="dxa"/>
          </w:tblCellMar>
        </w:tblPrEx>
        <w:trPr>
          <w:trHeight w:val="270" w:hRule="atLeast"/>
        </w:trPr>
        <w:tc>
          <w:tcPr>
            <w:tcW w:w="3643" w:type="dxa"/>
            <w:gridSpan w:val="2"/>
            <w:tcBorders>
              <w:top w:val="single" w:color="000000" w:sz="4" w:space="0"/>
              <w:left w:val="single" w:color="000000" w:sz="4" w:space="0"/>
              <w:bottom w:val="single" w:color="000000" w:sz="4" w:space="0"/>
              <w:right w:val="single" w:color="000000" w:sz="4" w:space="0"/>
            </w:tcBorders>
            <w:noWrap/>
            <w:tcMar>
              <w:left w:w="108" w:type="dxa"/>
              <w:right w:w="108" w:type="dxa"/>
            </w:tcMar>
            <w:vAlign w:val="bottom"/>
          </w:tcPr>
          <w:p>
            <w:pPr>
              <w:widowControl/>
              <w:jc w:val="center"/>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项目</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行次</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金额</w:t>
            </w:r>
          </w:p>
        </w:tc>
      </w:tr>
      <w:tr>
        <w:tblPrEx>
          <w:tblLayout w:type="fixed"/>
          <w:tblCellMar>
            <w:top w:w="0" w:type="dxa"/>
            <w:left w:w="108" w:type="dxa"/>
            <w:bottom w:w="0" w:type="dxa"/>
            <w:right w:w="108" w:type="dxa"/>
          </w:tblCellMar>
        </w:tblPrEx>
        <w:trPr>
          <w:trHeight w:val="270" w:hRule="atLeast"/>
        </w:trPr>
        <w:tc>
          <w:tcPr>
            <w:tcW w:w="1734" w:type="dxa"/>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清算日利息、股息、红利所得</w:t>
            </w: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离岸信托财产市场价值</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default" w:ascii="宋体" w:hAnsi="宋体" w:eastAsia="宋体" w:cs="宋体"/>
                <w:color w:val="000000"/>
                <w:sz w:val="22"/>
                <w:szCs w:val="22"/>
                <w:lang w:val="en-US" w:eastAsia="zh-CN"/>
              </w:rPr>
            </w:pPr>
            <w:r>
              <w:rPr>
                <w:rFonts w:hint="eastAsia" w:ascii="宋体" w:hAnsi="宋体" w:cs="宋体"/>
                <w:color w:val="000000"/>
                <w:kern w:val="0"/>
                <w:sz w:val="22"/>
                <w:szCs w:val="22"/>
                <w:lang w:val="en-US" w:eastAsia="zh-CN" w:bidi="ar"/>
              </w:rPr>
              <w:t>14</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270" w:hRule="atLeast"/>
        </w:trPr>
        <w:tc>
          <w:tcPr>
            <w:tcW w:w="1734"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财产原值</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default" w:ascii="宋体" w:hAnsi="宋体" w:eastAsia="宋体" w:cs="宋体"/>
                <w:color w:val="000000"/>
                <w:sz w:val="22"/>
                <w:szCs w:val="22"/>
                <w:lang w:val="en-US" w:eastAsia="zh-CN"/>
              </w:rPr>
            </w:pPr>
            <w:r>
              <w:rPr>
                <w:rFonts w:hint="eastAsia" w:ascii="宋体" w:hAnsi="宋体" w:cs="宋体"/>
                <w:color w:val="000000"/>
                <w:kern w:val="0"/>
                <w:sz w:val="22"/>
                <w:szCs w:val="22"/>
                <w:lang w:val="en-US" w:eastAsia="zh-CN" w:bidi="ar"/>
              </w:rPr>
              <w:t>15</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270" w:hRule="atLeast"/>
        </w:trPr>
        <w:tc>
          <w:tcPr>
            <w:tcW w:w="1734"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相关费用</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default" w:ascii="宋体" w:hAnsi="宋体" w:eastAsia="宋体" w:cs="宋体"/>
                <w:color w:val="000000"/>
                <w:sz w:val="22"/>
                <w:szCs w:val="22"/>
                <w:lang w:val="en-US" w:eastAsia="zh-CN"/>
              </w:rPr>
            </w:pPr>
            <w:r>
              <w:rPr>
                <w:rFonts w:hint="eastAsia" w:ascii="宋体" w:hAnsi="宋体" w:cs="宋体"/>
                <w:color w:val="000000"/>
                <w:kern w:val="0"/>
                <w:sz w:val="22"/>
                <w:szCs w:val="22"/>
                <w:lang w:val="en-US" w:eastAsia="zh-CN" w:bidi="ar"/>
              </w:rPr>
              <w:t>16</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270" w:hRule="atLeast"/>
        </w:trPr>
        <w:tc>
          <w:tcPr>
            <w:tcW w:w="1734"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应纳税所得额</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default" w:ascii="宋体" w:hAnsi="宋体" w:eastAsia="宋体" w:cs="宋体"/>
                <w:color w:val="000000"/>
                <w:sz w:val="22"/>
                <w:szCs w:val="22"/>
                <w:lang w:val="en-US" w:eastAsia="zh-CN"/>
              </w:rPr>
            </w:pPr>
            <w:r>
              <w:rPr>
                <w:rFonts w:hint="eastAsia" w:ascii="宋体" w:hAnsi="宋体" w:cs="宋体"/>
                <w:color w:val="000000"/>
                <w:kern w:val="0"/>
                <w:sz w:val="22"/>
                <w:szCs w:val="22"/>
                <w:lang w:val="en-US" w:eastAsia="zh-CN" w:bidi="ar"/>
              </w:rPr>
              <w:t>17</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270" w:hRule="atLeast"/>
        </w:trPr>
        <w:tc>
          <w:tcPr>
            <w:tcW w:w="1734"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税率</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default" w:ascii="宋体" w:hAnsi="宋体" w:eastAsia="宋体" w:cs="宋体"/>
                <w:color w:val="000000"/>
                <w:sz w:val="22"/>
                <w:szCs w:val="22"/>
                <w:lang w:val="en-US" w:eastAsia="zh-CN"/>
              </w:rPr>
            </w:pPr>
            <w:r>
              <w:rPr>
                <w:rFonts w:hint="eastAsia" w:ascii="宋体" w:hAnsi="宋体" w:cs="宋体"/>
                <w:color w:val="000000"/>
                <w:kern w:val="0"/>
                <w:sz w:val="22"/>
                <w:szCs w:val="22"/>
                <w:lang w:val="en-US" w:eastAsia="zh-CN" w:bidi="ar"/>
              </w:rPr>
              <w:t>18</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270" w:hRule="atLeast"/>
        </w:trPr>
        <w:tc>
          <w:tcPr>
            <w:tcW w:w="1734"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应纳税额</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default" w:ascii="宋体" w:hAnsi="宋体" w:eastAsia="宋体" w:cs="宋体"/>
                <w:color w:val="000000"/>
                <w:sz w:val="22"/>
                <w:szCs w:val="22"/>
                <w:lang w:val="en-US" w:eastAsia="zh-CN"/>
              </w:rPr>
            </w:pPr>
            <w:r>
              <w:rPr>
                <w:rFonts w:hint="eastAsia" w:ascii="宋体" w:hAnsi="宋体" w:cs="宋体"/>
                <w:color w:val="000000"/>
                <w:kern w:val="0"/>
                <w:sz w:val="22"/>
                <w:szCs w:val="22"/>
                <w:lang w:val="en-US" w:eastAsia="zh-CN" w:bidi="ar"/>
              </w:rPr>
              <w:t>19</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270" w:hRule="atLeast"/>
        </w:trPr>
        <w:tc>
          <w:tcPr>
            <w:tcW w:w="1734"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已缴税额</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default" w:ascii="宋体" w:hAnsi="宋体" w:eastAsia="宋体" w:cs="宋体"/>
                <w:color w:val="000000"/>
                <w:sz w:val="22"/>
                <w:szCs w:val="22"/>
                <w:lang w:val="en-US" w:eastAsia="zh-CN"/>
              </w:rPr>
            </w:pPr>
            <w:r>
              <w:rPr>
                <w:rFonts w:hint="eastAsia" w:ascii="宋体" w:hAnsi="宋体" w:cs="宋体"/>
                <w:color w:val="000000"/>
                <w:kern w:val="0"/>
                <w:sz w:val="22"/>
                <w:szCs w:val="22"/>
                <w:lang w:val="en-US" w:eastAsia="zh-CN" w:bidi="ar"/>
              </w:rPr>
              <w:t>20</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270" w:hRule="atLeast"/>
        </w:trPr>
        <w:tc>
          <w:tcPr>
            <w:tcW w:w="1734"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1909"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应补退税额</w:t>
            </w:r>
          </w:p>
        </w:tc>
        <w:tc>
          <w:tcPr>
            <w:tcW w:w="14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bottom"/>
              <w:rPr>
                <w:rFonts w:hint="default" w:ascii="宋体" w:hAnsi="宋体" w:eastAsia="宋体" w:cs="宋体"/>
                <w:color w:val="000000"/>
                <w:sz w:val="22"/>
                <w:szCs w:val="22"/>
                <w:lang w:val="en-US" w:eastAsia="zh-CN"/>
              </w:rPr>
            </w:pPr>
            <w:r>
              <w:rPr>
                <w:rFonts w:hint="eastAsia" w:ascii="宋体" w:hAnsi="宋体" w:cs="宋体"/>
                <w:color w:val="000000"/>
                <w:kern w:val="0"/>
                <w:sz w:val="22"/>
                <w:szCs w:val="22"/>
                <w:lang w:val="en-US" w:eastAsia="zh-CN" w:bidi="ar"/>
              </w:rPr>
              <w:t>21</w:t>
            </w:r>
          </w:p>
        </w:tc>
        <w:tc>
          <w:tcPr>
            <w:tcW w:w="320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890" w:hRule="atLeast"/>
        </w:trPr>
        <w:tc>
          <w:tcPr>
            <w:tcW w:w="8305" w:type="dxa"/>
            <w:gridSpan w:val="4"/>
            <w:tcBorders>
              <w:top w:val="single" w:color="000000" w:sz="4" w:space="0"/>
              <w:left w:val="single" w:color="000000" w:sz="4" w:space="0"/>
              <w:bottom w:val="single" w:color="000000" w:sz="4" w:space="0"/>
              <w:right w:val="single" w:color="000000" w:sz="4" w:space="0"/>
            </w:tcBorders>
            <w:noWrap/>
            <w:tcMar>
              <w:left w:w="108" w:type="dxa"/>
              <w:right w:w="108" w:type="dxa"/>
            </w:tcMar>
            <w:vAlign w:val="top"/>
          </w:tcPr>
          <w:p>
            <w:pPr>
              <w:widowControl/>
              <w:jc w:val="center"/>
              <w:textAlignment w:val="top"/>
              <w:rPr>
                <w:rFonts w:hint="eastAsia" w:ascii="宋体" w:hAnsi="宋体" w:cs="宋体"/>
                <w:color w:val="000000"/>
                <w:sz w:val="22"/>
                <w:szCs w:val="22"/>
              </w:rPr>
            </w:pPr>
            <w:r>
              <w:rPr>
                <w:rFonts w:hint="eastAsia" w:ascii="宋体" w:hAnsi="宋体" w:cs="宋体"/>
                <w:color w:val="000000"/>
                <w:kern w:val="0"/>
                <w:sz w:val="22"/>
                <w:szCs w:val="22"/>
                <w:lang w:bidi="ar"/>
              </w:rPr>
              <w:t>备注</w:t>
            </w:r>
          </w:p>
        </w:tc>
      </w:tr>
      <w:tr>
        <w:tblPrEx>
          <w:tblLayout w:type="fixed"/>
          <w:tblCellMar>
            <w:top w:w="0" w:type="dxa"/>
            <w:left w:w="108" w:type="dxa"/>
            <w:bottom w:w="0" w:type="dxa"/>
            <w:right w:w="108" w:type="dxa"/>
          </w:tblCellMar>
        </w:tblPrEx>
        <w:trPr>
          <w:trHeight w:val="1110" w:hRule="atLeast"/>
        </w:trPr>
        <w:tc>
          <w:tcPr>
            <w:tcW w:w="8305" w:type="dxa"/>
            <w:gridSpan w:val="4"/>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top"/>
          </w:tcPr>
          <w:p>
            <w:pPr>
              <w:widowControl/>
              <w:jc w:val="center"/>
              <w:textAlignment w:val="top"/>
              <w:rPr>
                <w:rFonts w:hint="eastAsia" w:ascii="宋体" w:hAnsi="宋体" w:cs="宋体"/>
                <w:color w:val="000000"/>
                <w:sz w:val="22"/>
                <w:szCs w:val="22"/>
              </w:rPr>
            </w:pPr>
            <w:r>
              <w:rPr>
                <w:rFonts w:hint="eastAsia" w:ascii="宋体" w:hAnsi="宋体" w:cs="宋体"/>
                <w:color w:val="000000"/>
                <w:kern w:val="0"/>
                <w:sz w:val="22"/>
                <w:szCs w:val="22"/>
                <w:lang w:bidi="ar"/>
              </w:rPr>
              <w:t>谨声明：本表根据国家税收法律法规相关规定填报，本人对填报内容及附列资料真实性、完整性和准确性负责。</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纳税人（受托人）签字：   年  月   日</w:t>
            </w:r>
          </w:p>
        </w:tc>
      </w:tr>
      <w:tr>
        <w:tblPrEx>
          <w:tblLayout w:type="fixed"/>
          <w:tblCellMar>
            <w:top w:w="0" w:type="dxa"/>
            <w:left w:w="108" w:type="dxa"/>
            <w:bottom w:w="0" w:type="dxa"/>
            <w:right w:w="108" w:type="dxa"/>
          </w:tblCellMar>
        </w:tblPrEx>
        <w:trPr>
          <w:trHeight w:val="1320" w:hRule="atLeast"/>
        </w:trPr>
        <w:tc>
          <w:tcPr>
            <w:tcW w:w="3643"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经办人签字：</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经办人身份证件类型：</w:t>
            </w:r>
          </w:p>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eastAsia="zh-CN" w:bidi="ar"/>
              </w:rPr>
              <w:t>经办人身份证件号码：</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代理机构签章：</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代理机构统一社会信用代码：</w:t>
            </w:r>
          </w:p>
        </w:tc>
        <w:tc>
          <w:tcPr>
            <w:tcW w:w="466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受理人：</w:t>
            </w:r>
          </w:p>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受理税务机关</w:t>
            </w:r>
            <w:r>
              <w:rPr>
                <w:rFonts w:hint="eastAsia" w:ascii="宋体" w:hAnsi="宋体" w:cs="宋体"/>
                <w:color w:val="000000"/>
                <w:kern w:val="0"/>
                <w:sz w:val="22"/>
                <w:szCs w:val="22"/>
                <w:lang w:eastAsia="zh-CN" w:bidi="ar"/>
              </w:rPr>
              <w:t>（章）</w:t>
            </w:r>
            <w:r>
              <w:rPr>
                <w:rFonts w:hint="eastAsia" w:ascii="宋体" w:hAnsi="宋体" w:cs="宋体"/>
                <w:color w:val="000000"/>
                <w:kern w:val="0"/>
                <w:sz w:val="22"/>
                <w:szCs w:val="22"/>
                <w:lang w:bidi="ar"/>
              </w:rPr>
              <w:t>：</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受理日期：   年   月   日</w:t>
            </w:r>
          </w:p>
        </w:tc>
      </w:tr>
    </w:tbl>
    <w:p>
      <w:pPr>
        <w:jc w:val="center"/>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sz w:val="32"/>
          <w:szCs w:val="32"/>
        </w:rPr>
        <w:br w:type="page"/>
      </w:r>
      <w:r>
        <w:rPr>
          <w:rFonts w:hint="eastAsia" w:ascii="仿宋_GB2312" w:hAnsi="仿宋_GB2312" w:eastAsia="仿宋_GB2312" w:cs="仿宋_GB2312"/>
          <w:b/>
          <w:bCs/>
          <w:sz w:val="28"/>
          <w:szCs w:val="28"/>
        </w:rPr>
        <w:t>《离岸信托清算个人所得税纳税申报表》填报说明</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黑体" w:hAnsi="黑体" w:eastAsia="黑体" w:cs="黑体"/>
          <w:sz w:val="28"/>
          <w:szCs w:val="28"/>
        </w:rPr>
      </w:pP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一、适用范围</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表适用于将财产装入离岸信托的居民个人转为非居民个人、居民个人将财产装入离岸信托终止、将财产装入离岸信托的居民个人死亡且离岸信托相关权益由其他非居民个人承继或无人承继、非居民个人将财产装入离岸信托终止取得信托财产的居民个人，按照税法规定在办理纳税申报时填报。离岸信托是指依照境外法律规定设立的信托或具有信托功能的其他法律安排。</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二、报送期限</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eastAsia="仿宋_GB2312"/>
          <w:sz w:val="28"/>
          <w:szCs w:val="28"/>
        </w:rPr>
      </w:pPr>
      <w:r>
        <w:rPr>
          <w:rFonts w:hint="eastAsia" w:ascii="仿宋_GB2312" w:hAnsi="仿宋_GB2312" w:eastAsia="仿宋_GB2312" w:cs="仿宋_GB2312"/>
          <w:sz w:val="28"/>
          <w:szCs w:val="28"/>
        </w:rPr>
        <w:t>将财产装入离岸信托的居民个人转为非居民个人的，居民个人在转为非居民个人之日次月15日内向主管税务机关报送本表。居民个人将财产装入离岸信托终止的，居民个人</w:t>
      </w:r>
      <w:r>
        <w:rPr>
          <w:rFonts w:ascii="仿宋_GB2312" w:eastAsia="仿宋_GB2312"/>
          <w:sz w:val="28"/>
          <w:szCs w:val="28"/>
        </w:rPr>
        <w:t>在清算完成</w:t>
      </w:r>
      <w:r>
        <w:rPr>
          <w:rFonts w:hint="eastAsia" w:ascii="仿宋_GB2312" w:eastAsia="仿宋_GB2312"/>
          <w:sz w:val="28"/>
          <w:szCs w:val="28"/>
          <w:lang w:eastAsia="zh-CN"/>
        </w:rPr>
        <w:t>之日</w:t>
      </w:r>
      <w:r>
        <w:rPr>
          <w:rFonts w:ascii="仿宋_GB2312" w:eastAsia="仿宋_GB2312"/>
          <w:sz w:val="28"/>
          <w:szCs w:val="28"/>
        </w:rPr>
        <w:t>次月</w:t>
      </w:r>
      <w:r>
        <w:rPr>
          <w:rFonts w:hint="eastAsia" w:ascii="仿宋_GB2312" w:eastAsia="仿宋_GB2312"/>
          <w:sz w:val="28"/>
          <w:szCs w:val="28"/>
        </w:rPr>
        <w:t>1</w:t>
      </w:r>
      <w:r>
        <w:rPr>
          <w:rFonts w:ascii="仿宋_GB2312" w:eastAsia="仿宋_GB2312"/>
          <w:sz w:val="28"/>
          <w:szCs w:val="28"/>
        </w:rPr>
        <w:t>5日内向</w:t>
      </w:r>
      <w:r>
        <w:rPr>
          <w:rFonts w:hint="eastAsia" w:ascii="仿宋_GB2312" w:eastAsia="仿宋_GB2312"/>
          <w:sz w:val="28"/>
          <w:szCs w:val="28"/>
        </w:rPr>
        <w:t>主管</w:t>
      </w:r>
      <w:r>
        <w:rPr>
          <w:rFonts w:ascii="仿宋_GB2312" w:eastAsia="仿宋_GB2312"/>
          <w:sz w:val="28"/>
          <w:szCs w:val="28"/>
        </w:rPr>
        <w:t>税务机关报送</w:t>
      </w:r>
      <w:r>
        <w:rPr>
          <w:rFonts w:hint="eastAsia" w:ascii="仿宋_GB2312" w:eastAsia="仿宋_GB2312"/>
          <w:sz w:val="28"/>
          <w:szCs w:val="28"/>
        </w:rPr>
        <w:t>本表。非居民个人</w:t>
      </w:r>
      <w:r>
        <w:rPr>
          <w:rFonts w:hint="eastAsia" w:ascii="仿宋_GB2312" w:eastAsia="仿宋_GB2312"/>
          <w:sz w:val="28"/>
          <w:szCs w:val="28"/>
          <w:lang w:eastAsia="zh-CN"/>
        </w:rPr>
        <w:t>装入财产的离岸信托</w:t>
      </w:r>
      <w:r>
        <w:rPr>
          <w:rFonts w:hint="eastAsia" w:ascii="仿宋_GB2312" w:eastAsia="仿宋_GB2312"/>
          <w:sz w:val="28"/>
          <w:szCs w:val="28"/>
        </w:rPr>
        <w:t>终止时</w:t>
      </w:r>
      <w:r>
        <w:rPr>
          <w:rFonts w:hint="eastAsia" w:ascii="仿宋_GB2312" w:eastAsia="仿宋_GB2312"/>
          <w:sz w:val="28"/>
          <w:szCs w:val="28"/>
          <w:lang w:eastAsia="zh-CN"/>
        </w:rPr>
        <w:t>，</w:t>
      </w:r>
      <w:r>
        <w:rPr>
          <w:rFonts w:hint="eastAsia" w:ascii="仿宋_GB2312" w:eastAsia="仿宋_GB2312"/>
          <w:sz w:val="28"/>
          <w:szCs w:val="28"/>
        </w:rPr>
        <w:t>取得信托财产的居民个人在清算完成之日次月15日内向主管税务机关报送本表。</w:t>
      </w:r>
      <w:r>
        <w:rPr>
          <w:rFonts w:ascii="仿宋_GB2312" w:eastAsia="仿宋_GB2312"/>
          <w:sz w:val="28"/>
          <w:szCs w:val="28"/>
        </w:rPr>
        <w:t>居民个人将财产装入离岸信托后死亡</w:t>
      </w:r>
      <w:r>
        <w:rPr>
          <w:rFonts w:hint="eastAsia" w:ascii="仿宋_GB2312" w:eastAsia="仿宋_GB2312"/>
          <w:sz w:val="28"/>
          <w:szCs w:val="28"/>
        </w:rPr>
        <w:t>并且离岸信托由其他非居民个人承继或者无人承继</w:t>
      </w:r>
      <w:r>
        <w:rPr>
          <w:rFonts w:ascii="仿宋_GB2312" w:eastAsia="仿宋_GB2312"/>
          <w:sz w:val="28"/>
          <w:szCs w:val="28"/>
        </w:rPr>
        <w:t>的，离岸信托受托人</w:t>
      </w:r>
      <w:r>
        <w:rPr>
          <w:rFonts w:hint="eastAsia" w:ascii="仿宋_GB2312" w:eastAsia="仿宋_GB2312"/>
          <w:sz w:val="28"/>
          <w:szCs w:val="28"/>
        </w:rPr>
        <w:t>或其指定的境内机构在居民个人死亡</w:t>
      </w:r>
      <w:r>
        <w:rPr>
          <w:rFonts w:ascii="仿宋_GB2312" w:eastAsia="仿宋_GB2312"/>
          <w:sz w:val="28"/>
          <w:szCs w:val="28"/>
        </w:rPr>
        <w:t>次月</w:t>
      </w:r>
      <w:r>
        <w:rPr>
          <w:rFonts w:hint="eastAsia" w:ascii="仿宋_GB2312" w:eastAsia="仿宋_GB2312"/>
          <w:sz w:val="28"/>
          <w:szCs w:val="28"/>
        </w:rPr>
        <w:t>1</w:t>
      </w:r>
      <w:r>
        <w:rPr>
          <w:rFonts w:ascii="仿宋_GB2312" w:eastAsia="仿宋_GB2312"/>
          <w:sz w:val="28"/>
          <w:szCs w:val="28"/>
        </w:rPr>
        <w:t>5日内向</w:t>
      </w:r>
      <w:r>
        <w:rPr>
          <w:rFonts w:hint="eastAsia" w:ascii="仿宋_GB2312" w:eastAsia="仿宋_GB2312"/>
          <w:sz w:val="28"/>
          <w:szCs w:val="28"/>
        </w:rPr>
        <w:t>主管</w:t>
      </w:r>
      <w:r>
        <w:rPr>
          <w:rFonts w:ascii="仿宋_GB2312" w:eastAsia="仿宋_GB2312"/>
          <w:sz w:val="28"/>
          <w:szCs w:val="28"/>
        </w:rPr>
        <w:t>税务机关报送</w:t>
      </w:r>
      <w:r>
        <w:rPr>
          <w:rFonts w:hint="eastAsia" w:ascii="仿宋_GB2312" w:eastAsia="仿宋_GB2312"/>
          <w:sz w:val="28"/>
          <w:szCs w:val="28"/>
        </w:rPr>
        <w:t>本表。</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三、本表各栏填写</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ascii="仿宋_GB2312" w:eastAsia="仿宋_GB2312"/>
          <w:sz w:val="28"/>
          <w:szCs w:val="28"/>
        </w:rPr>
      </w:pPr>
      <w:r>
        <w:rPr>
          <w:rFonts w:hint="eastAsia" w:ascii="仿宋_GB2312" w:hAnsi="仿宋_GB2312" w:eastAsia="仿宋_GB2312" w:cs="仿宋_GB2312"/>
          <w:sz w:val="28"/>
          <w:szCs w:val="28"/>
        </w:rPr>
        <w:t>1.税款所属期：将财产装入离岸信托的居民个人转为非居民个人的，填报转为非居民个人</w:t>
      </w:r>
      <w:r>
        <w:rPr>
          <w:rFonts w:hint="eastAsia" w:ascii="仿宋_GB2312" w:hAnsi="仿宋_GB2312" w:eastAsia="仿宋_GB2312" w:cs="仿宋_GB2312"/>
          <w:sz w:val="28"/>
          <w:szCs w:val="28"/>
          <w:lang w:eastAsia="zh-CN"/>
        </w:rPr>
        <w:t>当年</w:t>
      </w:r>
      <w:r>
        <w:rPr>
          <w:rFonts w:hint="eastAsia" w:ascii="仿宋_GB2312" w:hAnsi="仿宋_GB2312" w:eastAsia="仿宋_GB2312" w:cs="仿宋_GB2312"/>
          <w:sz w:val="28"/>
          <w:szCs w:val="28"/>
        </w:rPr>
        <w:t>1月1日至转为非居民个人的日期；居民个人将财产装入离岸信托终止的，填报离岸信托终止当年1月1日至离岸信托终止</w:t>
      </w:r>
      <w:r>
        <w:rPr>
          <w:rFonts w:hint="eastAsia" w:ascii="仿宋_GB2312" w:hAnsi="仿宋_GB2312" w:eastAsia="仿宋_GB2312" w:cs="仿宋_GB2312"/>
          <w:sz w:val="28"/>
          <w:szCs w:val="28"/>
          <w:lang w:eastAsia="zh-CN"/>
        </w:rPr>
        <w:t>之</w:t>
      </w:r>
      <w:r>
        <w:rPr>
          <w:rFonts w:hint="eastAsia" w:ascii="仿宋_GB2312" w:hAnsi="仿宋_GB2312" w:eastAsia="仿宋_GB2312" w:cs="仿宋_GB2312"/>
          <w:sz w:val="28"/>
          <w:szCs w:val="28"/>
        </w:rPr>
        <w:t>日；</w:t>
      </w:r>
      <w:r>
        <w:rPr>
          <w:rFonts w:ascii="仿宋_GB2312" w:eastAsia="仿宋_GB2312"/>
          <w:sz w:val="28"/>
          <w:szCs w:val="28"/>
        </w:rPr>
        <w:t>居民个人将财产装入离岸信托后死亡</w:t>
      </w:r>
      <w:r>
        <w:rPr>
          <w:rFonts w:hint="eastAsia" w:ascii="仿宋_GB2312" w:eastAsia="仿宋_GB2312"/>
          <w:sz w:val="28"/>
          <w:szCs w:val="28"/>
        </w:rPr>
        <w:t>且离岸信托由非居民个人承继或者无人承继</w:t>
      </w:r>
      <w:r>
        <w:rPr>
          <w:rFonts w:ascii="仿宋_GB2312" w:eastAsia="仿宋_GB2312"/>
          <w:sz w:val="28"/>
          <w:szCs w:val="28"/>
        </w:rPr>
        <w:t>的，</w:t>
      </w:r>
      <w:r>
        <w:rPr>
          <w:rFonts w:hint="eastAsia" w:ascii="仿宋_GB2312" w:eastAsia="仿宋_GB2312"/>
          <w:sz w:val="28"/>
          <w:szCs w:val="28"/>
        </w:rPr>
        <w:t>填报</w:t>
      </w:r>
      <w:r>
        <w:rPr>
          <w:rFonts w:hint="eastAsia" w:ascii="仿宋_GB2312" w:eastAsia="仿宋_GB2312"/>
          <w:sz w:val="28"/>
          <w:szCs w:val="28"/>
          <w:lang w:eastAsia="zh-CN"/>
        </w:rPr>
        <w:t>居民个人</w:t>
      </w:r>
      <w:r>
        <w:rPr>
          <w:rFonts w:hint="eastAsia" w:ascii="仿宋_GB2312" w:eastAsia="仿宋_GB2312"/>
          <w:sz w:val="28"/>
          <w:szCs w:val="28"/>
        </w:rPr>
        <w:t>死亡当年1月1日至死亡之日。</w:t>
      </w:r>
      <w:r>
        <w:rPr>
          <w:rFonts w:hint="eastAsia" w:ascii="仿宋_GB2312" w:hAnsi="仿宋_GB2312" w:eastAsia="仿宋_GB2312" w:cs="仿宋_GB2312"/>
          <w:sz w:val="28"/>
          <w:szCs w:val="28"/>
        </w:rPr>
        <w:t>非居民个人将财产装入离岸信托终止取得信托财产的居民个人，填报取得信托财产当年1月1日至清算完成之日。</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2.清算类型：根据纳税人情况勾选。</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3.纳税人</w:t>
      </w:r>
      <w:r>
        <w:rPr>
          <w:rFonts w:hint="eastAsia" w:ascii="仿宋_GB2312" w:hAnsi="仿宋_GB2312" w:eastAsia="仿宋_GB2312" w:cs="仿宋_GB2312"/>
          <w:sz w:val="28"/>
          <w:szCs w:val="28"/>
          <w:lang w:eastAsia="zh-CN"/>
        </w:rPr>
        <w:t>姓名</w:t>
      </w:r>
      <w:r>
        <w:rPr>
          <w:rFonts w:hint="eastAsia" w:ascii="仿宋_GB2312" w:hAnsi="仿宋_GB2312" w:eastAsia="仿宋_GB2312" w:cs="仿宋_GB2312"/>
          <w:sz w:val="28"/>
          <w:szCs w:val="28"/>
        </w:rPr>
        <w:t>：填写居民个人姓名。</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4.纳税人识别号：有中国公民身份号码的，填写中华人民共和国居民身份证上载明的“公民身份号码”；没有中国公民身份号码的，填写税务机关赋予的纳税人识别号。</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5.纳税人身份</w:t>
      </w:r>
      <w:r>
        <w:rPr>
          <w:rFonts w:hint="eastAsia" w:ascii="仿宋_GB2312" w:hAnsi="仿宋_GB2312" w:eastAsia="仿宋_GB2312" w:cs="仿宋_GB2312"/>
          <w:sz w:val="28"/>
          <w:szCs w:val="28"/>
          <w:lang w:eastAsia="zh-CN"/>
        </w:rPr>
        <w:t>类型</w:t>
      </w:r>
      <w:r>
        <w:rPr>
          <w:rFonts w:hint="eastAsia" w:ascii="仿宋_GB2312" w:hAnsi="仿宋_GB2312" w:eastAsia="仿宋_GB2312" w:cs="仿宋_GB2312"/>
          <w:sz w:val="28"/>
          <w:szCs w:val="28"/>
        </w:rPr>
        <w:t>：根据</w:t>
      </w:r>
      <w:r>
        <w:rPr>
          <w:rFonts w:hint="eastAsia" w:ascii="仿宋_GB2312" w:hAnsi="仿宋_GB2312" w:eastAsia="仿宋_GB2312" w:cs="仿宋_GB2312"/>
          <w:sz w:val="28"/>
          <w:szCs w:val="28"/>
          <w:lang w:eastAsia="zh-CN"/>
        </w:rPr>
        <w:t>纳税人</w:t>
      </w:r>
      <w:r>
        <w:rPr>
          <w:rFonts w:hint="eastAsia" w:ascii="仿宋_GB2312" w:hAnsi="仿宋_GB2312" w:eastAsia="仿宋_GB2312" w:cs="仿宋_GB2312"/>
          <w:sz w:val="28"/>
          <w:szCs w:val="28"/>
        </w:rPr>
        <w:t>情况勾选。勾选由受托人</w:t>
      </w:r>
      <w:r>
        <w:rPr>
          <w:rFonts w:hint="eastAsia" w:ascii="仿宋_GB2312" w:hAnsi="仿宋_GB2312" w:eastAsia="仿宋_GB2312" w:cs="仿宋_GB2312"/>
          <w:sz w:val="28"/>
          <w:szCs w:val="28"/>
          <w:lang w:eastAsia="zh-CN"/>
        </w:rPr>
        <w:t>或其指定的境内机构</w:t>
      </w:r>
      <w:r>
        <w:rPr>
          <w:rFonts w:hint="eastAsia" w:ascii="仿宋_GB2312" w:hAnsi="仿宋_GB2312" w:eastAsia="仿宋_GB2312" w:cs="仿宋_GB2312"/>
          <w:sz w:val="28"/>
          <w:szCs w:val="28"/>
        </w:rPr>
        <w:t>代为申报缴税的，需填报名称和纳税人识别号。</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6.清算当年1月1日至离岸信托终止</w:t>
      </w:r>
      <w:r>
        <w:rPr>
          <w:rFonts w:hint="eastAsia" w:ascii="仿宋_GB2312" w:hAnsi="仿宋_GB2312" w:eastAsia="仿宋_GB2312" w:cs="仿宋_GB2312"/>
          <w:sz w:val="28"/>
          <w:szCs w:val="28"/>
          <w:lang w:eastAsia="zh-CN"/>
        </w:rPr>
        <w:t>之</w:t>
      </w:r>
      <w:r>
        <w:rPr>
          <w:rFonts w:hint="eastAsia" w:ascii="仿宋_GB2312" w:hAnsi="仿宋_GB2312" w:eastAsia="仿宋_GB2312" w:cs="仿宋_GB2312"/>
          <w:sz w:val="28"/>
          <w:szCs w:val="28"/>
        </w:rPr>
        <w:t>日（装入财产的居民个人转为非居民个人当日</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装入财产居民个人死亡当日）收益个人所得税计算：将财产装入离岸信托的居民个人转为非居民个人的，填报转为非居民个人当年1月1日至转为非居民个人之日期间的收益情况。居民个人将财产装入离岸信托终止的，填报离岸信托终止当年1月1日至终止日期间产生的收益情况。将财产装入离岸信托的居民个人死亡且离岸信托相关权益由其他非居民个人承继或无人承继的，填报居民个人死亡当年1月1日至死亡之日期间的收益情况。非居民个人将财产装入离岸信托终止</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取得信托财产的居民个人不填报本项。</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清算收益个人所得税计算：将财产装入离岸信托的居民个人转为非居民个人的，以转为非居民个人当日离岸信托财产的市场价值扣除原值后的余额计算。居民个人将财产装入离岸信托终止的，信托财产的清算收益为清算终止之日信托财产的市场价值扣除财产原值以及合理费用后的余额计算。居民个人将财产装入离岸信托后死亡，离岸信托由其他非居民个人承继或者无人承继的，以死亡当日信托财产市场价值扣除原值后的余额计算。非居民个人将财产装入离岸信托终止</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取得信托财产的居民个人按照取得的信托财产市场价值计算，不扣除财产原值</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费用。</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8.</w:t>
      </w:r>
      <w:r>
        <w:rPr>
          <w:rFonts w:ascii="仿宋_GB2312" w:hAnsi="仿宋_GB2312" w:eastAsia="仿宋_GB2312" w:cs="仿宋_GB2312"/>
          <w:sz w:val="28"/>
          <w:szCs w:val="28"/>
        </w:rPr>
        <w:t>备注</w:t>
      </w:r>
      <w:r>
        <w:rPr>
          <w:rFonts w:hint="eastAsia" w:ascii="仿宋_GB2312" w:hAnsi="仿宋_GB2312" w:eastAsia="仿宋_GB2312" w:cs="仿宋_GB2312"/>
          <w:sz w:val="28"/>
          <w:szCs w:val="28"/>
        </w:rPr>
        <w:t>：</w:t>
      </w:r>
      <w:r>
        <w:rPr>
          <w:rFonts w:ascii="仿宋_GB2312" w:hAnsi="仿宋_GB2312" w:eastAsia="仿宋_GB2312" w:cs="仿宋_GB2312"/>
          <w:sz w:val="28"/>
          <w:szCs w:val="28"/>
        </w:rPr>
        <w:t>填写</w:t>
      </w:r>
      <w:r>
        <w:rPr>
          <w:rFonts w:hint="eastAsia" w:ascii="仿宋_GB2312" w:hAnsi="仿宋_GB2312" w:eastAsia="仿宋_GB2312" w:cs="仿宋_GB2312"/>
          <w:sz w:val="28"/>
          <w:szCs w:val="28"/>
          <w:lang w:eastAsia="zh-CN"/>
        </w:rPr>
        <w:t>纳税人、受托人</w:t>
      </w:r>
      <w:r>
        <w:rPr>
          <w:rFonts w:ascii="仿宋_GB2312" w:hAnsi="仿宋_GB2312" w:eastAsia="仿宋_GB2312" w:cs="仿宋_GB2312"/>
          <w:sz w:val="28"/>
          <w:szCs w:val="28"/>
        </w:rPr>
        <w:t>认为需要特别说明的或者按照有关规定需要说明的事项。</w:t>
      </w:r>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WZT-EN">
    <w:altName w:val="宋体"/>
    <w:panose1 w:val="02000000000000000000"/>
    <w:charset w:val="86"/>
    <w:family w:val="auto"/>
    <w:pitch w:val="default"/>
    <w:sig w:usb0="0000000F" w:usb1="28810000" w:usb2="00000000" w:usb3="00000000" w:csb0="00140001" w:csb1="00000000"/>
  </w:font>
  <w:font w:name="方正小标宋_GBK">
    <w:altName w:val="微软雅黑"/>
    <w:panose1 w:val="02000000000000000000"/>
    <w:charset w:val="86"/>
    <w:family w:val="auto"/>
    <w:pitch w:val="default"/>
    <w:sig w:usb0="00000001" w:usb1="08000000" w:usb2="00000000" w:usb3="00000000" w:csb0="00040000" w:csb1="00000000"/>
  </w:font>
  <w:font w:name="仿宋_GB2312">
    <w:altName w:val="仿宋"/>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eastAsia" w:ascii="GWZT-EN" w:hAnsi="GWZT-EN" w:eastAsia="GWZT-EN" w:cs="GWZT-EN"/>
                              <w:b w:val="0"/>
                              <w:bCs w:val="0"/>
                            </w:rPr>
                          </w:pPr>
                          <w:r>
                            <w:rPr>
                              <w:rFonts w:hint="eastAsia" w:ascii="GWZT-EN" w:hAnsi="GWZT-EN" w:eastAsia="GWZT-EN" w:cs="GWZT-EN"/>
                              <w:b w:val="0"/>
                              <w:bCs w:val="0"/>
                            </w:rPr>
                            <w:fldChar w:fldCharType="begin"/>
                          </w:r>
                          <w:r>
                            <w:rPr>
                              <w:rFonts w:hint="eastAsia" w:ascii="GWZT-EN" w:hAnsi="GWZT-EN" w:eastAsia="GWZT-EN" w:cs="GWZT-EN"/>
                              <w:b w:val="0"/>
                              <w:bCs w:val="0"/>
                            </w:rPr>
                            <w:instrText xml:space="preserve"> PAGE  \* MERGEFORMAT </w:instrText>
                          </w:r>
                          <w:r>
                            <w:rPr>
                              <w:rFonts w:hint="eastAsia" w:ascii="GWZT-EN" w:hAnsi="GWZT-EN" w:eastAsia="GWZT-EN" w:cs="GWZT-EN"/>
                              <w:b w:val="0"/>
                              <w:bCs w:val="0"/>
                            </w:rPr>
                            <w:fldChar w:fldCharType="separate"/>
                          </w:r>
                          <w:r>
                            <w:rPr>
                              <w:rFonts w:hint="eastAsia" w:ascii="GWZT-EN" w:hAnsi="GWZT-EN" w:eastAsia="GWZT-EN" w:cs="GWZT-EN"/>
                              <w:b w:val="0"/>
                              <w:bCs w:val="0"/>
                            </w:rPr>
                            <w:t>1</w:t>
                          </w:r>
                          <w:r>
                            <w:rPr>
                              <w:rFonts w:hint="eastAsia" w:ascii="GWZT-EN" w:hAnsi="GWZT-EN" w:eastAsia="GWZT-EN" w:cs="GWZT-EN"/>
                              <w:b w:val="0"/>
                              <w:bCs w:val="0"/>
                            </w:rPr>
                            <w:fldChar w:fldCharType="end"/>
                          </w:r>
                        </w:p>
                      </w:txbxContent>
                    </wps:txbx>
                    <wps:bodyPr vert="horz" wrap="none" lIns="0" tIns="0" rIns="0" bIns="0" anchor="t"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6pebnPAAAABQEAAA8AAAAAAAAAAQAgAAAAIgAAAGRycy9kb3ducmV2LnhtbFBLAQIUABQAAAAI&#10;AIdO4kC2uHOIvQEAAGIDAAAOAAAAAAAAAAEAIAAAAB4BAABkcnMvZTJvRG9jLnhtbFBLBQYAAAAA&#10;BgAGAFkBAABNBQAAAAA=&#10;">
              <v:fill on="f" focussize="0,0"/>
              <v:stroke on="f"/>
              <v:imagedata o:title=""/>
              <o:lock v:ext="edit" aspectratio="f"/>
              <v:textbox inset="0mm,0mm,0mm,0mm" style="mso-fit-shape-to-text:t;">
                <w:txbxContent>
                  <w:p>
                    <w:pPr>
                      <w:pStyle w:val="2"/>
                      <w:rPr>
                        <w:rFonts w:hint="eastAsia" w:ascii="GWZT-EN" w:hAnsi="GWZT-EN" w:eastAsia="GWZT-EN" w:cs="GWZT-EN"/>
                        <w:b w:val="0"/>
                        <w:bCs w:val="0"/>
                      </w:rPr>
                    </w:pPr>
                    <w:r>
                      <w:rPr>
                        <w:rFonts w:hint="eastAsia" w:ascii="GWZT-EN" w:hAnsi="GWZT-EN" w:eastAsia="GWZT-EN" w:cs="GWZT-EN"/>
                        <w:b w:val="0"/>
                        <w:bCs w:val="0"/>
                      </w:rPr>
                      <w:fldChar w:fldCharType="begin"/>
                    </w:r>
                    <w:r>
                      <w:rPr>
                        <w:rFonts w:hint="eastAsia" w:ascii="GWZT-EN" w:hAnsi="GWZT-EN" w:eastAsia="GWZT-EN" w:cs="GWZT-EN"/>
                        <w:b w:val="0"/>
                        <w:bCs w:val="0"/>
                      </w:rPr>
                      <w:instrText xml:space="preserve"> PAGE  \* MERGEFORMAT </w:instrText>
                    </w:r>
                    <w:r>
                      <w:rPr>
                        <w:rFonts w:hint="eastAsia" w:ascii="GWZT-EN" w:hAnsi="GWZT-EN" w:eastAsia="GWZT-EN" w:cs="GWZT-EN"/>
                        <w:b w:val="0"/>
                        <w:bCs w:val="0"/>
                      </w:rPr>
                      <w:fldChar w:fldCharType="separate"/>
                    </w:r>
                    <w:r>
                      <w:rPr>
                        <w:rFonts w:hint="eastAsia" w:ascii="GWZT-EN" w:hAnsi="GWZT-EN" w:eastAsia="GWZT-EN" w:cs="GWZT-EN"/>
                        <w:b w:val="0"/>
                        <w:bCs w:val="0"/>
                      </w:rPr>
                      <w:t>1</w:t>
                    </w:r>
                    <w:r>
                      <w:rPr>
                        <w:rFonts w:hint="eastAsia" w:ascii="GWZT-EN" w:hAnsi="GWZT-EN" w:eastAsia="GWZT-EN" w:cs="GWZT-EN"/>
                        <w:b w:val="0"/>
                        <w:bCs w:val="0"/>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DBF1AA0"/>
    <w:rsid w:val="006A08B4"/>
    <w:rsid w:val="00E32860"/>
    <w:rsid w:val="0FF589D0"/>
    <w:rsid w:val="175F3DFB"/>
    <w:rsid w:val="1CC901BE"/>
    <w:rsid w:val="2BFF430E"/>
    <w:rsid w:val="2ECF032B"/>
    <w:rsid w:val="34C60908"/>
    <w:rsid w:val="3DFDF167"/>
    <w:rsid w:val="3FD369DD"/>
    <w:rsid w:val="3FDBD497"/>
    <w:rsid w:val="5CFF0E07"/>
    <w:rsid w:val="5FD7BF7B"/>
    <w:rsid w:val="665D7DAB"/>
    <w:rsid w:val="6DFF3D28"/>
    <w:rsid w:val="75FB0DEA"/>
    <w:rsid w:val="777FA11A"/>
    <w:rsid w:val="7915E499"/>
    <w:rsid w:val="7971B614"/>
    <w:rsid w:val="7BFC5BBC"/>
    <w:rsid w:val="7C9F7678"/>
    <w:rsid w:val="7DFFB0C5"/>
    <w:rsid w:val="7EEB0AE5"/>
    <w:rsid w:val="8EEFB258"/>
    <w:rsid w:val="97FF76F1"/>
    <w:rsid w:val="AFFBC8B6"/>
    <w:rsid w:val="BBFFCFE9"/>
    <w:rsid w:val="BEF5DD31"/>
    <w:rsid w:val="D9EAF856"/>
    <w:rsid w:val="DEFEDAC6"/>
    <w:rsid w:val="DF1B57F2"/>
    <w:rsid w:val="DF55D2A1"/>
    <w:rsid w:val="EBF665C4"/>
    <w:rsid w:val="EDBF1AA0"/>
    <w:rsid w:val="EDFE12E2"/>
    <w:rsid w:val="EF4D7860"/>
    <w:rsid w:val="F4EEFB6F"/>
    <w:rsid w:val="F5AF178A"/>
    <w:rsid w:val="F5FDB7B9"/>
    <w:rsid w:val="F5FFBBA4"/>
    <w:rsid w:val="F9BF954C"/>
    <w:rsid w:val="FBF0F658"/>
    <w:rsid w:val="FDD2E31A"/>
    <w:rsid w:val="FDEF7E10"/>
    <w:rsid w:val="FF7A1FEA"/>
    <w:rsid w:val="FFBE1C7D"/>
    <w:rsid w:val="FFCB32B1"/>
    <w:rsid w:val="FFF9FB21"/>
    <w:rsid w:val="FFFF1B8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Style w:val="5"/>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337</Words>
  <Characters>1927</Characters>
  <Lines>16</Lines>
  <Paragraphs>4</Paragraphs>
  <TotalTime>0</TotalTime>
  <ScaleCrop>false</ScaleCrop>
  <LinksUpToDate>false</LinksUpToDate>
  <CharactersWithSpaces>2260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2026-07-16T01:12:00Z</dcterms:created>
  <dc:creator>羊坊店</dc:creator>
  <cp:lastModifiedBy>HHH</cp:lastModifiedBy>
  <cp:lastPrinted>2026-07-24T18:56:39Z</cp:lastPrinted>
  <dcterms:modified xsi:type="dcterms:W3CDTF">2026-07-27T01:33:30Z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E27B2518EF315645FDEC4E6A82E4320C_43</vt:lpwstr>
  </property>
</Properties>
</file>