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06BAF">
      <w:pPr>
        <w:pStyle w:val="2"/>
        <w:keepLines w:val="0"/>
        <w:pageBreakBefore w:val="0"/>
        <w:kinsoku/>
        <w:wordWrap/>
        <w:overflowPunct/>
        <w:topLinePunct w:val="0"/>
        <w:autoSpaceDE/>
        <w:autoSpaceDN/>
        <w:bidi w:val="0"/>
        <w:spacing w:line="580" w:lineRule="exact"/>
        <w:jc w:val="both"/>
        <w:textAlignment w:val="auto"/>
        <w:rPr>
          <w:rFonts w:hint="eastAsia" w:ascii="Times New Roman" w:hAnsi="Times New Roman" w:eastAsia="方正黑体_GBK" w:cs="方正黑体_GBK"/>
          <w:sz w:val="32"/>
          <w:szCs w:val="32"/>
          <w:lang w:val="en-US" w:eastAsia="zh-CN"/>
        </w:rPr>
      </w:pPr>
      <w:bookmarkStart w:id="0" w:name="_GoBack"/>
      <w:bookmarkEnd w:id="0"/>
      <w:r>
        <w:rPr>
          <w:rFonts w:hint="eastAsia" w:ascii="Times New Roman" w:hAnsi="Times New Roman" w:eastAsia="方正黑体_GBK" w:cs="方正黑体_GBK"/>
          <w:sz w:val="32"/>
          <w:szCs w:val="32"/>
          <w:lang w:eastAsia="zh-CN"/>
        </w:rPr>
        <w:t>附件</w:t>
      </w:r>
      <w:r>
        <w:rPr>
          <w:rFonts w:hint="eastAsia" w:ascii="Times New Roman" w:hAnsi="Times New Roman" w:eastAsia="方正黑体_GBK" w:cs="方正黑体_GBK"/>
          <w:sz w:val="32"/>
          <w:szCs w:val="32"/>
          <w:lang w:val="en-US" w:eastAsia="zh-CN"/>
        </w:rPr>
        <w:t>3</w:t>
      </w:r>
    </w:p>
    <w:p w14:paraId="5C0C42B9">
      <w:pPr>
        <w:pStyle w:val="2"/>
        <w:keepLines w:val="0"/>
        <w:pageBreakBefore w:val="0"/>
        <w:kinsoku/>
        <w:wordWrap/>
        <w:overflowPunct/>
        <w:topLinePunct w:val="0"/>
        <w:autoSpaceDE/>
        <w:autoSpaceDN/>
        <w:bidi w:val="0"/>
        <w:spacing w:line="580" w:lineRule="exact"/>
        <w:textAlignment w:val="auto"/>
        <w:rPr>
          <w:rFonts w:hint="eastAsia" w:ascii="Times New Roman" w:hAnsi="Times New Roman"/>
          <w:sz w:val="44"/>
          <w:szCs w:val="44"/>
          <w:lang w:eastAsia="zh-CN"/>
        </w:rPr>
      </w:pPr>
    </w:p>
    <w:p w14:paraId="7C237022">
      <w:pPr>
        <w:pStyle w:val="2"/>
        <w:keepLines w:val="0"/>
        <w:pageBreakBefore w:val="0"/>
        <w:kinsoku/>
        <w:wordWrap/>
        <w:overflowPunct/>
        <w:topLinePunct w:val="0"/>
        <w:autoSpaceDE/>
        <w:autoSpaceDN/>
        <w:bidi w:val="0"/>
        <w:spacing w:line="580" w:lineRule="exact"/>
        <w:textAlignment w:val="auto"/>
        <w:rPr>
          <w:rFonts w:hint="default" w:ascii="Times New Roman" w:hAnsi="Times New Roman" w:eastAsia="方正小标宋简体"/>
          <w:sz w:val="44"/>
          <w:szCs w:val="44"/>
          <w:lang w:val="en-US" w:eastAsia="zh-CN"/>
        </w:rPr>
      </w:pPr>
      <w:r>
        <w:rPr>
          <w:rFonts w:hint="eastAsia" w:ascii="Times New Roman" w:hAnsi="Times New Roman"/>
          <w:sz w:val="44"/>
          <w:szCs w:val="44"/>
          <w:lang w:eastAsia="zh-CN"/>
        </w:rPr>
        <w:t>《湖南</w:t>
      </w:r>
      <w:r>
        <w:rPr>
          <w:rFonts w:hint="eastAsia" w:ascii="Times New Roman" w:hAnsi="Times New Roman"/>
          <w:sz w:val="44"/>
          <w:szCs w:val="44"/>
        </w:rPr>
        <w:t>省“十五五”市场监管</w:t>
      </w:r>
      <w:r>
        <w:rPr>
          <w:rFonts w:hint="eastAsia" w:ascii="Times New Roman" w:hAnsi="Times New Roman"/>
          <w:sz w:val="44"/>
          <w:szCs w:val="44"/>
          <w:lang w:eastAsia="zh-CN"/>
        </w:rPr>
        <w:t>（知识产权）</w:t>
      </w:r>
      <w:r>
        <w:rPr>
          <w:rFonts w:hint="eastAsia" w:ascii="Times New Roman" w:hAnsi="Times New Roman"/>
          <w:sz w:val="44"/>
          <w:szCs w:val="44"/>
        </w:rPr>
        <w:t>高质量发展规划（征求意见稿）</w:t>
      </w:r>
      <w:r>
        <w:rPr>
          <w:rFonts w:hint="eastAsia" w:ascii="Times New Roman" w:hAnsi="Times New Roman"/>
          <w:sz w:val="44"/>
          <w:szCs w:val="44"/>
          <w:lang w:eastAsia="zh-CN"/>
        </w:rPr>
        <w:t>》</w:t>
      </w:r>
      <w:r>
        <w:rPr>
          <w:rFonts w:hint="eastAsia" w:ascii="Times New Roman" w:hAnsi="Times New Roman"/>
          <w:sz w:val="44"/>
          <w:szCs w:val="44"/>
          <w:lang w:val="en-US" w:eastAsia="zh-CN"/>
        </w:rPr>
        <w:t>起草说明</w:t>
      </w:r>
    </w:p>
    <w:p w14:paraId="3A716EEC">
      <w:pPr>
        <w:keepLines w:val="0"/>
        <w:pageBreakBefore w:val="0"/>
        <w:kinsoku/>
        <w:wordWrap/>
        <w:overflowPunct/>
        <w:topLinePunct w:val="0"/>
        <w:autoSpaceDE/>
        <w:autoSpaceDN/>
        <w:bidi w:val="0"/>
        <w:spacing w:line="580" w:lineRule="exact"/>
        <w:textAlignment w:val="auto"/>
        <w:rPr>
          <w:rFonts w:ascii="Times New Roman" w:hAnsi="Times New Roman"/>
        </w:rPr>
      </w:pPr>
    </w:p>
    <w:p w14:paraId="11E9A658">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仿宋_GBK" w:cs="方正仿宋_GBK"/>
        </w:rPr>
      </w:pPr>
      <w:r>
        <w:rPr>
          <w:rFonts w:hint="eastAsia" w:ascii="Times New Roman" w:hAnsi="Times New Roman" w:eastAsia="方正仿宋_GBK" w:cs="方正仿宋_GBK"/>
        </w:rPr>
        <w:t>为深入贯彻党中央、国务院决策部署和省委、省政府工作要求，全面加强我省“十五五”期间市场监督管理工作，不断完善市场综合监管体系，根据《湖南省国民经济和社会发展第十五个五年规划纲要》和《国家市场监管总局市场综合监管体系建设“十五五”规划》的总体要求，结合湖南实际，省市场监管局组织编制了《湖南省“十五五”市场监管（知识产权）高质量发展规划（征求意见稿）》（以下简称《规划》）。现将《规划》起草情况说明如下：</w:t>
      </w:r>
    </w:p>
    <w:p w14:paraId="2BDB4D38">
      <w:pPr>
        <w:keepLines w:val="0"/>
        <w:pageBreakBefore w:val="0"/>
        <w:numPr>
          <w:ilvl w:val="0"/>
          <w:numId w:val="1"/>
        </w:numPr>
        <w:kinsoku/>
        <w:wordWrap/>
        <w:overflowPunct/>
        <w:topLinePunct w:val="0"/>
        <w:autoSpaceDE/>
        <w:autoSpaceDN/>
        <w:bidi w:val="0"/>
        <w:spacing w:line="580" w:lineRule="exact"/>
        <w:ind w:left="840" w:leftChars="0" w:firstLine="0" w:firstLineChars="0"/>
        <w:textAlignment w:val="auto"/>
        <w:rPr>
          <w:rFonts w:hint="eastAsia" w:ascii="Times New Roman" w:hAnsi="Times New Roman" w:eastAsia="方正黑体_GBK" w:cs="方正黑体_GBK"/>
        </w:rPr>
      </w:pPr>
      <w:r>
        <w:rPr>
          <w:rFonts w:hint="eastAsia" w:ascii="Times New Roman" w:hAnsi="Times New Roman" w:eastAsia="方正黑体_GBK" w:cs="方正黑体_GBK"/>
        </w:rPr>
        <w:t>起草背景</w:t>
      </w:r>
    </w:p>
    <w:p w14:paraId="070C7AF4">
      <w:pPr>
        <w:keepLines w:val="0"/>
        <w:pageBreakBefore w:val="0"/>
        <w:numPr>
          <w:ilvl w:val="0"/>
          <w:numId w:val="0"/>
        </w:numPr>
        <w:kinsoku/>
        <w:wordWrap/>
        <w:overflowPunct/>
        <w:topLinePunct w:val="0"/>
        <w:autoSpaceDE/>
        <w:autoSpaceDN/>
        <w:bidi w:val="0"/>
        <w:spacing w:line="580" w:lineRule="exact"/>
        <w:textAlignment w:val="auto"/>
        <w:rPr>
          <w:rFonts w:hint="eastAsia" w:ascii="Times New Roman" w:hAnsi="Times New Roman" w:eastAsia="方正仿宋_GBK" w:cs="方正仿宋_GBK"/>
        </w:rPr>
      </w:pPr>
      <w:r>
        <w:rPr>
          <w:rFonts w:hint="eastAsia" w:ascii="Times New Roman" w:hAnsi="Times New Roman"/>
        </w:rPr>
        <w:tab/>
      </w:r>
      <w:r>
        <w:rPr>
          <w:rFonts w:hint="eastAsia" w:ascii="Times New Roman" w:hAnsi="Times New Roman" w:eastAsia="方正仿宋_GBK" w:cs="方正仿宋_GBK"/>
        </w:rPr>
        <w:t>“十四五”时期，我省市场监管工作在服务高质量发展、优化消费环境、保障</w:t>
      </w:r>
      <w:r>
        <w:rPr>
          <w:rFonts w:hint="eastAsia" w:ascii="Times New Roman" w:hAnsi="Times New Roman" w:eastAsia="方正仿宋_GBK" w:cs="方正仿宋_GBK"/>
          <w:lang w:eastAsia="zh-CN"/>
        </w:rPr>
        <w:t>市场</w:t>
      </w:r>
      <w:r>
        <w:rPr>
          <w:rFonts w:hint="eastAsia" w:ascii="Times New Roman" w:hAnsi="Times New Roman" w:eastAsia="方正仿宋_GBK" w:cs="方正仿宋_GBK"/>
        </w:rPr>
        <w:t>安全等方面取得了显著成效</w:t>
      </w:r>
      <w:r>
        <w:rPr>
          <w:rFonts w:hint="eastAsia" w:ascii="Times New Roman" w:hAnsi="Times New Roman" w:eastAsia="方正仿宋_GBK" w:cs="方正仿宋_GBK"/>
          <w:lang w:eastAsia="zh-CN"/>
        </w:rPr>
        <w:t>。</w:t>
      </w:r>
      <w:r>
        <w:rPr>
          <w:rFonts w:hint="eastAsia" w:ascii="Times New Roman" w:hAnsi="Times New Roman" w:eastAsia="方正仿宋_GBK" w:cs="方正仿宋_GBK"/>
        </w:rPr>
        <w:t>随着新发展阶段的到来，市场监管仍面临新任务和新挑战，在</w:t>
      </w:r>
      <w:r>
        <w:rPr>
          <w:rFonts w:hint="eastAsia" w:ascii="Times New Roman" w:hAnsi="Times New Roman" w:eastAsia="方正仿宋_GBK" w:cs="方正仿宋_GBK"/>
          <w:lang w:eastAsia="zh-CN"/>
        </w:rPr>
        <w:t>监管</w:t>
      </w:r>
      <w:r>
        <w:rPr>
          <w:rFonts w:hint="eastAsia" w:ascii="Times New Roman" w:hAnsi="Times New Roman" w:eastAsia="方正仿宋_GBK" w:cs="方正仿宋_GBK"/>
        </w:rPr>
        <w:t>现代化、</w:t>
      </w:r>
      <w:r>
        <w:rPr>
          <w:rFonts w:hint="eastAsia" w:ascii="Times New Roman" w:hAnsi="Times New Roman" w:eastAsia="方正仿宋_GBK" w:cs="方正仿宋_GBK"/>
          <w:lang w:eastAsia="zh-CN"/>
        </w:rPr>
        <w:t>体系</w:t>
      </w:r>
      <w:r>
        <w:rPr>
          <w:rFonts w:hint="eastAsia" w:ascii="Times New Roman" w:hAnsi="Times New Roman" w:eastAsia="方正仿宋_GBK" w:cs="方正仿宋_GBK"/>
        </w:rPr>
        <w:t>化、</w:t>
      </w:r>
      <w:r>
        <w:rPr>
          <w:rFonts w:hint="eastAsia" w:ascii="Times New Roman" w:hAnsi="Times New Roman" w:eastAsia="方正仿宋_GBK" w:cs="方正仿宋_GBK"/>
          <w:lang w:eastAsia="zh-CN"/>
        </w:rPr>
        <w:t>数智</w:t>
      </w:r>
      <w:r>
        <w:rPr>
          <w:rFonts w:hint="eastAsia" w:ascii="Times New Roman" w:hAnsi="Times New Roman" w:eastAsia="方正仿宋_GBK" w:cs="方正仿宋_GBK"/>
        </w:rPr>
        <w:t>化等方面存在进一步提升的空间。根据</w:t>
      </w:r>
      <w:r>
        <w:rPr>
          <w:rFonts w:hint="eastAsia" w:ascii="Times New Roman" w:hAnsi="Times New Roman" w:eastAsia="方正仿宋_GBK" w:cs="方正仿宋_GBK"/>
          <w:lang w:eastAsia="zh-CN"/>
        </w:rPr>
        <w:t>省委、省政府关于规划编制统一部署</w:t>
      </w:r>
      <w:r>
        <w:rPr>
          <w:rFonts w:hint="eastAsia" w:ascii="Times New Roman" w:hAnsi="Times New Roman" w:eastAsia="方正仿宋_GBK" w:cs="方正仿宋_GBK"/>
        </w:rPr>
        <w:t>，我局牵头起草了《湖南省“十五五”市场监管（知识产权）高质量发展规划（征求意见稿）》。</w:t>
      </w:r>
    </w:p>
    <w:p w14:paraId="111DB198">
      <w:pPr>
        <w:keepLines w:val="0"/>
        <w:pageBreakBefore w:val="0"/>
        <w:numPr>
          <w:ilvl w:val="0"/>
          <w:numId w:val="0"/>
        </w:numPr>
        <w:kinsoku/>
        <w:wordWrap/>
        <w:overflowPunct/>
        <w:topLinePunct w:val="0"/>
        <w:autoSpaceDE/>
        <w:autoSpaceDN/>
        <w:bidi w:val="0"/>
        <w:spacing w:line="580" w:lineRule="exact"/>
        <w:ind w:firstLine="640" w:firstLineChars="200"/>
        <w:textAlignment w:val="auto"/>
        <w:rPr>
          <w:rFonts w:hint="eastAsia" w:ascii="Times New Roman" w:hAnsi="Times New Roman"/>
          <w:lang w:val="en-US" w:eastAsia="zh-CN"/>
        </w:rPr>
      </w:pPr>
      <w:r>
        <w:rPr>
          <w:rFonts w:hint="eastAsia" w:ascii="Times New Roman" w:hAnsi="Times New Roman" w:eastAsia="方正仿宋_GBK" w:cs="方正仿宋_GBK"/>
        </w:rPr>
        <w:t>《规划》旨在为“十五五”时期全省市场监管工作提供系统化、科学化、可操作的行动纲领和工作指南，到2030年，基本建成与高质量发展、现代化产业体系相适配的全省市场综合监管体系，经营主体质量显著提升，市场竞争更加公平有序，消费者权益保护更加完善，质量基础和知识产权支撑引领作用明显增强，安全风险防控能力大幅提升，综合监管效能实现整体跃升，服务全省经济社会高质量发展作用更加凸显。因此，科学编制《规划》具有重要的现实意义和战略价值。</w:t>
      </w:r>
    </w:p>
    <w:p w14:paraId="735A77EF">
      <w:pPr>
        <w:keepLines w:val="0"/>
        <w:pageBreakBefore w:val="0"/>
        <w:kinsoku/>
        <w:wordWrap/>
        <w:overflowPunct/>
        <w:topLinePunct w:val="0"/>
        <w:autoSpaceDE/>
        <w:autoSpaceDN/>
        <w:bidi w:val="0"/>
        <w:spacing w:line="580" w:lineRule="exact"/>
        <w:textAlignment w:val="auto"/>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二、起草过程</w:t>
      </w:r>
    </w:p>
    <w:p w14:paraId="5A6D53EB">
      <w:pPr>
        <w:keepLines w:val="0"/>
        <w:pageBreakBefore w:val="0"/>
        <w:kinsoku/>
        <w:wordWrap/>
        <w:overflowPunct/>
        <w:topLinePunct w:val="0"/>
        <w:autoSpaceDE/>
        <w:autoSpaceDN/>
        <w:bidi w:val="0"/>
        <w:spacing w:line="580" w:lineRule="exact"/>
        <w:jc w:val="both"/>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一是加强组织领导。</w:t>
      </w:r>
      <w:r>
        <w:rPr>
          <w:rFonts w:hint="eastAsia" w:ascii="Times New Roman" w:hAnsi="Times New Roman" w:eastAsia="方正仿宋_GBK" w:cs="方正仿宋_GBK"/>
          <w:lang w:val="en-US" w:eastAsia="zh-CN"/>
        </w:rPr>
        <w:t>省市场监管局党组高度重视《规划》编制工作，成立由主要负责同志任组长的规划编制工作领导小组，认真学习领会习近平总书记关于规划编制的重要论述和关于市场监管的重要指示批示精神，深入贯彻落实党的二十大和二十届历次全会精神，认真谋划推进《规划》研究起草工作，切实将省委省政府决策部署落实到《规划》之中。</w:t>
      </w:r>
    </w:p>
    <w:p w14:paraId="1F6E24F2">
      <w:pPr>
        <w:keepLines w:val="0"/>
        <w:pageBreakBefore w:val="0"/>
        <w:kinsoku/>
        <w:wordWrap/>
        <w:overflowPunct/>
        <w:topLinePunct w:val="0"/>
        <w:autoSpaceDE/>
        <w:autoSpaceDN/>
        <w:bidi w:val="0"/>
        <w:spacing w:line="580" w:lineRule="exact"/>
        <w:jc w:val="both"/>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二是统筹谋划推进。</w:t>
      </w:r>
      <w:r>
        <w:rPr>
          <w:rFonts w:hint="eastAsia" w:ascii="Times New Roman" w:hAnsi="Times New Roman" w:eastAsia="方正仿宋_GBK" w:cs="方正仿宋_GBK"/>
          <w:lang w:val="en-US" w:eastAsia="zh-CN"/>
        </w:rPr>
        <w:t>先后组织召开规划编制工作启动会、推进会、专家座谈会以及全省市场监管发展规划座谈会，对规划编制工作进行动员部署和专题研究，并面向全省系统征集“十五五”期间的重要指标、重大项目、重点问题和创新举措，编制形成了“十五五”时期制湖南市场监管高质量发展的问题及对策清单，其中问题建议72条、对策198条，为共同研究编制好“十五五”规划打下良好基础。</w:t>
      </w:r>
    </w:p>
    <w:p w14:paraId="254F29BC">
      <w:pPr>
        <w:keepLines w:val="0"/>
        <w:pageBreakBefore w:val="0"/>
        <w:kinsoku/>
        <w:wordWrap/>
        <w:overflowPunct/>
        <w:topLinePunct w:val="0"/>
        <w:autoSpaceDE/>
        <w:autoSpaceDN/>
        <w:bidi w:val="0"/>
        <w:spacing w:line="580" w:lineRule="exact"/>
        <w:jc w:val="both"/>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三是汇聚多方智慧。</w:t>
      </w:r>
      <w:r>
        <w:rPr>
          <w:rFonts w:hint="eastAsia" w:ascii="Times New Roman" w:hAnsi="Times New Roman" w:eastAsia="方正仿宋_GBK" w:cs="方正仿宋_GBK"/>
          <w:lang w:val="en-US" w:eastAsia="zh-CN"/>
        </w:rPr>
        <w:t>认真开展规划前期课题研究，组织前往长沙、永州等地，组织市、县（市、区）两级市场监管工作座谈会，扎实开展“我为市场监管建言献策”活动，先后两次在省局系统征集“十五五”时期重大决策、重大项目、重大工程，不断完善相关重点指标、项目、举措等，最终形成《规划》初稿。广泛听取基层一线、社会公众意见，先后在全省市场监管系统征集修改建议4次，向37家省直相关单位发送请求研提意见的函，组织专家论证会，共征集各方建议上百余条，先后完成10轮修改，确保《规划》方向正确、目标明确、重点突出、措施务实。</w:t>
      </w:r>
    </w:p>
    <w:p w14:paraId="6BDEF4E1">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黑体_GBK" w:cs="方正黑体_GBK"/>
          <w:lang w:val="en-US" w:eastAsia="zh-CN"/>
        </w:rPr>
      </w:pPr>
      <w:r>
        <w:rPr>
          <w:rFonts w:hint="eastAsia" w:ascii="Times New Roman" w:hAnsi="Times New Roman" w:eastAsia="方正黑体_GBK" w:cs="方正黑体_GBK"/>
          <w:lang w:val="en-US" w:eastAsia="zh-CN"/>
        </w:rPr>
        <w:t>三、主要内容</w:t>
      </w:r>
    </w:p>
    <w:p w14:paraId="6ACDE6AE">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lang w:val="en-US" w:eastAsia="zh-CN"/>
        </w:rPr>
        <w:t>《规划》坚持“</w:t>
      </w:r>
      <w:r>
        <w:rPr>
          <w:rFonts w:hint="eastAsia" w:eastAsia="方正仿宋_GBK" w:cs="方正仿宋_GBK"/>
          <w:lang w:val="en-US" w:eastAsia="zh-CN"/>
        </w:rPr>
        <w:t>讲政治、</w:t>
      </w:r>
      <w:r>
        <w:rPr>
          <w:rFonts w:hint="eastAsia" w:ascii="Times New Roman" w:hAnsi="Times New Roman" w:eastAsia="方正仿宋_GBK" w:cs="方正仿宋_GBK"/>
          <w:lang w:val="en-US" w:eastAsia="zh-CN"/>
        </w:rPr>
        <w:t>强服务、优监管、兴产业、惠民生、保安全”工作总思路，紧紧围绕市场综合监管体系建设，重点谋划</w:t>
      </w:r>
      <w:r>
        <w:rPr>
          <w:rFonts w:hint="eastAsia" w:eastAsia="方正仿宋_GBK" w:cs="方正仿宋_GBK"/>
          <w:lang w:val="en-US" w:eastAsia="zh-CN"/>
        </w:rPr>
        <w:t>了</w:t>
      </w:r>
      <w:r>
        <w:rPr>
          <w:rFonts w:hint="eastAsia" w:ascii="Times New Roman" w:hAnsi="Times New Roman" w:eastAsia="方正仿宋_GBK" w:cs="方正仿宋_GBK"/>
          <w:lang w:val="en-US" w:eastAsia="zh-CN"/>
        </w:rPr>
        <w:t>一系列强基础、补短板的</w:t>
      </w:r>
      <w:r>
        <w:rPr>
          <w:rFonts w:hint="eastAsia" w:eastAsia="方正仿宋_GBK" w:cs="方正仿宋_GBK"/>
          <w:lang w:val="en-US" w:eastAsia="zh-CN"/>
        </w:rPr>
        <w:t>具体举措</w:t>
      </w:r>
      <w:r>
        <w:rPr>
          <w:rFonts w:hint="eastAsia" w:ascii="Times New Roman" w:hAnsi="Times New Roman" w:eastAsia="方正仿宋_GBK" w:cs="方正仿宋_GBK"/>
          <w:lang w:val="en-US" w:eastAsia="zh-CN"/>
        </w:rPr>
        <w:t>和建设任务。《规划》全文共13节</w:t>
      </w:r>
      <w:r>
        <w:rPr>
          <w:rFonts w:hint="eastAsia" w:eastAsia="方正仿宋_GBK" w:cs="方正仿宋_GBK"/>
          <w:lang w:val="en-US" w:eastAsia="zh-CN"/>
        </w:rPr>
        <w:t>、</w:t>
      </w:r>
      <w:r>
        <w:rPr>
          <w:rFonts w:hint="eastAsia" w:ascii="Times New Roman" w:hAnsi="Times New Roman" w:eastAsia="方正仿宋_GBK" w:cs="方正仿宋_GBK"/>
          <w:lang w:val="en-US" w:eastAsia="zh-CN"/>
        </w:rPr>
        <w:t>约1.15万字，总体可归纳为三大部分。</w:t>
      </w:r>
    </w:p>
    <w:p w14:paraId="01ECBC99">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第一部分为总体要求，</w:t>
      </w:r>
      <w:r>
        <w:rPr>
          <w:rFonts w:hint="eastAsia" w:ascii="Times New Roman" w:hAnsi="Times New Roman" w:eastAsia="方正仿宋_GBK" w:cs="方正仿宋_GBK"/>
          <w:lang w:val="en-US" w:eastAsia="zh-CN"/>
        </w:rPr>
        <w:t>提出“十五五”时期市场综合监管体系建设的指导思想和发展目标，设置了11项主要指标。指标设置经过反复论证和测算，既适当超前，也留有余地，基本上与我省经济社会发展水平保持一致。</w:t>
      </w:r>
    </w:p>
    <w:p w14:paraId="4AEA1E35">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第二部分为重点任务，</w:t>
      </w:r>
      <w:r>
        <w:rPr>
          <w:rFonts w:hint="eastAsia" w:ascii="Times New Roman" w:hAnsi="Times New Roman" w:eastAsia="方正仿宋_GBK" w:cs="方正仿宋_GBK"/>
          <w:lang w:val="en-US" w:eastAsia="zh-CN"/>
        </w:rPr>
        <w:t>包括提升经营主体发展质量、优化公平竞争市场环境、营造安全放心消费环境、打造高水平质量供给体系、健全知识产权创造运用保护全链条体系、推动平台经济规范健康发展、提升食品药品安全治理水平、加强工业品质量安全监管、强化特种设备安全监管、一体推进法治监管信用监管智慧监管、强化市场监管治理支撑体系等1</w:t>
      </w:r>
      <w:r>
        <w:rPr>
          <w:rFonts w:hint="eastAsia" w:eastAsia="方正仿宋_GBK" w:cs="方正仿宋_GBK"/>
          <w:lang w:val="en-US" w:eastAsia="zh-CN"/>
        </w:rPr>
        <w:t>1</w:t>
      </w:r>
      <w:r>
        <w:rPr>
          <w:rFonts w:hint="eastAsia" w:ascii="Times New Roman" w:hAnsi="Times New Roman" w:eastAsia="方正仿宋_GBK" w:cs="方正仿宋_GBK"/>
          <w:lang w:val="en-US" w:eastAsia="zh-CN"/>
        </w:rPr>
        <w:t>项重点任务。为了更好支撑重点任务落实</w:t>
      </w:r>
      <w:r>
        <w:rPr>
          <w:rFonts w:hint="eastAsia" w:ascii="Times New Roman" w:hAnsi="Times New Roman" w:eastAsia="方正仿宋_GBK" w:cs="方正仿宋_GBK"/>
          <w:b w:val="0"/>
          <w:bCs w:val="0"/>
          <w:lang w:val="en-US" w:eastAsia="zh-CN"/>
        </w:rPr>
        <w:t>，《规划》设置了9个专栏，包括计量强基工程、标准“软联通”提升行动、</w:t>
      </w:r>
      <w:r>
        <w:rPr>
          <w:rFonts w:hint="eastAsia" w:ascii="Times New Roman" w:hAnsi="Times New Roman" w:eastAsia="方正仿宋_GBK" w:cs="方正仿宋_GBK"/>
          <w:b w:val="0"/>
          <w:bCs w:val="0"/>
          <w:color w:val="auto"/>
          <w:sz w:val="32"/>
          <w:szCs w:val="32"/>
          <w:vertAlign w:val="baseline"/>
          <w:lang w:val="en-US" w:eastAsia="zh-CN"/>
        </w:rPr>
        <w:t>检验检测能力提升行动、</w:t>
      </w:r>
      <w:r>
        <w:rPr>
          <w:rFonts w:hint="eastAsia" w:ascii="Times New Roman" w:hAnsi="Times New Roman" w:eastAsia="方正仿宋_GBK" w:cs="方正仿宋_GBK"/>
          <w:b w:val="0"/>
          <w:bCs w:val="0"/>
          <w:lang w:val="en-US" w:eastAsia="zh-CN"/>
        </w:rPr>
        <w:t>知识产权保护和运用工程、</w:t>
      </w:r>
      <w:r>
        <w:rPr>
          <w:rFonts w:hint="eastAsia" w:ascii="Times New Roman" w:hAnsi="Times New Roman" w:eastAsia="方正仿宋_GBK" w:cs="方正仿宋_GBK"/>
          <w:b w:val="0"/>
          <w:bCs w:val="0"/>
          <w:color w:val="auto"/>
          <w:sz w:val="32"/>
          <w:szCs w:val="32"/>
          <w:vertAlign w:val="baseline"/>
          <w:lang w:val="en-US" w:eastAsia="zh-CN"/>
        </w:rPr>
        <w:t>食品安全治理提升工程、</w:t>
      </w:r>
      <w:r>
        <w:rPr>
          <w:rFonts w:hint="eastAsia" w:ascii="Times New Roman" w:hAnsi="Times New Roman" w:eastAsia="方正仿宋_GBK" w:cs="方正仿宋_GBK"/>
          <w:b w:val="0"/>
          <w:bCs w:val="0"/>
          <w:lang w:val="en-US" w:eastAsia="zh-CN"/>
        </w:rPr>
        <w:t>智慧监管能力提升工程等内容。</w:t>
      </w:r>
    </w:p>
    <w:p w14:paraId="55F34585">
      <w:pPr>
        <w:keepLines w:val="0"/>
        <w:pageBreakBefore w:val="0"/>
        <w:kinsoku/>
        <w:wordWrap/>
        <w:overflowPunct/>
        <w:topLinePunct w:val="0"/>
        <w:autoSpaceDE/>
        <w:autoSpaceDN/>
        <w:bidi w:val="0"/>
        <w:spacing w:line="580" w:lineRule="exact"/>
        <w:textAlignment w:val="auto"/>
        <w:rPr>
          <w:rFonts w:hint="eastAsia" w:ascii="Times New Roman" w:hAnsi="Times New Roman" w:eastAsia="方正仿宋_GBK" w:cs="方正仿宋_GBK"/>
          <w:lang w:val="en-US" w:eastAsia="zh-CN"/>
        </w:rPr>
      </w:pPr>
      <w:r>
        <w:rPr>
          <w:rFonts w:hint="eastAsia" w:ascii="Times New Roman" w:hAnsi="Times New Roman" w:eastAsia="方正仿宋_GBK" w:cs="方正仿宋_GBK"/>
          <w:b/>
          <w:bCs/>
          <w:lang w:val="en-US" w:eastAsia="zh-CN"/>
        </w:rPr>
        <w:t>第三部分为组织保障，</w:t>
      </w:r>
      <w:r>
        <w:rPr>
          <w:rFonts w:hint="eastAsia" w:ascii="Times New Roman" w:hAnsi="Times New Roman" w:eastAsia="方正仿宋_GBK" w:cs="方正仿宋_GBK"/>
          <w:lang w:val="en-US" w:eastAsia="zh-CN"/>
        </w:rPr>
        <w:t>提出加强党的领导、强化任务分解和责任落实、加大财政投入力度，加强评估监测监督等保障措施，力求重点突出、点面结合推进我省“十五五”市场监管重点工作任务落地落实。</w:t>
      </w:r>
    </w:p>
    <w:p w14:paraId="41957EEE">
      <w:pPr>
        <w:keepLines w:val="0"/>
        <w:pageBreakBefore w:val="0"/>
        <w:kinsoku/>
        <w:wordWrap/>
        <w:overflowPunct/>
        <w:topLinePunct w:val="0"/>
        <w:autoSpaceDE/>
        <w:autoSpaceDN/>
        <w:bidi w:val="0"/>
        <w:spacing w:line="580" w:lineRule="exact"/>
        <w:textAlignment w:val="auto"/>
        <w:rPr>
          <w:rFonts w:ascii="Times New Roman" w:hAnsi="Times New Roman"/>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A00002BF" w:usb1="184F6CFA" w:usb2="00000012" w:usb3="00000000" w:csb0="00040001" w:csb1="00000000"/>
  </w:font>
  <w:font w:name="方正黑体_GBK">
    <w:altName w:val="Arial Unicode MS"/>
    <w:panose1 w:val="02000000000000000000"/>
    <w:charset w:val="86"/>
    <w:family w:val="auto"/>
    <w:pitch w:val="default"/>
    <w:sig w:usb0="00000001" w:usb1="08000000" w:usb2="00000000" w:usb3="00000000" w:csb0="00040000" w:csb1="00000000"/>
  </w:font>
  <w:font w:name="方正仿宋_GBK">
    <w:altName w:val="Arial Unicode MS"/>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EB8F1"/>
    <w:multiLevelType w:val="singleLevel"/>
    <w:tmpl w:val="FFFEB8F1"/>
    <w:lvl w:ilvl="0" w:tentative="0">
      <w:start w:val="1"/>
      <w:numFmt w:val="chineseCounting"/>
      <w:suff w:val="nothing"/>
      <w:lvlText w:val="%1、"/>
      <w:lvlJc w:val="left"/>
      <w:pPr>
        <w:ind w:left="8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ED9BB"/>
    <w:rsid w:val="5A264812"/>
    <w:rsid w:val="75FED9BB"/>
    <w:rsid w:val="7FF7C566"/>
    <w:rsid w:val="F55F2A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80" w:firstLineChars="200"/>
      <w:jc w:val="both"/>
    </w:pPr>
    <w:rPr>
      <w:rFonts w:ascii="Times New Roman" w:hAnsi="Times New Roman" w:eastAsia="仿宋_GB2312" w:cs="Times New Roman"/>
      <w:kern w:val="2"/>
      <w:sz w:val="32"/>
      <w:szCs w:val="32"/>
      <w:lang w:val="en-US" w:eastAsia="zh-CN" w:bidi="ar-SA"/>
    </w:rPr>
  </w:style>
  <w:style w:type="paragraph" w:styleId="2">
    <w:name w:val="heading 1"/>
    <w:next w:val="1"/>
    <w:qFormat/>
    <w:uiPriority w:val="0"/>
    <w:pPr>
      <w:keepNext/>
      <w:adjustRightInd w:val="0"/>
      <w:snapToGrid w:val="0"/>
      <w:ind w:firstLine="0" w:firstLineChars="0"/>
      <w:jc w:val="center"/>
      <w:outlineLvl w:val="0"/>
    </w:pPr>
    <w:rPr>
      <w:rFonts w:ascii="Times New Roman" w:hAnsi="Times New Roman" w:eastAsia="方正小标宋简体" w:cs="Times New Roman"/>
      <w:bCs/>
      <w:kern w:val="36"/>
      <w:sz w:val="44"/>
      <w:szCs w:val="48"/>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1752</Words>
  <Characters>1766</Characters>
  <Lines>0</Lines>
  <Paragraphs>0</Paragraphs>
  <TotalTime>5.66666666666667</TotalTime>
  <ScaleCrop>false</ScaleCrop>
  <LinksUpToDate>false</LinksUpToDate>
  <CharactersWithSpaces>1767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2026-07-21T17:00:00Z</dcterms:created>
  <dc:creator>xjkp</dc:creator>
  <cp:lastModifiedBy>spt05</cp:lastModifiedBy>
  <dcterms:modified xsi:type="dcterms:W3CDTF">2026-07-22T01:55:38Z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CE92F624ED5C42DBA7678C0B51803DAE_13</vt:lpwstr>
  </property>
</Properties>
</file>