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国家发展改革委民营经济发展局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年度研究课题入选单位名单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3360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78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研究课题名称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上市民营企业监测分析体系研究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国家发展和改革委员会投资研究所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张培元、李泽正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推进基础设施竞争性领域向经营主体公平开放的实施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路径研究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国家信息中心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单志广、赵文景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各地促进民营经济发展壮大的典型经验及创新实践研究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国家发展和改革委员会经济体制与管理研究所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李振京、杜爽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01FF5"/>
    <w:rsid w:val="12E81C71"/>
    <w:rsid w:val="4B3F7ABA"/>
    <w:rsid w:val="67B53E32"/>
    <w:rsid w:val="77BE3010"/>
    <w:rsid w:val="7D7B3643"/>
    <w:rsid w:val="7FFFC926"/>
    <w:rsid w:val="BFBFC935"/>
    <w:rsid w:val="DFA01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2024-09-05T19:09:00Z</dcterms:created>
  <dc:creator>user</dc:creator>
  <cp:lastModifiedBy>HHH</cp:lastModifiedBy>
  <cp:lastPrinted>2026-05-15T08:32:28Z</cp:lastPrinted>
  <dcterms:modified xsi:type="dcterms:W3CDTF">2026-05-19T00:36:47Z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F2E91321A894AB3032EE036A2B1A7191_43</vt:lpwstr>
  </property>
</Properties>
</file>