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Arial"/>
          <w:kern w:val="0"/>
          <w:sz w:val="32"/>
          <w:szCs w:val="32"/>
        </w:rPr>
      </w:pPr>
      <w:bookmarkStart w:id="0" w:name="_GoBack"/>
      <w:bookmarkEnd w:id="0"/>
      <w:r>
        <w:rPr>
          <w:rFonts w:hint="eastAsia" w:ascii="黑体" w:hAnsi="黑体" w:eastAsia="黑体" w:cs="Arial"/>
          <w:kern w:val="0"/>
          <w:sz w:val="32"/>
          <w:szCs w:val="32"/>
        </w:rPr>
        <w:t>附件</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方正小标宋简体" w:hAnsi="Arial" w:eastAsia="方正小标宋简体" w:cs="Arial"/>
          <w:kern w:val="0"/>
          <w:sz w:val="44"/>
          <w:szCs w:val="44"/>
        </w:rPr>
      </w:pPr>
      <w:r>
        <w:rPr>
          <w:rFonts w:hint="eastAsia" w:ascii="方正小标宋简体" w:hAnsi="Arial" w:eastAsia="方正小标宋简体" w:cs="Arial"/>
          <w:kern w:val="0"/>
          <w:sz w:val="44"/>
          <w:szCs w:val="44"/>
        </w:rPr>
        <w:t>第</w:t>
      </w:r>
      <w:r>
        <w:rPr>
          <w:rFonts w:hint="eastAsia" w:ascii="方正小标宋简体" w:hAnsi="Arial" w:eastAsia="方正小标宋简体" w:cs="Arial"/>
          <w:kern w:val="0"/>
          <w:sz w:val="44"/>
          <w:szCs w:val="44"/>
          <w:lang w:val="en-US" w:eastAsia="zh-CN"/>
        </w:rPr>
        <w:t>二</w:t>
      </w:r>
      <w:r>
        <w:rPr>
          <w:rFonts w:hint="eastAsia" w:ascii="方正小标宋简体" w:hAnsi="Arial" w:eastAsia="方正小标宋简体" w:cs="Arial"/>
          <w:kern w:val="0"/>
          <w:sz w:val="44"/>
          <w:szCs w:val="44"/>
        </w:rPr>
        <w:t>批国家标准化试点（智慧交通专项）名单</w:t>
      </w:r>
    </w:p>
    <w:tbl>
      <w:tblPr>
        <w:tblStyle w:val="8"/>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92"/>
        <w:gridCol w:w="1667"/>
        <w:gridCol w:w="2487"/>
        <w:gridCol w:w="1938"/>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660" w:hRule="atLeast"/>
          <w:tblHeader/>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sz w:val="24"/>
                <w:szCs w:val="24"/>
                <w:highlight w:val="none"/>
              </w:rPr>
              <w:t>序号</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sz w:val="24"/>
                <w:szCs w:val="24"/>
                <w:highlight w:val="none"/>
              </w:rPr>
              <w:t>试点方向</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sz w:val="24"/>
                <w:szCs w:val="24"/>
                <w:highlight w:val="none"/>
              </w:rPr>
              <w:t>试点名称</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sz w:val="24"/>
                <w:szCs w:val="24"/>
                <w:highlight w:val="none"/>
              </w:rPr>
              <w:t>试点单位</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sz w:val="24"/>
                <w:szCs w:val="24"/>
                <w:highlight w:val="none"/>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kern w:val="2"/>
                <w:sz w:val="24"/>
                <w:szCs w:val="24"/>
                <w:lang w:val="en-US" w:eastAsia="zh-CN" w:bidi="ar-SA"/>
              </w:rPr>
            </w:pPr>
            <w:r>
              <w:rPr>
                <w:sz w:val="24"/>
                <w:szCs w:val="24"/>
              </w:rPr>
              <w:t>1</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FF0000"/>
                <w:kern w:val="2"/>
                <w:sz w:val="24"/>
                <w:szCs w:val="24"/>
                <w:lang w:val="en-US" w:eastAsia="zh-CN" w:bidi="ar-SA"/>
              </w:rPr>
            </w:pPr>
            <w:r>
              <w:rPr>
                <w:rFonts w:eastAsia="仿宋_GB2312"/>
                <w:sz w:val="24"/>
                <w:szCs w:val="24"/>
              </w:rPr>
              <w:t>智慧物流</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color w:val="FF0000"/>
                <w:kern w:val="2"/>
                <w:sz w:val="24"/>
                <w:szCs w:val="24"/>
                <w:highlight w:val="none"/>
                <w:lang w:val="en-US" w:eastAsia="zh-CN" w:bidi="ar-SA"/>
              </w:rPr>
            </w:pPr>
            <w:r>
              <w:rPr>
                <w:rFonts w:hint="eastAsia" w:ascii="Times New Roman" w:hAnsi="Times New Roman" w:eastAsia="仿宋_GB2312" w:cs="Times New Roman"/>
                <w:sz w:val="24"/>
                <w:szCs w:val="24"/>
                <w:highlight w:val="none"/>
              </w:rPr>
              <w:t>江苏省江海河联运高质量发展数智标准化试点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苏交科集团</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股份有限公司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江苏省交通运输厅、江苏省市场监督管理局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智慧物流</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支持多应用场景数智物流服务标准化试点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深圳顺丰泰森控股（集团）有限公司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广东省交通运输厅、广东省市场监督管理局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3</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智慧物流</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四川省多式联运数智平台标准化试点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四川省港航投资集团有限责任公司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四川省交通运输厅、四川省市场监督管理局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4</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智慧物流</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平湖市“低空+农村物流”标准化试点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平湖市公路与运输管理服务中心</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浙江省交通运输厅、浙江省市场监督管理局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5</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智慧物流</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河南省内河智慧航运协同管控标准化试点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河南港航集团有限公司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河南省交通运输厅、河南省市场监督管理局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6</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智慧物流</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汽车运输船智能配载及安全管控标准化试点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中远海运特种运输股份有限公司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中国远洋海运集团有限公司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103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7</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w:t>
            </w:r>
            <w:r>
              <w:rPr>
                <w:rFonts w:hint="eastAsia" w:eastAsia="仿宋_GB2312"/>
                <w:sz w:val="24"/>
                <w:szCs w:val="24"/>
              </w:rPr>
              <w:t>物流</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长江水上低空配送标准化试点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江苏长江汇科技有限公司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交通运输部长江航务管理局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8</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w:t>
            </w:r>
            <w:r>
              <w:rPr>
                <w:rFonts w:hint="eastAsia" w:eastAsia="仿宋_GB2312"/>
                <w:sz w:val="24"/>
                <w:szCs w:val="24"/>
              </w:rPr>
              <w:t>物流</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eastAsia="仿宋_GB2312" w:cs="Times New Roman"/>
                <w:sz w:val="24"/>
                <w:szCs w:val="24"/>
                <w:highlight w:val="none"/>
                <w:lang w:val="en-US" w:eastAsia="zh-CN"/>
              </w:rPr>
              <w:t>智能无人配送运营平台标准化试点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江苏宝湾智慧供应链管理有限公司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招商局集团有限公司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9</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智慧出行</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sz w:val="24"/>
                <w:szCs w:val="24"/>
              </w:rPr>
              <w:t>重庆市跨座式单轨交通智慧运营服务标准化试点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sz w:val="24"/>
                <w:szCs w:val="24"/>
              </w:rPr>
              <w:t>重庆轨道交通运营有限公司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重庆市交通运输委员会、重庆市市场监督管理局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10</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智慧出行</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城市轨道交通全栈数智化系统标准化试点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卡斯柯信号有限公司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上海市交通委员会、上海市市场监督管理局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11</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智慧出行</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河北省高速公路路网运营网络安全保障标准化试点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河北高速公路集团有限公司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河北省交通运输厅、河北省市场监督管理局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12</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智慧出行</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济南市公交智慧出行信息服务标准化试点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济南公共交通集团有限公司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山东省交通运输厅、山东省市场监督管理局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13</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智慧出行</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太原市智慧地铁车辆智能运维标准化试点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太原中铁轨道交通建设运营有限公司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山西省交通运输厅、山西省市场监督管理局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14</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智慧出行</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盘锦市绿色智慧运营服务标准化试点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盘锦客运公交集团有限公司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辽宁省交通运输厅、辽宁省市场监督管理局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15</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贵州省大娄山隧道群运营管理的数据集构建及大模型应用标准化试点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贵州中南交通科技有限公司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贵州省交通运输厅、贵州省市场监督管理局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16</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公路工程全过程BIM数据贯通标准化试点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中国交通信息科技集团有限公司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中国交通建设集团有限公司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17</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江西省高速公路全生命周期智能建养运一体化标准化试点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江西省交通投资集团有限责任公司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江西省交通运输厅、江西省市场监督管理局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18</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安徽省高速公路无人机巡检巡查基础设施标准化试点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安徽省交通控股集团有限公司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安徽省交通运输厅、安徽省市场监督管理局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19</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湖北省公路桥梁缆索环境应力自感知及智能调节建设标准化试点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湖北交通投资集团有限公司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湖北省交通运输厅、湖北省市场监督管理局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20</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基于AI驱动的民航飞行标准管理文件数字化及共享交换标准化试点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中国民用航空局信息中心</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中国民用航空局综合司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21</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湖南省智慧航道管养标准化试点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湖南省水运事务中心</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湖南省交通运输厅、湖南省市场监督管理局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22</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广西高速公路数智建管标准化试点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广西新发展交通集团有限公司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广西壮族自治区交通运输厅、广西壮族自治区市场监督管理局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23</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新疆公路地质灾害智能监测预警标准化试点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新疆交通规划勘察设计研究院有限公司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新疆维吾尔自治区交通运输厅、新疆维吾尔自治区市场监督管理局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24</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东北多年冻土区高等级公路智慧建设与养护标准化试点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黑龙江省交通投资集团有限公司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黑龙江省交通运输厅、黑龙江省市场监督管理局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25</w:t>
            </w:r>
          </w:p>
        </w:tc>
        <w:tc>
          <w:tcPr>
            <w:tcW w:w="16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2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内蒙古“空港</w:t>
            </w:r>
            <w:r>
              <w:rPr>
                <w:rFonts w:hint="eastAsia"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城区”智慧公路通道建设与运营服务标准化试点</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内蒙古呼和浩特新机场高速公路管理有限责任公司</w:t>
            </w:r>
          </w:p>
        </w:tc>
        <w:tc>
          <w:tcPr>
            <w:tcW w:w="20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内蒙古自治区交通运输厅、内蒙古自治区市场监督管理局</w:t>
            </w:r>
          </w:p>
        </w:tc>
      </w:tr>
    </w:tbl>
    <w:p>
      <w:pPr>
        <w:widowControl/>
        <w:spacing w:line="480" w:lineRule="atLeast"/>
        <w:ind w:firstLine="640" w:firstLineChars="200"/>
        <w:rPr>
          <w:rFonts w:eastAsia="仿宋_GB2312" w:cs="Times New Roman"/>
          <w:kern w:val="0"/>
          <w:sz w:val="32"/>
          <w:szCs w:val="32"/>
        </w:rPr>
      </w:pPr>
    </w:p>
    <w:sectPr>
      <w:footerReference r:id="rId3" w:type="default"/>
      <w:pgSz w:w="11906" w:h="16838"/>
      <w:pgMar w:top="2098" w:right="1474"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B0"/>
    <w:rsid w:val="0004639A"/>
    <w:rsid w:val="0021289B"/>
    <w:rsid w:val="002C5212"/>
    <w:rsid w:val="003636EA"/>
    <w:rsid w:val="003942B0"/>
    <w:rsid w:val="003F168D"/>
    <w:rsid w:val="00532B80"/>
    <w:rsid w:val="005959F2"/>
    <w:rsid w:val="005F3BA6"/>
    <w:rsid w:val="00627AEA"/>
    <w:rsid w:val="00651ABC"/>
    <w:rsid w:val="009A68B1"/>
    <w:rsid w:val="009E2207"/>
    <w:rsid w:val="00BA57BD"/>
    <w:rsid w:val="00C166D4"/>
    <w:rsid w:val="00EE0263"/>
    <w:rsid w:val="00FD0F3F"/>
    <w:rsid w:val="070917E5"/>
    <w:rsid w:val="07832BA1"/>
    <w:rsid w:val="0CCA1A4E"/>
    <w:rsid w:val="1252752F"/>
    <w:rsid w:val="18AD3F21"/>
    <w:rsid w:val="1F32795B"/>
    <w:rsid w:val="1F336B7C"/>
    <w:rsid w:val="206C6470"/>
    <w:rsid w:val="2657536F"/>
    <w:rsid w:val="26E31456"/>
    <w:rsid w:val="2D493389"/>
    <w:rsid w:val="2E8A3797"/>
    <w:rsid w:val="2EC8340B"/>
    <w:rsid w:val="305111DE"/>
    <w:rsid w:val="306A53C9"/>
    <w:rsid w:val="311C359A"/>
    <w:rsid w:val="31D73965"/>
    <w:rsid w:val="32086A25"/>
    <w:rsid w:val="340F7DEF"/>
    <w:rsid w:val="37A638AF"/>
    <w:rsid w:val="398B39B3"/>
    <w:rsid w:val="39B12CEE"/>
    <w:rsid w:val="3A8207A4"/>
    <w:rsid w:val="3AE94535"/>
    <w:rsid w:val="3DA63DDB"/>
    <w:rsid w:val="4383394D"/>
    <w:rsid w:val="47AD331D"/>
    <w:rsid w:val="4AB44FBA"/>
    <w:rsid w:val="54206301"/>
    <w:rsid w:val="5CC34DF0"/>
    <w:rsid w:val="5D7B2A56"/>
    <w:rsid w:val="60CC1F82"/>
    <w:rsid w:val="6F535D90"/>
    <w:rsid w:val="7296393E"/>
    <w:rsid w:val="74F87B1D"/>
    <w:rsid w:val="75B23A9A"/>
    <w:rsid w:val="76352D46"/>
    <w:rsid w:val="7DD554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Date"/>
    <w:basedOn w:val="1"/>
    <w:next w:val="1"/>
    <w:link w:val="10"/>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text-tag"/>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
    <w:name w:val="日期 字符"/>
    <w:basedOn w:val="7"/>
    <w:link w:val="3"/>
    <w:semiHidden/>
    <w:qFormat/>
    <w:uiPriority w:val="99"/>
  </w:style>
  <w:style w:type="character" w:customStyle="1" w:styleId="11">
    <w:name w:val="页脚 字符"/>
    <w:basedOn w:val="7"/>
    <w:link w:val="4"/>
    <w:qFormat/>
    <w:uiPriority w:val="99"/>
    <w:rPr>
      <w:sz w:val="18"/>
      <w:szCs w:val="18"/>
    </w:rPr>
  </w:style>
  <w:style w:type="character" w:customStyle="1" w:styleId="12">
    <w:name w:val="页眉 字符"/>
    <w:basedOn w:val="7"/>
    <w:link w:val="5"/>
    <w:qFormat/>
    <w:uiPriority w:val="99"/>
    <w:rPr>
      <w:sz w:val="18"/>
      <w:szCs w:val="18"/>
    </w:rPr>
  </w:style>
  <w:style w:type="character" w:customStyle="1" w:styleId="13">
    <w:name w:val="t"/>
    <w:basedOn w:val="7"/>
    <w:qFormat/>
    <w:uiPriority w:val="0"/>
  </w:style>
  <w:style w:type="character" w:customStyle="1" w:styleId="14">
    <w:name w:val="text-tag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924</Words>
  <Characters>957</Characters>
  <Lines>17</Lines>
  <Paragraphs>4</Paragraphs>
  <TotalTime>0</TotalTime>
  <ScaleCrop>false</ScaleCrop>
  <LinksUpToDate>false</LinksUpToDate>
  <CharactersWithSpaces>970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2025-02-20T10:12:00Z</dcterms:created>
  <dc:creator>王伟</dc:creator>
  <cp:lastModifiedBy>HHH</cp:lastModifiedBy>
  <dcterms:modified xsi:type="dcterms:W3CDTF">2026-04-07T01:23:55Z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D80C280C67F74402A6397A4CA023FDE3_13</vt:lpwstr>
  </property>
  <property fmtid="{D5CDD505-2E9C-101B-9397-08002B2CF9AE}" pid="4" name="KSOTemplateDocerSaveRecord">
    <vt:lpwstr>eyJoZGlkIjoiNzQ2MTNiOWMzZDZmYmM3NzcxNWMwNjU5NGFhMjlmMTIiLCJ1c2VySWQiOiIyNzIwNDY2ODIifQ==</vt:lpwstr>
  </property>
</Properties>
</file>