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6593A">
      <w:pPr>
        <w:autoSpaceDE w:val="0"/>
        <w:autoSpaceDN w:val="0"/>
        <w:adjustRightInd w:val="0"/>
        <w:jc w:val="left"/>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附件</w:t>
      </w:r>
    </w:p>
    <w:p w14:paraId="1B476C58">
      <w:pPr>
        <w:autoSpaceDE w:val="0"/>
        <w:autoSpaceDN w:val="0"/>
        <w:adjustRightInd w:val="0"/>
        <w:jc w:val="left"/>
        <w:rPr>
          <w:rFonts w:hint="eastAsia" w:ascii="黑体" w:hAnsi="黑体" w:eastAsia="黑体" w:cs="黑体"/>
          <w:bCs/>
          <w:color w:val="000000"/>
          <w:kern w:val="0"/>
          <w:sz w:val="32"/>
          <w:szCs w:val="32"/>
        </w:rPr>
      </w:pPr>
      <w:bookmarkStart w:id="0" w:name="_GoBack"/>
      <w:bookmarkEnd w:id="0"/>
    </w:p>
    <w:p w14:paraId="402C5A6F">
      <w:pPr>
        <w:autoSpaceDE w:val="0"/>
        <w:autoSpaceDN w:val="0"/>
        <w:adjustRightInd w:val="0"/>
        <w:jc w:val="center"/>
        <w:rPr>
          <w:rFonts w:eastAsia="方正小标宋_GBK"/>
          <w:bCs/>
          <w:color w:val="000000"/>
          <w:kern w:val="0"/>
          <w:sz w:val="44"/>
          <w:szCs w:val="44"/>
        </w:rPr>
      </w:pPr>
      <w:r>
        <w:rPr>
          <w:rFonts w:hint="eastAsia" w:ascii="方正小标宋简体" w:hAnsi="方正小标宋简体" w:eastAsia="方正小标宋简体" w:cs="方正小标宋简体"/>
          <w:bCs/>
          <w:color w:val="000000"/>
          <w:kern w:val="0"/>
          <w:sz w:val="44"/>
          <w:szCs w:val="44"/>
        </w:rPr>
        <w:t>湖南省绿色矿山管理办法</w:t>
      </w:r>
    </w:p>
    <w:p w14:paraId="770BBB08">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楷体_GB2312" w:hAnsi="楷体_GB2312" w:eastAsia="楷体_GB2312" w:cs="楷体_GB2312"/>
          <w:bCs/>
          <w:color w:val="000000"/>
          <w:kern w:val="0"/>
          <w:sz w:val="36"/>
          <w:szCs w:val="36"/>
        </w:rPr>
      </w:pPr>
      <w:r>
        <w:rPr>
          <w:rFonts w:hint="eastAsia" w:ascii="楷体_GB2312" w:hAnsi="楷体_GB2312" w:eastAsia="楷体_GB2312" w:cs="楷体_GB2312"/>
          <w:bCs/>
          <w:color w:val="000000"/>
          <w:kern w:val="0"/>
          <w:sz w:val="36"/>
          <w:szCs w:val="36"/>
        </w:rPr>
        <w:t>（征求意见稿）</w:t>
      </w:r>
    </w:p>
    <w:p w14:paraId="0844A8BA">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楷体_GB2312" w:hAnsi="楷体_GB2312" w:eastAsia="楷体_GB2312" w:cs="楷体_GB2312"/>
          <w:bCs/>
          <w:color w:val="000000"/>
          <w:kern w:val="0"/>
          <w:sz w:val="36"/>
          <w:szCs w:val="36"/>
        </w:rPr>
      </w:pPr>
    </w:p>
    <w:p w14:paraId="21BECDA1">
      <w:pPr>
        <w:pStyle w:val="2"/>
        <w:keepNext/>
        <w:keepLines/>
        <w:pageBreakBefore w:val="0"/>
        <w:widowControl w:val="0"/>
        <w:kinsoku/>
        <w:wordWrap/>
        <w:overflowPunct/>
        <w:topLinePunct w:val="0"/>
        <w:autoSpaceDE/>
        <w:autoSpaceDN/>
        <w:bidi w:val="0"/>
        <w:adjustRightInd/>
        <w:snapToGrid/>
        <w:spacing w:before="312" w:beforeLines="100" w:after="312" w:afterLines="100" w:line="240" w:lineRule="auto"/>
        <w:jc w:val="center"/>
        <w:textAlignment w:val="auto"/>
        <w:rPr>
          <w:rFonts w:hint="default" w:ascii="Times New Roman" w:hAnsi="Times New Roman" w:eastAsia="黑体" w:cs="Times New Roman"/>
          <w:b w:val="0"/>
          <w:bCs w:val="0"/>
          <w:color w:val="000000"/>
          <w:kern w:val="0"/>
          <w:sz w:val="32"/>
          <w:szCs w:val="32"/>
          <w:highlight w:val="none"/>
        </w:rPr>
      </w:pPr>
      <w:r>
        <w:rPr>
          <w:rFonts w:hint="default" w:ascii="Times New Roman" w:hAnsi="Times New Roman" w:eastAsia="黑体" w:cs="Times New Roman"/>
          <w:b w:val="0"/>
          <w:bCs w:val="0"/>
          <w:color w:val="000000"/>
          <w:kern w:val="0"/>
          <w:sz w:val="32"/>
          <w:szCs w:val="32"/>
          <w:highlight w:val="none"/>
        </w:rPr>
        <w:t>第一章  总则</w:t>
      </w:r>
    </w:p>
    <w:p w14:paraId="2BB4D2C8">
      <w:pPr>
        <w:autoSpaceDE w:val="0"/>
        <w:autoSpaceDN w:val="0"/>
        <w:adjustRightInd w:val="0"/>
        <w:ind w:firstLine="640" w:firstLineChars="200"/>
        <w:rPr>
          <w:rFonts w:eastAsia="仿宋_GB2312"/>
          <w:color w:val="000000"/>
          <w:spacing w:val="-2"/>
          <w:sz w:val="32"/>
          <w:szCs w:val="32"/>
        </w:rPr>
      </w:pPr>
      <w:r>
        <w:rPr>
          <w:rFonts w:eastAsia="黑体"/>
          <w:color w:val="000000"/>
          <w:kern w:val="0"/>
          <w:sz w:val="32"/>
          <w:szCs w:val="32"/>
        </w:rPr>
        <w:t>第一条</w:t>
      </w:r>
      <w:r>
        <w:rPr>
          <w:rFonts w:eastAsia="仿宋_GB2312"/>
          <w:color w:val="000000"/>
          <w:kern w:val="0"/>
          <w:sz w:val="32"/>
          <w:szCs w:val="32"/>
        </w:rPr>
        <w:t xml:space="preserve">  </w:t>
      </w:r>
      <w:r>
        <w:rPr>
          <w:rFonts w:eastAsia="仿宋_GB2312"/>
          <w:color w:val="000000"/>
          <w:sz w:val="32"/>
          <w:szCs w:val="32"/>
        </w:rPr>
        <w:t>为深入贯彻习近平生态文明思想，加快矿业绿色低碳转型发展，全面推进绿色矿山建设，根据自然资源部等七部门联合印发</w:t>
      </w:r>
      <w:r>
        <w:rPr>
          <w:rFonts w:ascii="Calibri" w:hAnsi="Calibri" w:eastAsia="仿宋_GB2312"/>
          <w:color w:val="000000"/>
          <w:sz w:val="32"/>
          <w:szCs w:val="32"/>
        </w:rPr>
        <w:t>的</w:t>
      </w:r>
      <w:r>
        <w:rPr>
          <w:rFonts w:eastAsia="仿宋_GB2312"/>
          <w:color w:val="000000"/>
          <w:sz w:val="32"/>
          <w:szCs w:val="32"/>
        </w:rPr>
        <w:t>《关于进一步加强绿色矿山建设的通知》（自然资规〔2024〕1号）规定，结合我省实际，制定本办法。</w:t>
      </w:r>
    </w:p>
    <w:p w14:paraId="64BC7E65">
      <w:pPr>
        <w:autoSpaceDE w:val="0"/>
        <w:autoSpaceDN w:val="0"/>
        <w:adjustRightInd w:val="0"/>
        <w:ind w:firstLine="640" w:firstLineChars="200"/>
        <w:rPr>
          <w:rFonts w:eastAsia="仿宋_GB2312"/>
          <w:color w:val="000000"/>
          <w:sz w:val="32"/>
          <w:szCs w:val="32"/>
        </w:rPr>
      </w:pPr>
      <w:r>
        <w:rPr>
          <w:rFonts w:eastAsia="黑体"/>
          <w:color w:val="000000"/>
          <w:kern w:val="0"/>
          <w:sz w:val="32"/>
          <w:szCs w:val="32"/>
        </w:rPr>
        <w:t>第二条</w:t>
      </w:r>
      <w:r>
        <w:rPr>
          <w:rFonts w:eastAsia="仿宋_GB2312"/>
          <w:color w:val="000000"/>
          <w:kern w:val="0"/>
          <w:sz w:val="32"/>
          <w:szCs w:val="32"/>
        </w:rPr>
        <w:t xml:space="preserve">  </w:t>
      </w:r>
      <w:r>
        <w:rPr>
          <w:rFonts w:eastAsia="仿宋_GB2312"/>
          <w:color w:val="000000"/>
          <w:sz w:val="32"/>
          <w:szCs w:val="32"/>
        </w:rPr>
        <w:t>本办法适用于本省行政区域范围内从事矿产资源开发的新建、改扩建、生产矿山的绿色矿山建设、申报、评估、监督与管理等工作。</w:t>
      </w:r>
    </w:p>
    <w:p w14:paraId="11CBBBE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eastAsia="仿宋_GB2312"/>
          <w:color w:val="000000"/>
          <w:sz w:val="32"/>
          <w:szCs w:val="32"/>
        </w:rPr>
      </w:pPr>
      <w:r>
        <w:rPr>
          <w:rFonts w:eastAsia="黑体"/>
          <w:color w:val="000000"/>
          <w:kern w:val="0"/>
          <w:sz w:val="32"/>
          <w:szCs w:val="32"/>
        </w:rPr>
        <w:t>第三条</w:t>
      </w:r>
      <w:r>
        <w:rPr>
          <w:rFonts w:eastAsia="仿宋_GB2312"/>
          <w:color w:val="000000"/>
          <w:kern w:val="0"/>
          <w:sz w:val="32"/>
          <w:szCs w:val="32"/>
        </w:rPr>
        <w:t xml:space="preserve">  </w:t>
      </w:r>
      <w:r>
        <w:rPr>
          <w:rFonts w:hint="eastAsia" w:ascii="Calibri" w:hAnsi="Calibri" w:eastAsia="仿宋_GB2312"/>
          <w:color w:val="000000"/>
          <w:kern w:val="0"/>
          <w:sz w:val="32"/>
          <w:szCs w:val="32"/>
        </w:rPr>
        <w:t>各矿山企业需严格按照规范标准，</w:t>
      </w:r>
      <w:r>
        <w:rPr>
          <w:rFonts w:eastAsia="仿宋_GB2312"/>
          <w:color w:val="000000"/>
          <w:sz w:val="32"/>
          <w:szCs w:val="32"/>
        </w:rPr>
        <w:t>在矿产资源开发全过程中，对矿区及周边生态环境扰动控制在可控制范围内，建设矿区环境生态化、开采方式科学化、资源利用高效化、企业管理规范化、矿区社区和谐化的</w:t>
      </w:r>
      <w:r>
        <w:rPr>
          <w:rFonts w:hint="eastAsia" w:ascii="Calibri" w:hAnsi="Calibri" w:eastAsia="仿宋_GB2312"/>
          <w:color w:val="000000"/>
          <w:sz w:val="32"/>
          <w:szCs w:val="32"/>
        </w:rPr>
        <w:t>绿色</w:t>
      </w:r>
      <w:r>
        <w:rPr>
          <w:rFonts w:eastAsia="仿宋_GB2312"/>
          <w:color w:val="000000"/>
          <w:sz w:val="32"/>
          <w:szCs w:val="32"/>
        </w:rPr>
        <w:t>矿山。</w:t>
      </w:r>
    </w:p>
    <w:p w14:paraId="11A17897">
      <w:pPr>
        <w:autoSpaceDE w:val="0"/>
        <w:autoSpaceDN w:val="0"/>
        <w:adjustRightInd w:val="0"/>
        <w:ind w:firstLine="640" w:firstLineChars="200"/>
        <w:rPr>
          <w:rFonts w:eastAsia="仿宋_GB2312"/>
          <w:color w:val="000000"/>
          <w:sz w:val="32"/>
          <w:szCs w:val="32"/>
        </w:rPr>
      </w:pPr>
      <w:r>
        <w:rPr>
          <w:rFonts w:eastAsia="黑体"/>
          <w:color w:val="000000"/>
          <w:kern w:val="0"/>
          <w:sz w:val="32"/>
          <w:szCs w:val="32"/>
        </w:rPr>
        <w:t>第四条</w:t>
      </w:r>
      <w:r>
        <w:rPr>
          <w:rFonts w:eastAsia="仿宋_GB2312"/>
          <w:color w:val="000000"/>
          <w:kern w:val="0"/>
          <w:sz w:val="32"/>
          <w:szCs w:val="32"/>
        </w:rPr>
        <w:t xml:space="preserve">  </w:t>
      </w:r>
      <w:r>
        <w:rPr>
          <w:rFonts w:hint="eastAsia" w:ascii="Calibri" w:hAnsi="Calibri" w:eastAsia="仿宋_GB2312"/>
          <w:color w:val="000000"/>
          <w:kern w:val="0"/>
          <w:sz w:val="32"/>
          <w:szCs w:val="32"/>
        </w:rPr>
        <w:t>建立湖南省</w:t>
      </w:r>
      <w:r>
        <w:rPr>
          <w:rFonts w:ascii="Calibri" w:hAnsi="Calibri" w:eastAsia="仿宋_GB2312"/>
          <w:color w:val="000000"/>
          <w:kern w:val="0"/>
          <w:sz w:val="32"/>
          <w:szCs w:val="32"/>
        </w:rPr>
        <w:t>省级</w:t>
      </w:r>
      <w:r>
        <w:rPr>
          <w:rFonts w:hint="eastAsia" w:ascii="Calibri" w:hAnsi="Calibri" w:eastAsia="仿宋_GB2312"/>
          <w:color w:val="000000"/>
          <w:kern w:val="0"/>
          <w:sz w:val="32"/>
          <w:szCs w:val="32"/>
        </w:rPr>
        <w:t>绿色矿山名录</w:t>
      </w:r>
      <w:r>
        <w:rPr>
          <w:rFonts w:eastAsia="仿宋_GB2312"/>
          <w:color w:val="000000"/>
          <w:kern w:val="0"/>
          <w:sz w:val="32"/>
          <w:szCs w:val="32"/>
        </w:rPr>
        <w:t>，国家级绿色矿山由省自然资源厅按照自然资源部要求从省级绿色矿山中择优推荐。</w:t>
      </w:r>
      <w:r>
        <w:rPr>
          <w:rFonts w:hint="eastAsia" w:ascii="Calibri" w:hAnsi="Calibri" w:eastAsia="仿宋_GB2312"/>
          <w:color w:val="000000"/>
          <w:kern w:val="0"/>
          <w:sz w:val="32"/>
          <w:szCs w:val="32"/>
        </w:rPr>
        <w:t>绿</w:t>
      </w:r>
      <w:r>
        <w:rPr>
          <w:rFonts w:eastAsia="仿宋_GB2312"/>
          <w:color w:val="000000"/>
          <w:kern w:val="0"/>
          <w:sz w:val="32"/>
          <w:szCs w:val="32"/>
        </w:rPr>
        <w:t>色矿山名录实行动态管理。</w:t>
      </w:r>
    </w:p>
    <w:p w14:paraId="4D5BE2BB">
      <w:pPr>
        <w:keepNext/>
        <w:keepLines/>
        <w:spacing w:before="312" w:beforeLines="100" w:after="312" w:afterLines="100" w:line="240" w:lineRule="auto"/>
        <w:jc w:val="center"/>
        <w:outlineLvl w:val="0"/>
        <w:rPr>
          <w:rFonts w:eastAsia="黑体"/>
          <w:color w:val="000000"/>
          <w:kern w:val="0"/>
          <w:sz w:val="32"/>
          <w:szCs w:val="32"/>
        </w:rPr>
      </w:pPr>
      <w:r>
        <w:rPr>
          <w:rFonts w:eastAsia="黑体"/>
          <w:color w:val="000000"/>
          <w:kern w:val="0"/>
          <w:sz w:val="32"/>
          <w:szCs w:val="32"/>
        </w:rPr>
        <w:t>第二章  职责分工</w:t>
      </w:r>
    </w:p>
    <w:p w14:paraId="36338432">
      <w:pPr>
        <w:keepNext w:val="0"/>
        <w:keepLines w:val="0"/>
        <w:pageBreakBefore w:val="0"/>
        <w:widowControl/>
        <w:suppressLineNumbers w:val="0"/>
        <w:kinsoku/>
        <w:wordWrap/>
        <w:overflowPunct/>
        <w:topLinePunct w:val="0"/>
        <w:bidi w:val="0"/>
        <w:snapToGrid/>
        <w:ind w:firstLine="640" w:firstLineChars="200"/>
        <w:textAlignment w:val="auto"/>
        <w:rPr>
          <w:rFonts w:eastAsia="仿宋_GB2312"/>
          <w:color w:val="000000"/>
          <w:sz w:val="32"/>
          <w:szCs w:val="32"/>
        </w:rPr>
      </w:pPr>
      <w:r>
        <w:rPr>
          <w:rFonts w:eastAsia="黑体"/>
          <w:color w:val="000000"/>
          <w:kern w:val="0"/>
          <w:sz w:val="32"/>
          <w:szCs w:val="32"/>
        </w:rPr>
        <w:t>第五条</w:t>
      </w:r>
      <w:r>
        <w:rPr>
          <w:rFonts w:eastAsia="仿宋_GB2312"/>
          <w:color w:val="000000"/>
          <w:kern w:val="0"/>
          <w:sz w:val="32"/>
          <w:szCs w:val="32"/>
        </w:rPr>
        <w:t xml:space="preserve">  </w:t>
      </w:r>
      <w:r>
        <w:rPr>
          <w:rFonts w:eastAsia="仿宋_GB2312"/>
          <w:color w:val="000000"/>
          <w:sz w:val="32"/>
          <w:szCs w:val="32"/>
        </w:rPr>
        <w:t>矿山企业作为责任主体，需树立绿色矿山建设理念，严格按照标准规范，积极推进绿色矿山建设。县级及以上人民政府统筹推进绿色矿山建设</w:t>
      </w:r>
      <w:r>
        <w:rPr>
          <w:rFonts w:hint="eastAsia" w:ascii="Calibri" w:hAnsi="Calibri" w:eastAsia="仿宋_GB2312"/>
          <w:color w:val="000000"/>
          <w:sz w:val="32"/>
          <w:szCs w:val="32"/>
        </w:rPr>
        <w:t>，</w:t>
      </w:r>
      <w:r>
        <w:rPr>
          <w:rFonts w:eastAsia="仿宋_GB2312"/>
          <w:color w:val="000000"/>
          <w:sz w:val="32"/>
          <w:szCs w:val="32"/>
        </w:rPr>
        <w:t>自然资源主管部门</w:t>
      </w:r>
      <w:r>
        <w:rPr>
          <w:rFonts w:hint="eastAsia" w:ascii="Calibri" w:hAnsi="Calibri" w:eastAsia="仿宋_GB2312"/>
          <w:color w:val="000000"/>
          <w:sz w:val="32"/>
          <w:szCs w:val="32"/>
        </w:rPr>
        <w:t>会同相关行业主管部门做好指导监管等相关工作</w:t>
      </w:r>
      <w:r>
        <w:rPr>
          <w:rFonts w:eastAsia="仿宋_GB2312"/>
          <w:color w:val="000000"/>
          <w:sz w:val="32"/>
          <w:szCs w:val="32"/>
        </w:rPr>
        <w:t>。建立政府引导、部门协作、企业主建、社会监督的绿色矿山建设工作机制。</w:t>
      </w:r>
    </w:p>
    <w:p w14:paraId="3E8EEF8A">
      <w:pPr>
        <w:keepNext w:val="0"/>
        <w:keepLines w:val="0"/>
        <w:pageBreakBefore w:val="0"/>
        <w:widowControl/>
        <w:suppressLineNumbers w:val="0"/>
        <w:kinsoku/>
        <w:wordWrap/>
        <w:overflowPunct/>
        <w:topLinePunct w:val="0"/>
        <w:bidi w:val="0"/>
        <w:snapToGrid/>
        <w:ind w:firstLine="640" w:firstLineChars="200"/>
        <w:textAlignment w:val="auto"/>
        <w:rPr>
          <w:color w:val="000000"/>
          <w:sz w:val="32"/>
          <w:szCs w:val="32"/>
        </w:rPr>
      </w:pPr>
      <w:r>
        <w:rPr>
          <w:rFonts w:eastAsia="黑体"/>
          <w:color w:val="000000"/>
          <w:kern w:val="0"/>
          <w:sz w:val="32"/>
          <w:szCs w:val="32"/>
        </w:rPr>
        <w:t>第六条</w:t>
      </w:r>
      <w:r>
        <w:rPr>
          <w:rFonts w:eastAsia="仿宋_GB2312"/>
          <w:color w:val="000000"/>
          <w:kern w:val="0"/>
          <w:sz w:val="31"/>
          <w:szCs w:val="31"/>
          <w:lang w:bidi="ar"/>
        </w:rPr>
        <w:t xml:space="preserve">  </w:t>
      </w:r>
      <w:r>
        <w:rPr>
          <w:rFonts w:eastAsia="仿宋_GB2312"/>
          <w:color w:val="000000"/>
          <w:sz w:val="32"/>
          <w:szCs w:val="32"/>
        </w:rPr>
        <w:t>建立</w:t>
      </w:r>
      <w:r>
        <w:rPr>
          <w:rFonts w:hint="eastAsia" w:ascii="Calibri" w:hAnsi="Calibri" w:eastAsia="仿宋_GB2312"/>
          <w:color w:val="000000"/>
          <w:sz w:val="32"/>
          <w:szCs w:val="32"/>
        </w:rPr>
        <w:t>省级</w:t>
      </w:r>
      <w:r>
        <w:rPr>
          <w:rFonts w:eastAsia="仿宋_GB2312"/>
          <w:color w:val="000000"/>
          <w:sz w:val="32"/>
          <w:szCs w:val="32"/>
        </w:rPr>
        <w:t>自然资源、生态环境、财政、市场监督管理、金融监督管理、证券监督管理、林</w:t>
      </w:r>
      <w:r>
        <w:rPr>
          <w:rFonts w:ascii="Calibri" w:hAnsi="Calibri" w:eastAsia="仿宋_GB2312"/>
          <w:color w:val="000000"/>
          <w:sz w:val="32"/>
          <w:szCs w:val="32"/>
        </w:rPr>
        <w:t>业</w:t>
      </w:r>
      <w:r>
        <w:rPr>
          <w:rFonts w:eastAsia="仿宋_GB2312"/>
          <w:color w:val="000000"/>
          <w:sz w:val="32"/>
          <w:szCs w:val="32"/>
        </w:rPr>
        <w:t>等部门组成的绿色矿山建设工作协调机制，协同推进绿色矿山建设工作，落实绿色矿山建设各项政策。</w:t>
      </w:r>
    </w:p>
    <w:p w14:paraId="62FDE752">
      <w:pPr>
        <w:keepNext w:val="0"/>
        <w:keepLines w:val="0"/>
        <w:pageBreakBefore w:val="0"/>
        <w:widowControl/>
        <w:suppressLineNumbers w:val="0"/>
        <w:kinsoku/>
        <w:wordWrap/>
        <w:overflowPunct/>
        <w:topLinePunct w:val="0"/>
        <w:bidi w:val="0"/>
        <w:snapToGrid/>
        <w:ind w:firstLine="640" w:firstLineChars="200"/>
        <w:textAlignment w:val="auto"/>
        <w:rPr>
          <w:color w:val="000000"/>
          <w:sz w:val="32"/>
          <w:szCs w:val="32"/>
        </w:rPr>
      </w:pPr>
      <w:r>
        <w:rPr>
          <w:rFonts w:eastAsia="仿宋_GB2312"/>
          <w:color w:val="000000"/>
          <w:kern w:val="0"/>
          <w:sz w:val="32"/>
          <w:szCs w:val="32"/>
          <w:lang w:bidi="ar"/>
        </w:rPr>
        <w:t>（一）自然资源主管部门牵头推进绿色矿山建设和名录管理工作，负责矿山</w:t>
      </w:r>
      <w:r>
        <w:rPr>
          <w:rFonts w:hint="eastAsia" w:eastAsia="仿宋_GB2312"/>
          <w:color w:val="000000"/>
          <w:kern w:val="0"/>
          <w:sz w:val="32"/>
          <w:szCs w:val="32"/>
          <w:lang w:bidi="ar"/>
        </w:rPr>
        <w:t>“</w:t>
      </w:r>
      <w:r>
        <w:rPr>
          <w:rFonts w:eastAsia="仿宋_GB2312"/>
          <w:color w:val="000000"/>
          <w:kern w:val="0"/>
          <w:sz w:val="32"/>
          <w:szCs w:val="32"/>
          <w:lang w:bidi="ar"/>
        </w:rPr>
        <w:t>三率</w:t>
      </w:r>
      <w:r>
        <w:rPr>
          <w:rFonts w:hint="eastAsia" w:eastAsia="仿宋_GB2312"/>
          <w:color w:val="000000"/>
          <w:kern w:val="0"/>
          <w:sz w:val="32"/>
          <w:szCs w:val="32"/>
          <w:lang w:bidi="ar"/>
        </w:rPr>
        <w:t>”</w:t>
      </w:r>
      <w:r>
        <w:rPr>
          <w:rFonts w:eastAsia="仿宋_GB2312"/>
          <w:color w:val="000000"/>
          <w:kern w:val="0"/>
          <w:sz w:val="32"/>
          <w:szCs w:val="32"/>
          <w:lang w:bidi="ar"/>
        </w:rPr>
        <w:t>（开采回采率、选矿回收率、综合利用率）监管、矿山生态修复方案等执行情况的监管</w:t>
      </w:r>
      <w:r>
        <w:rPr>
          <w:rFonts w:hint="eastAsia" w:ascii="Calibri" w:hAnsi="Calibri" w:eastAsia="仿宋_GB2312"/>
          <w:color w:val="000000"/>
          <w:kern w:val="0"/>
          <w:sz w:val="32"/>
          <w:szCs w:val="32"/>
          <w:lang w:bidi="ar"/>
        </w:rPr>
        <w:t>，负责绿色矿山建设地方标准制修订工作</w:t>
      </w:r>
      <w:r>
        <w:rPr>
          <w:rFonts w:eastAsia="仿宋_GB2312"/>
          <w:color w:val="000000"/>
          <w:kern w:val="0"/>
          <w:sz w:val="32"/>
          <w:szCs w:val="32"/>
          <w:lang w:bidi="ar"/>
        </w:rPr>
        <w:t>；</w:t>
      </w:r>
    </w:p>
    <w:p w14:paraId="127CAB38">
      <w:pPr>
        <w:keepNext w:val="0"/>
        <w:keepLines w:val="0"/>
        <w:pageBreakBefore w:val="0"/>
        <w:widowControl/>
        <w:suppressLineNumbers w:val="0"/>
        <w:kinsoku/>
        <w:wordWrap/>
        <w:overflowPunct/>
        <w:topLinePunct w:val="0"/>
        <w:bidi w:val="0"/>
        <w:snapToGrid/>
        <w:ind w:firstLine="640" w:firstLineChars="200"/>
        <w:textAlignment w:val="auto"/>
        <w:rPr>
          <w:color w:val="000000"/>
          <w:sz w:val="32"/>
          <w:szCs w:val="32"/>
        </w:rPr>
      </w:pPr>
      <w:r>
        <w:rPr>
          <w:rFonts w:eastAsia="仿宋_GB2312"/>
          <w:color w:val="000000"/>
          <w:kern w:val="0"/>
          <w:sz w:val="32"/>
          <w:szCs w:val="32"/>
          <w:lang w:bidi="ar"/>
        </w:rPr>
        <w:t>（二）生态环境主管部门负责矿山生态环境监督、污染防治监管；</w:t>
      </w:r>
    </w:p>
    <w:p w14:paraId="08F5DE7E">
      <w:pPr>
        <w:keepNext w:val="0"/>
        <w:keepLines w:val="0"/>
        <w:pageBreakBefore w:val="0"/>
        <w:widowControl/>
        <w:suppressLineNumbers w:val="0"/>
        <w:kinsoku/>
        <w:wordWrap/>
        <w:overflowPunct/>
        <w:topLinePunct w:val="0"/>
        <w:bidi w:val="0"/>
        <w:snapToGrid/>
        <w:ind w:firstLine="640" w:firstLineChars="200"/>
        <w:textAlignment w:val="auto"/>
        <w:rPr>
          <w:color w:val="000000"/>
          <w:sz w:val="32"/>
          <w:szCs w:val="32"/>
        </w:rPr>
      </w:pPr>
      <w:r>
        <w:rPr>
          <w:rFonts w:eastAsia="仿宋_GB2312"/>
          <w:color w:val="000000"/>
          <w:kern w:val="0"/>
          <w:sz w:val="32"/>
          <w:szCs w:val="32"/>
          <w:lang w:bidi="ar"/>
        </w:rPr>
        <w:t xml:space="preserve">（三）财政部门负责绿色矿山评估认定工作经费保障； </w:t>
      </w:r>
    </w:p>
    <w:p w14:paraId="44B7C7B5">
      <w:pPr>
        <w:keepNext w:val="0"/>
        <w:keepLines w:val="0"/>
        <w:pageBreakBefore w:val="0"/>
        <w:widowControl/>
        <w:suppressLineNumbers w:val="0"/>
        <w:kinsoku/>
        <w:wordWrap/>
        <w:overflowPunct/>
        <w:topLinePunct w:val="0"/>
        <w:bidi w:val="0"/>
        <w:snapToGrid/>
        <w:ind w:firstLine="640" w:firstLineChars="200"/>
        <w:textAlignment w:val="auto"/>
        <w:rPr>
          <w:color w:val="000000"/>
          <w:sz w:val="32"/>
          <w:szCs w:val="32"/>
        </w:rPr>
      </w:pPr>
      <w:r>
        <w:rPr>
          <w:rFonts w:eastAsia="仿宋_GB2312"/>
          <w:color w:val="000000"/>
          <w:kern w:val="0"/>
          <w:sz w:val="32"/>
          <w:szCs w:val="32"/>
          <w:lang w:bidi="ar"/>
        </w:rPr>
        <w:t>（四）市场监管部门负责协调指导绿色矿山建设地方标准和企业标准的制修订工作，加强矿山企业信用监管；</w:t>
      </w:r>
    </w:p>
    <w:p w14:paraId="1AF46D45">
      <w:pPr>
        <w:keepNext w:val="0"/>
        <w:keepLines w:val="0"/>
        <w:pageBreakBefore w:val="0"/>
        <w:widowControl/>
        <w:suppressLineNumbers w:val="0"/>
        <w:kinsoku/>
        <w:wordWrap/>
        <w:overflowPunct/>
        <w:topLinePunct w:val="0"/>
        <w:bidi w:val="0"/>
        <w:snapToGrid/>
        <w:ind w:firstLine="640" w:firstLineChars="200"/>
        <w:textAlignment w:val="auto"/>
        <w:rPr>
          <w:color w:val="000000"/>
          <w:sz w:val="32"/>
          <w:szCs w:val="32"/>
        </w:rPr>
      </w:pPr>
      <w:r>
        <w:rPr>
          <w:rFonts w:eastAsia="仿宋_GB2312"/>
          <w:color w:val="000000"/>
          <w:kern w:val="0"/>
          <w:sz w:val="32"/>
          <w:szCs w:val="32"/>
          <w:lang w:bidi="ar"/>
        </w:rPr>
        <w:t>（五）金融监管部门负责制定完善绿色金融政策，支持矿山企业绿色发展；</w:t>
      </w:r>
    </w:p>
    <w:p w14:paraId="12AE4266">
      <w:pPr>
        <w:keepNext w:val="0"/>
        <w:keepLines w:val="0"/>
        <w:pageBreakBefore w:val="0"/>
        <w:widowControl/>
        <w:suppressLineNumbers w:val="0"/>
        <w:kinsoku/>
        <w:wordWrap/>
        <w:overflowPunct/>
        <w:topLinePunct w:val="0"/>
        <w:bidi w:val="0"/>
        <w:snapToGrid/>
        <w:ind w:firstLine="640" w:firstLineChars="200"/>
        <w:textAlignment w:val="auto"/>
        <w:rPr>
          <w:color w:val="000000"/>
          <w:sz w:val="32"/>
          <w:szCs w:val="32"/>
        </w:rPr>
      </w:pPr>
      <w:r>
        <w:rPr>
          <w:rFonts w:eastAsia="仿宋_GB2312"/>
          <w:color w:val="000000"/>
          <w:kern w:val="0"/>
          <w:sz w:val="32"/>
          <w:szCs w:val="32"/>
          <w:lang w:bidi="ar"/>
        </w:rPr>
        <w:t>（六）证券监管主管部门负责支持符合条件的绿色矿山企业</w:t>
      </w:r>
      <w:r>
        <w:rPr>
          <w:rFonts w:hint="eastAsia" w:eastAsia="仿宋_GB2312"/>
          <w:color w:val="000000"/>
          <w:kern w:val="0"/>
          <w:sz w:val="32"/>
          <w:szCs w:val="32"/>
          <w:lang w:bidi="ar"/>
        </w:rPr>
        <w:t>在境内</w:t>
      </w:r>
      <w:r>
        <w:rPr>
          <w:rFonts w:eastAsia="仿宋_GB2312"/>
          <w:color w:val="000000"/>
          <w:kern w:val="0"/>
          <w:sz w:val="32"/>
          <w:szCs w:val="32"/>
          <w:lang w:bidi="ar"/>
        </w:rPr>
        <w:t>上市融资；</w:t>
      </w:r>
    </w:p>
    <w:p w14:paraId="7EEFFA4E">
      <w:pPr>
        <w:keepNext w:val="0"/>
        <w:keepLines w:val="0"/>
        <w:pageBreakBefore w:val="0"/>
        <w:widowControl/>
        <w:suppressLineNumbers w:val="0"/>
        <w:kinsoku/>
        <w:wordWrap/>
        <w:overflowPunct/>
        <w:topLinePunct w:val="0"/>
        <w:bidi w:val="0"/>
        <w:snapToGrid/>
        <w:ind w:firstLine="640" w:firstLineChars="200"/>
        <w:textAlignment w:val="auto"/>
        <w:rPr>
          <w:color w:val="000000"/>
          <w:sz w:val="32"/>
          <w:szCs w:val="32"/>
        </w:rPr>
      </w:pPr>
      <w:r>
        <w:rPr>
          <w:rFonts w:eastAsia="仿宋_GB2312"/>
          <w:color w:val="000000"/>
          <w:kern w:val="0"/>
          <w:sz w:val="32"/>
          <w:szCs w:val="32"/>
          <w:lang w:bidi="ar"/>
        </w:rPr>
        <w:t>（七）林</w:t>
      </w:r>
      <w:r>
        <w:rPr>
          <w:rFonts w:ascii="Calibri" w:hAnsi="Calibri" w:eastAsia="仿宋_GB2312"/>
          <w:color w:val="000000"/>
          <w:kern w:val="0"/>
          <w:sz w:val="32"/>
          <w:szCs w:val="32"/>
          <w:lang w:bidi="ar"/>
        </w:rPr>
        <w:t>业</w:t>
      </w:r>
      <w:r>
        <w:rPr>
          <w:rFonts w:eastAsia="仿宋_GB2312"/>
          <w:color w:val="000000"/>
          <w:kern w:val="0"/>
          <w:sz w:val="32"/>
          <w:szCs w:val="32"/>
          <w:lang w:bidi="ar"/>
        </w:rPr>
        <w:t>部门负责矿山占用林地草地的手续办理、临时占用林地到期后植被恢复以及矿山开发附属工程临时占用草地到期后植被恢复的监管</w:t>
      </w:r>
      <w:r>
        <w:rPr>
          <w:rFonts w:ascii="Calibri" w:hAnsi="Calibri" w:eastAsia="仿宋_GB2312"/>
          <w:color w:val="000000"/>
          <w:kern w:val="0"/>
          <w:sz w:val="32"/>
          <w:szCs w:val="32"/>
          <w:lang w:bidi="ar"/>
        </w:rPr>
        <w:t>；</w:t>
      </w:r>
    </w:p>
    <w:p w14:paraId="3D956BCA">
      <w:pPr>
        <w:keepNext w:val="0"/>
        <w:keepLines w:val="0"/>
        <w:pageBreakBefore w:val="0"/>
        <w:widowControl/>
        <w:suppressLineNumbers w:val="0"/>
        <w:kinsoku/>
        <w:wordWrap/>
        <w:overflowPunct/>
        <w:topLinePunct w:val="0"/>
        <w:bidi w:val="0"/>
        <w:snapToGrid/>
        <w:ind w:firstLine="640" w:firstLineChars="200"/>
        <w:textAlignment w:val="auto"/>
        <w:rPr>
          <w:rFonts w:eastAsia="仿宋_GB2312"/>
          <w:color w:val="000000"/>
          <w:sz w:val="32"/>
          <w:szCs w:val="32"/>
        </w:rPr>
      </w:pPr>
      <w:r>
        <w:rPr>
          <w:rFonts w:eastAsia="仿宋_GB2312"/>
          <w:color w:val="000000"/>
          <w:kern w:val="0"/>
          <w:sz w:val="32"/>
          <w:szCs w:val="32"/>
          <w:lang w:bidi="ar"/>
        </w:rPr>
        <w:t>（八）其他相关部门依据自身职能职责，结合绿色矿山建设要求，落实好相关工作。</w:t>
      </w:r>
    </w:p>
    <w:p w14:paraId="2A79E6A5">
      <w:pPr>
        <w:keepNext/>
        <w:keepLines/>
        <w:spacing w:before="312" w:beforeLines="100" w:after="312" w:afterLines="100" w:line="240" w:lineRule="auto"/>
        <w:jc w:val="center"/>
        <w:outlineLvl w:val="0"/>
        <w:rPr>
          <w:rFonts w:eastAsia="黑体"/>
          <w:color w:val="000000"/>
          <w:kern w:val="0"/>
          <w:sz w:val="32"/>
          <w:szCs w:val="32"/>
        </w:rPr>
      </w:pPr>
      <w:r>
        <w:rPr>
          <w:rFonts w:eastAsia="黑体"/>
          <w:color w:val="000000"/>
          <w:kern w:val="0"/>
          <w:sz w:val="32"/>
          <w:szCs w:val="32"/>
        </w:rPr>
        <w:t>第三章  绿色矿山建设</w:t>
      </w:r>
    </w:p>
    <w:p w14:paraId="3309087B">
      <w:pPr>
        <w:autoSpaceDE w:val="0"/>
        <w:autoSpaceDN w:val="0"/>
        <w:adjustRightInd w:val="0"/>
        <w:ind w:firstLine="640" w:firstLineChars="200"/>
        <w:rPr>
          <w:rFonts w:eastAsia="仿宋_GB2312"/>
          <w:color w:val="000000"/>
          <w:sz w:val="32"/>
          <w:szCs w:val="32"/>
        </w:rPr>
      </w:pPr>
      <w:r>
        <w:rPr>
          <w:rFonts w:eastAsia="黑体"/>
          <w:color w:val="000000"/>
          <w:sz w:val="32"/>
          <w:szCs w:val="32"/>
        </w:rPr>
        <w:t>第七条</w:t>
      </w:r>
      <w:r>
        <w:rPr>
          <w:rFonts w:eastAsia="仿宋_GB2312"/>
          <w:color w:val="000000"/>
          <w:sz w:val="32"/>
          <w:szCs w:val="32"/>
        </w:rPr>
        <w:t xml:space="preserve">  </w:t>
      </w:r>
      <w:r>
        <w:rPr>
          <w:rFonts w:hint="eastAsia" w:eastAsia="仿宋_GB2312"/>
          <w:color w:val="000000"/>
          <w:sz w:val="32"/>
          <w:szCs w:val="32"/>
        </w:rPr>
        <w:t>压实矿山企业的主体责任。</w:t>
      </w:r>
    </w:p>
    <w:p w14:paraId="5D247049">
      <w:pPr>
        <w:autoSpaceDE w:val="0"/>
        <w:autoSpaceDN w:val="0"/>
        <w:adjustRightInd w:val="0"/>
        <w:ind w:firstLine="640" w:firstLineChars="200"/>
        <w:rPr>
          <w:rFonts w:eastAsia="仿宋_GB2312"/>
          <w:color w:val="000000"/>
          <w:spacing w:val="-6"/>
          <w:sz w:val="32"/>
          <w:szCs w:val="32"/>
          <w:shd w:val="clear" w:color="auto" w:fill="FFFFFF"/>
        </w:rPr>
      </w:pPr>
      <w:r>
        <w:rPr>
          <w:rFonts w:eastAsia="仿宋_GB2312"/>
          <w:color w:val="000000"/>
          <w:sz w:val="32"/>
          <w:szCs w:val="32"/>
        </w:rPr>
        <w:t>矿山企业要</w:t>
      </w:r>
      <w:r>
        <w:rPr>
          <w:rFonts w:hint="eastAsia" w:ascii="Calibri" w:hAnsi="Calibri" w:eastAsia="仿宋_GB2312"/>
          <w:color w:val="000000"/>
          <w:sz w:val="32"/>
          <w:szCs w:val="32"/>
        </w:rPr>
        <w:t>依照</w:t>
      </w:r>
      <w:r>
        <w:rPr>
          <w:rFonts w:eastAsia="仿宋_GB2312"/>
          <w:color w:val="000000"/>
          <w:sz w:val="32"/>
          <w:szCs w:val="32"/>
        </w:rPr>
        <w:t>矿山开发利用、生态修复、环境保护等方案，落实</w:t>
      </w:r>
      <w:r>
        <w:rPr>
          <w:rFonts w:hint="eastAsia" w:eastAsia="仿宋_GB2312"/>
          <w:color w:val="000000"/>
          <w:sz w:val="32"/>
          <w:szCs w:val="32"/>
        </w:rPr>
        <w:t>“</w:t>
      </w:r>
      <w:r>
        <w:rPr>
          <w:rFonts w:eastAsia="仿宋_GB2312"/>
          <w:color w:val="000000"/>
          <w:sz w:val="32"/>
          <w:szCs w:val="32"/>
        </w:rPr>
        <w:t>边开采、边修复</w:t>
      </w:r>
      <w:r>
        <w:rPr>
          <w:rFonts w:hint="eastAsia" w:eastAsia="仿宋_GB2312"/>
          <w:color w:val="000000"/>
          <w:sz w:val="32"/>
          <w:szCs w:val="32"/>
        </w:rPr>
        <w:t>”</w:t>
      </w:r>
      <w:r>
        <w:rPr>
          <w:rFonts w:eastAsia="仿宋_GB2312"/>
          <w:color w:val="000000"/>
          <w:sz w:val="32"/>
          <w:szCs w:val="32"/>
        </w:rPr>
        <w:t>等要求。</w:t>
      </w:r>
      <w:r>
        <w:rPr>
          <w:rFonts w:eastAsia="仿宋_GB2312"/>
          <w:color w:val="000000"/>
          <w:sz w:val="32"/>
          <w:szCs w:val="32"/>
          <w:shd w:val="clear" w:color="auto" w:fill="FFFFFF"/>
        </w:rPr>
        <w:t>对标绿色矿山标准和评价指标，编制绿色矿山建设方案。</w:t>
      </w:r>
      <w:r>
        <w:rPr>
          <w:rFonts w:eastAsia="仿宋_GB2312"/>
          <w:color w:val="000000"/>
          <w:spacing w:val="-6"/>
          <w:sz w:val="32"/>
          <w:szCs w:val="32"/>
          <w:shd w:val="clear" w:color="auto" w:fill="FFFFFF"/>
        </w:rPr>
        <w:t>建设方案应突出矿区生态环境保护、资源开发与综合利用等方面的具体措施，并明确工作内容和工程进度。</w:t>
      </w:r>
      <w:r>
        <w:rPr>
          <w:rFonts w:eastAsia="仿宋_GB2312"/>
          <w:color w:val="000000"/>
          <w:sz w:val="32"/>
          <w:szCs w:val="32"/>
          <w:shd w:val="clear" w:color="auto" w:fill="FFFFFF"/>
        </w:rPr>
        <w:t>生态修复方案中已有绿色矿山建设方案篇章的，可不单独编制</w:t>
      </w:r>
      <w:r>
        <w:rPr>
          <w:rFonts w:eastAsia="仿宋_GB2312"/>
          <w:color w:val="000000"/>
          <w:spacing w:val="-6"/>
          <w:sz w:val="32"/>
          <w:szCs w:val="32"/>
          <w:shd w:val="clear" w:color="auto" w:fill="FFFFFF"/>
        </w:rPr>
        <w:t>建设方案。</w:t>
      </w:r>
    </w:p>
    <w:p w14:paraId="7339E3D8">
      <w:pPr>
        <w:autoSpaceDE w:val="0"/>
        <w:autoSpaceDN w:val="0"/>
        <w:adjustRightInd w:val="0"/>
        <w:ind w:firstLine="640" w:firstLineChars="200"/>
        <w:rPr>
          <w:rFonts w:eastAsia="黑体"/>
          <w:color w:val="000000"/>
          <w:sz w:val="32"/>
          <w:szCs w:val="32"/>
        </w:rPr>
      </w:pPr>
      <w:r>
        <w:rPr>
          <w:rFonts w:eastAsia="仿宋_GB2312"/>
          <w:color w:val="000000"/>
          <w:sz w:val="32"/>
          <w:szCs w:val="32"/>
        </w:rPr>
        <w:t>建立申诉回应机制，畅通与受矿山影响的社区等利益相关者的交流互动</w:t>
      </w:r>
      <w:r>
        <w:rPr>
          <w:rFonts w:hint="eastAsia" w:eastAsia="仿宋_GB2312"/>
          <w:color w:val="000000"/>
          <w:sz w:val="32"/>
          <w:szCs w:val="32"/>
        </w:rPr>
        <w:t>，主动接受社会监督，树立良好企业形象</w:t>
      </w:r>
      <w:r>
        <w:rPr>
          <w:rFonts w:eastAsia="仿宋_GB2312"/>
          <w:color w:val="000000"/>
          <w:sz w:val="32"/>
          <w:szCs w:val="32"/>
        </w:rPr>
        <w:t>。</w:t>
      </w:r>
    </w:p>
    <w:p w14:paraId="604F90A9">
      <w:pPr>
        <w:numPr>
          <w:ilvl w:val="0"/>
          <w:numId w:val="0"/>
        </w:numPr>
        <w:autoSpaceDE w:val="0"/>
        <w:autoSpaceDN w:val="0"/>
        <w:adjustRightInd w:val="0"/>
        <w:ind w:left="0" w:leftChars="0" w:firstLine="640" w:firstLineChars="200"/>
        <w:rPr>
          <w:rFonts w:eastAsia="仿宋_GB2312"/>
          <w:color w:val="000000"/>
          <w:sz w:val="32"/>
          <w:szCs w:val="32"/>
        </w:rPr>
      </w:pPr>
      <w:r>
        <w:rPr>
          <w:rFonts w:hint="eastAsia" w:eastAsia="黑体"/>
          <w:color w:val="000000"/>
          <w:sz w:val="32"/>
          <w:szCs w:val="32"/>
        </w:rPr>
        <w:t>第八条</w:t>
      </w:r>
      <w:r>
        <w:rPr>
          <w:rFonts w:hint="eastAsia" w:ascii="Calibri" w:hAnsi="Calibri" w:eastAsia="仿宋_GB2312"/>
          <w:color w:val="000000"/>
          <w:sz w:val="32"/>
          <w:szCs w:val="32"/>
        </w:rPr>
        <w:t xml:space="preserve"> </w:t>
      </w:r>
      <w:r>
        <w:rPr>
          <w:rFonts w:eastAsia="仿宋_GB2312"/>
          <w:color w:val="000000"/>
          <w:sz w:val="32"/>
          <w:szCs w:val="32"/>
        </w:rPr>
        <w:t>分类有</w:t>
      </w:r>
      <w:r>
        <w:rPr>
          <w:rFonts w:hint="eastAsia" w:eastAsia="仿宋_GB2312"/>
          <w:color w:val="000000"/>
          <w:sz w:val="32"/>
          <w:szCs w:val="32"/>
        </w:rPr>
        <w:t>序</w:t>
      </w:r>
      <w:r>
        <w:rPr>
          <w:rFonts w:eastAsia="仿宋_GB2312"/>
          <w:color w:val="000000"/>
          <w:sz w:val="32"/>
          <w:szCs w:val="32"/>
        </w:rPr>
        <w:t>推进绿色矿山建设。</w:t>
      </w:r>
    </w:p>
    <w:p w14:paraId="759C5652">
      <w:pPr>
        <w:autoSpaceDE w:val="0"/>
        <w:autoSpaceDN w:val="0"/>
        <w:adjustRightInd w:val="0"/>
        <w:ind w:firstLine="640" w:firstLineChars="200"/>
        <w:rPr>
          <w:rFonts w:hint="eastAsia" w:ascii="Calibri" w:hAnsi="Calibri" w:eastAsia="仿宋_GB2312"/>
          <w:color w:val="000000"/>
          <w:sz w:val="32"/>
          <w:szCs w:val="32"/>
        </w:rPr>
      </w:pPr>
      <w:r>
        <w:rPr>
          <w:rFonts w:eastAsia="仿宋_GB2312"/>
          <w:color w:val="000000"/>
          <w:sz w:val="32"/>
          <w:szCs w:val="32"/>
        </w:rPr>
        <w:t>新建矿山，应在正式投产满一年之日起三个月内，完成自评估报告并申报省级绿色矿山，并在采矿权出让时将相关要求和违约责任纳入出让合同</w:t>
      </w:r>
      <w:r>
        <w:rPr>
          <w:rFonts w:hint="eastAsia" w:ascii="Calibri" w:hAnsi="Calibri" w:eastAsia="仿宋_GB2312"/>
          <w:color w:val="000000"/>
          <w:sz w:val="32"/>
          <w:szCs w:val="32"/>
        </w:rPr>
        <w:t>。</w:t>
      </w:r>
    </w:p>
    <w:p w14:paraId="0AC3935F">
      <w:pPr>
        <w:autoSpaceDE w:val="0"/>
        <w:autoSpaceDN w:val="0"/>
        <w:adjustRightInd w:val="0"/>
        <w:ind w:firstLine="640" w:firstLineChars="200"/>
        <w:rPr>
          <w:rFonts w:hint="eastAsia" w:ascii="Calibri" w:hAnsi="Calibri" w:eastAsia="仿宋_GB2312"/>
          <w:color w:val="000000"/>
          <w:sz w:val="32"/>
          <w:szCs w:val="32"/>
        </w:rPr>
      </w:pPr>
      <w:r>
        <w:rPr>
          <w:rFonts w:eastAsia="仿宋_GB2312"/>
          <w:color w:val="000000"/>
          <w:sz w:val="32"/>
          <w:szCs w:val="32"/>
        </w:rPr>
        <w:t>生产矿山要因地制宜、结合实际加快绿色化升级改造，在办理延续、变更手续时，在《采矿权管理合同》中明确绿色矿山建设时限和要求。鼓励各级自然资源主管部门按照出让登记管理权限与矿山企业签订绿色矿山建设合同</w:t>
      </w:r>
      <w:r>
        <w:rPr>
          <w:rFonts w:hint="eastAsia" w:ascii="Calibri" w:hAnsi="Calibri" w:eastAsia="仿宋_GB2312"/>
          <w:color w:val="000000"/>
          <w:sz w:val="32"/>
          <w:szCs w:val="32"/>
        </w:rPr>
        <w:t>。</w:t>
      </w:r>
    </w:p>
    <w:p w14:paraId="343B7958">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剩余储量可采年限不足3年的生产矿山，应按照绿色矿山建设标准加强管理，着重做好闭坑前的污染防治，以及矿山地质环境恢复治理、土地复垦、恢复植被等生态修复工作。</w:t>
      </w:r>
    </w:p>
    <w:p w14:paraId="72DF52B3">
      <w:pPr>
        <w:numPr>
          <w:ilvl w:val="0"/>
          <w:numId w:val="0"/>
        </w:numPr>
        <w:autoSpaceDE w:val="0"/>
        <w:autoSpaceDN w:val="0"/>
        <w:adjustRightInd w:val="0"/>
        <w:ind w:left="0" w:firstLine="640" w:firstLineChars="200"/>
        <w:rPr>
          <w:rFonts w:eastAsia="黑体"/>
          <w:color w:val="000000"/>
          <w:sz w:val="32"/>
          <w:szCs w:val="32"/>
        </w:rPr>
      </w:pPr>
      <w:r>
        <w:rPr>
          <w:rFonts w:hint="eastAsia" w:eastAsia="黑体"/>
          <w:color w:val="000000"/>
          <w:sz w:val="32"/>
          <w:szCs w:val="32"/>
        </w:rPr>
        <w:t>第九条</w:t>
      </w:r>
      <w:r>
        <w:rPr>
          <w:rFonts w:eastAsia="黑体"/>
          <w:color w:val="000000"/>
          <w:sz w:val="32"/>
          <w:szCs w:val="32"/>
        </w:rPr>
        <w:t xml:space="preserve"> </w:t>
      </w:r>
      <w:r>
        <w:rPr>
          <w:rFonts w:eastAsia="仿宋_GB2312"/>
          <w:color w:val="000000"/>
          <w:sz w:val="32"/>
          <w:szCs w:val="32"/>
        </w:rPr>
        <w:t>严格落实动态管理要求。</w:t>
      </w:r>
    </w:p>
    <w:p w14:paraId="2BEC2587">
      <w:pPr>
        <w:autoSpaceDE w:val="0"/>
        <w:autoSpaceDN w:val="0"/>
        <w:adjustRightInd w:val="0"/>
        <w:ind w:firstLine="640" w:firstLineChars="200"/>
        <w:rPr>
          <w:rFonts w:ascii="仿宋_GB2312" w:hAnsi="仿宋_GB2312" w:eastAsia="仿宋_GB2312" w:cs="仿宋_GB2312"/>
          <w:color w:val="000000"/>
          <w:sz w:val="32"/>
          <w:szCs w:val="32"/>
          <w:highlight w:val="yellow"/>
        </w:rPr>
      </w:pPr>
      <w:r>
        <w:rPr>
          <w:rFonts w:hint="eastAsia" w:ascii="Calibri" w:hAnsi="Calibri" w:eastAsia="仿宋_GB2312"/>
          <w:color w:val="000000"/>
          <w:sz w:val="32"/>
          <w:szCs w:val="32"/>
        </w:rPr>
        <w:t>督促绿色矿山企业持续巩固建设成果，持续提升建设水平，及时按程序移出名录中不符合标准的矿山。</w:t>
      </w:r>
      <w:r>
        <w:rPr>
          <w:rFonts w:hint="eastAsia" w:ascii="仿宋_GB2312" w:hAnsi="仿宋_GB2312" w:eastAsia="仿宋_GB2312" w:cs="仿宋_GB2312"/>
          <w:color w:val="000000"/>
          <w:sz w:val="32"/>
          <w:szCs w:val="32"/>
        </w:rPr>
        <w:t>国家级绿色矿山由省自然资源厅上报自然资源部，从国家级绿色矿山名录中移出；省级绿色矿山由市</w:t>
      </w:r>
      <w:r>
        <w:rPr>
          <w:rFonts w:ascii="仿宋_GB2312" w:hAnsi="仿宋_GB2312" w:eastAsia="仿宋_GB2312" w:cs="仿宋_GB2312"/>
          <w:color w:val="000000"/>
          <w:sz w:val="32"/>
          <w:szCs w:val="32"/>
        </w:rPr>
        <w:t>州</w:t>
      </w:r>
      <w:r>
        <w:rPr>
          <w:rFonts w:hint="eastAsia" w:ascii="仿宋_GB2312" w:hAnsi="仿宋_GB2312" w:eastAsia="仿宋_GB2312" w:cs="仿宋_GB2312"/>
          <w:color w:val="000000"/>
          <w:sz w:val="32"/>
          <w:szCs w:val="32"/>
        </w:rPr>
        <w:t>自然资源主管部门报省自然资源厅，从省级绿色矿山名录中移出。被移出绿色矿山名录的矿山企业，不再享受相应支持政策。</w:t>
      </w:r>
    </w:p>
    <w:p w14:paraId="24006C69">
      <w:pPr>
        <w:numPr>
          <w:ilvl w:val="0"/>
          <w:numId w:val="0"/>
        </w:numPr>
        <w:autoSpaceDE w:val="0"/>
        <w:autoSpaceDN w:val="0"/>
        <w:adjustRightInd w:val="0"/>
        <w:ind w:left="0" w:firstLine="640" w:firstLineChars="200"/>
        <w:rPr>
          <w:rFonts w:eastAsia="仿宋_GB2312"/>
          <w:color w:val="000000"/>
          <w:spacing w:val="-4"/>
          <w:sz w:val="32"/>
          <w:szCs w:val="32"/>
        </w:rPr>
      </w:pPr>
      <w:r>
        <w:rPr>
          <w:rFonts w:hint="eastAsia" w:eastAsia="黑体"/>
          <w:color w:val="000000"/>
          <w:sz w:val="32"/>
          <w:szCs w:val="32"/>
        </w:rPr>
        <w:t>第十条</w:t>
      </w:r>
      <w:r>
        <w:rPr>
          <w:rFonts w:eastAsia="黑体"/>
          <w:color w:val="000000"/>
          <w:spacing w:val="-4"/>
          <w:sz w:val="32"/>
          <w:szCs w:val="32"/>
        </w:rPr>
        <w:t xml:space="preserve"> </w:t>
      </w:r>
      <w:r>
        <w:rPr>
          <w:rFonts w:hint="eastAsia" w:eastAsia="仿宋_GB2312"/>
          <w:color w:val="000000"/>
          <w:spacing w:val="-4"/>
          <w:sz w:val="32"/>
          <w:szCs w:val="32"/>
        </w:rPr>
        <w:t>定期核定绿色矿山建设任务</w:t>
      </w:r>
      <w:r>
        <w:rPr>
          <w:rFonts w:eastAsia="仿宋_GB2312"/>
          <w:color w:val="000000"/>
          <w:spacing w:val="-4"/>
          <w:sz w:val="32"/>
          <w:szCs w:val="32"/>
        </w:rPr>
        <w:t>。</w:t>
      </w:r>
    </w:p>
    <w:p w14:paraId="2DBD3E3D">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县级自然资源主管部门</w:t>
      </w:r>
      <w:r>
        <w:rPr>
          <w:rFonts w:hint="eastAsia" w:ascii="Calibri" w:hAnsi="Calibri" w:eastAsia="仿宋_GB2312"/>
          <w:color w:val="000000"/>
          <w:sz w:val="32"/>
          <w:szCs w:val="32"/>
        </w:rPr>
        <w:t>在</w:t>
      </w:r>
      <w:r>
        <w:rPr>
          <w:rFonts w:eastAsia="仿宋_GB2312"/>
          <w:color w:val="000000"/>
          <w:sz w:val="32"/>
          <w:szCs w:val="32"/>
        </w:rPr>
        <w:t>每年12月初，应严格对照建设范围，组织对县级行政区域内的矿山进行摸底调查，准确掌握矿山生产</w:t>
      </w:r>
      <w:r>
        <w:rPr>
          <w:rFonts w:hint="eastAsia" w:ascii="Calibri" w:hAnsi="Calibri" w:eastAsia="仿宋_GB2312"/>
          <w:color w:val="000000"/>
          <w:sz w:val="32"/>
          <w:szCs w:val="32"/>
        </w:rPr>
        <w:t>现状</w:t>
      </w:r>
      <w:r>
        <w:rPr>
          <w:rFonts w:eastAsia="仿宋_GB2312"/>
          <w:color w:val="000000"/>
          <w:sz w:val="32"/>
          <w:szCs w:val="32"/>
        </w:rPr>
        <w:t>及保有储量状况，确定下一年度绿色矿山应建名单，报市州自然资源主管部门审核汇总</w:t>
      </w:r>
      <w:r>
        <w:rPr>
          <w:rFonts w:hint="eastAsia" w:ascii="Calibri" w:hAnsi="Calibri" w:eastAsia="仿宋_GB2312"/>
          <w:color w:val="000000"/>
          <w:sz w:val="32"/>
          <w:szCs w:val="32"/>
        </w:rPr>
        <w:t>。</w:t>
      </w:r>
      <w:r>
        <w:rPr>
          <w:rFonts w:eastAsia="仿宋_GB2312"/>
          <w:color w:val="000000"/>
          <w:sz w:val="32"/>
          <w:szCs w:val="32"/>
        </w:rPr>
        <w:t>省自然资源厅根据市州自然资源主管部门汇总上报的名单，在每年12月底前下发各市州、县市区下一年度绿色矿山建设任务。</w:t>
      </w:r>
    </w:p>
    <w:p w14:paraId="4B49B6C2">
      <w:pPr>
        <w:keepNext/>
        <w:keepLines/>
        <w:spacing w:before="312" w:beforeLines="100" w:after="312" w:afterLines="100" w:line="240" w:lineRule="auto"/>
        <w:jc w:val="center"/>
        <w:outlineLvl w:val="0"/>
        <w:rPr>
          <w:rFonts w:eastAsia="黑体"/>
          <w:color w:val="000000"/>
          <w:kern w:val="0"/>
          <w:sz w:val="32"/>
          <w:szCs w:val="32"/>
        </w:rPr>
      </w:pPr>
      <w:r>
        <w:rPr>
          <w:rFonts w:eastAsia="黑体"/>
          <w:color w:val="000000"/>
          <w:kern w:val="0"/>
          <w:sz w:val="32"/>
          <w:szCs w:val="32"/>
        </w:rPr>
        <w:t>第</w:t>
      </w:r>
      <w:r>
        <w:rPr>
          <w:rFonts w:hint="eastAsia" w:eastAsia="黑体"/>
          <w:color w:val="000000"/>
          <w:kern w:val="0"/>
          <w:sz w:val="32"/>
          <w:szCs w:val="32"/>
        </w:rPr>
        <w:t>四</w:t>
      </w:r>
      <w:r>
        <w:rPr>
          <w:rFonts w:eastAsia="黑体"/>
          <w:color w:val="000000"/>
          <w:kern w:val="0"/>
          <w:sz w:val="32"/>
          <w:szCs w:val="32"/>
        </w:rPr>
        <w:t>章  绿色矿山申报</w:t>
      </w:r>
      <w:r>
        <w:rPr>
          <w:rFonts w:hint="eastAsia" w:eastAsia="黑体"/>
          <w:color w:val="000000"/>
          <w:kern w:val="0"/>
          <w:sz w:val="32"/>
          <w:szCs w:val="32"/>
        </w:rPr>
        <w:t>与评估</w:t>
      </w:r>
    </w:p>
    <w:p w14:paraId="69729BE9">
      <w:pPr>
        <w:keepNext w:val="0"/>
        <w:keepLines w:val="0"/>
        <w:pageBreakBefore w:val="0"/>
        <w:kinsoku/>
        <w:overflowPunct/>
        <w:topLinePunct w:val="0"/>
        <w:autoSpaceDE/>
        <w:autoSpaceDN/>
        <w:bidi w:val="0"/>
        <w:adjustRightInd/>
        <w:snapToGrid/>
        <w:spacing w:line="240" w:lineRule="auto"/>
        <w:ind w:firstLine="624" w:firstLineChars="200"/>
        <w:textAlignment w:val="auto"/>
        <w:rPr>
          <w:rFonts w:eastAsia="黑体"/>
          <w:color w:val="000000"/>
          <w:spacing w:val="-4"/>
          <w:sz w:val="32"/>
          <w:szCs w:val="32"/>
        </w:rPr>
      </w:pPr>
      <w:r>
        <w:rPr>
          <w:rFonts w:eastAsia="黑体"/>
          <w:color w:val="000000"/>
          <w:spacing w:val="-4"/>
          <w:sz w:val="32"/>
          <w:szCs w:val="32"/>
        </w:rPr>
        <w:t>第</w:t>
      </w:r>
      <w:r>
        <w:rPr>
          <w:rFonts w:hint="eastAsia" w:eastAsia="黑体"/>
          <w:color w:val="000000"/>
          <w:spacing w:val="-4"/>
          <w:sz w:val="32"/>
          <w:szCs w:val="32"/>
        </w:rPr>
        <w:t>十一</w:t>
      </w:r>
      <w:r>
        <w:rPr>
          <w:rFonts w:eastAsia="黑体"/>
          <w:color w:val="000000"/>
          <w:spacing w:val="-4"/>
          <w:sz w:val="32"/>
          <w:szCs w:val="32"/>
        </w:rPr>
        <w:t xml:space="preserve">条 </w:t>
      </w:r>
      <w:r>
        <w:rPr>
          <w:rFonts w:ascii="Calibri" w:hAnsi="Calibri" w:eastAsia="仿宋_GB2312"/>
          <w:color w:val="000000"/>
          <w:sz w:val="32"/>
          <w:szCs w:val="32"/>
        </w:rPr>
        <w:t xml:space="preserve"> 申报绿色矿山应满足以下先决条件：</w:t>
      </w:r>
    </w:p>
    <w:p w14:paraId="23DCD3C0">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（一）《采矿许可证》《安全</w:t>
      </w:r>
      <w:r>
        <w:rPr>
          <w:rFonts w:hint="eastAsia" w:ascii="Calibri" w:hAnsi="Calibri" w:eastAsia="仿宋_GB2312"/>
          <w:color w:val="000000"/>
          <w:sz w:val="32"/>
          <w:szCs w:val="32"/>
        </w:rPr>
        <w:t>生产</w:t>
      </w:r>
      <w:r>
        <w:rPr>
          <w:rFonts w:eastAsia="仿宋_GB2312"/>
          <w:color w:val="000000"/>
          <w:sz w:val="32"/>
          <w:szCs w:val="32"/>
        </w:rPr>
        <w:t>许可证》《营业执照》证照合法有效，依法办理环评和排污许可手续，并依法完成竣工环保验收。</w:t>
      </w:r>
    </w:p>
    <w:p w14:paraId="0196011C">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（二）近三年内未受到自然资源和生态环境等部门行政处罚，或受到处罚在履行期内已执行到位（出具相应证明材料），且未发生过较大及以上安全生产事故、环境事件的。</w:t>
      </w:r>
    </w:p>
    <w:p w14:paraId="1B9698EE">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（三）矿山参加遴选期间，矿业权人未被列入矿业权人勘查开采信息管理系统异常名录。</w:t>
      </w:r>
    </w:p>
    <w:p w14:paraId="12D1537B">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（四）</w:t>
      </w:r>
      <w:r>
        <w:rPr>
          <w:rFonts w:hint="eastAsia" w:ascii="Calibri" w:hAnsi="Calibri" w:eastAsia="仿宋_GB2312"/>
          <w:color w:val="000000"/>
          <w:sz w:val="32"/>
          <w:szCs w:val="32"/>
        </w:rPr>
        <w:t>生产</w:t>
      </w:r>
      <w:r>
        <w:rPr>
          <w:rFonts w:eastAsia="仿宋_GB2312"/>
          <w:color w:val="000000"/>
          <w:sz w:val="32"/>
          <w:szCs w:val="32"/>
        </w:rPr>
        <w:t>矿山近三年内正常生产运营，且剩余储量开采年限（按储量年度报告）不少于三年。</w:t>
      </w:r>
    </w:p>
    <w:p w14:paraId="1E019660">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（五）矿区范围未涉及生态保护红线</w:t>
      </w:r>
      <w:r>
        <w:rPr>
          <w:rFonts w:hint="eastAsia" w:ascii="Calibri" w:hAnsi="Calibri" w:eastAsia="仿宋_GB2312"/>
          <w:color w:val="000000"/>
          <w:sz w:val="32"/>
          <w:szCs w:val="32"/>
        </w:rPr>
        <w:t>、自然保护地等限制禁止因素</w:t>
      </w:r>
      <w:r>
        <w:rPr>
          <w:rFonts w:eastAsia="仿宋_GB2312"/>
          <w:color w:val="000000"/>
          <w:sz w:val="32"/>
          <w:szCs w:val="32"/>
        </w:rPr>
        <w:t>（国家有规定的除外），符合国土空间规划及规划环评要求。</w:t>
      </w:r>
    </w:p>
    <w:p w14:paraId="06E70D7B">
      <w:pPr>
        <w:autoSpaceDE w:val="0"/>
        <w:autoSpaceDN w:val="0"/>
        <w:adjustRightInd w:val="0"/>
        <w:ind w:firstLine="640" w:firstLineChars="200"/>
        <w:rPr>
          <w:rFonts w:eastAsia="仿宋_GB2312"/>
          <w:color w:val="000000"/>
          <w:sz w:val="32"/>
          <w:szCs w:val="32"/>
        </w:rPr>
      </w:pPr>
      <w:r>
        <w:rPr>
          <w:rFonts w:eastAsia="黑体"/>
          <w:color w:val="000000"/>
          <w:kern w:val="0"/>
          <w:sz w:val="32"/>
          <w:szCs w:val="32"/>
        </w:rPr>
        <w:t>第十</w:t>
      </w:r>
      <w:r>
        <w:rPr>
          <w:rFonts w:hint="eastAsia" w:eastAsia="黑体"/>
          <w:color w:val="000000"/>
          <w:kern w:val="0"/>
          <w:sz w:val="32"/>
          <w:szCs w:val="32"/>
        </w:rPr>
        <w:t>二</w:t>
      </w:r>
      <w:r>
        <w:rPr>
          <w:rFonts w:eastAsia="黑体"/>
          <w:color w:val="000000"/>
          <w:kern w:val="0"/>
          <w:sz w:val="32"/>
          <w:szCs w:val="32"/>
        </w:rPr>
        <w:t xml:space="preserve">条  </w:t>
      </w:r>
      <w:r>
        <w:rPr>
          <w:rFonts w:eastAsia="仿宋_GB2312"/>
          <w:color w:val="000000"/>
          <w:kern w:val="0"/>
          <w:sz w:val="32"/>
          <w:szCs w:val="32"/>
        </w:rPr>
        <w:t>拟申报湖南省绿色矿山的矿山企业</w:t>
      </w:r>
      <w:r>
        <w:rPr>
          <w:rFonts w:eastAsia="仿宋_GB2312"/>
          <w:color w:val="000000"/>
          <w:sz w:val="32"/>
          <w:szCs w:val="32"/>
        </w:rPr>
        <w:t>应当依照</w:t>
      </w:r>
      <w:r>
        <w:rPr>
          <w:rFonts w:hint="eastAsia" w:eastAsia="仿宋_GB2312"/>
          <w:color w:val="000000"/>
          <w:sz w:val="32"/>
          <w:szCs w:val="32"/>
        </w:rPr>
        <w:t>本办法</w:t>
      </w:r>
      <w:r>
        <w:rPr>
          <w:rFonts w:eastAsia="仿宋_GB2312"/>
          <w:color w:val="000000"/>
          <w:sz w:val="32"/>
          <w:szCs w:val="32"/>
        </w:rPr>
        <w:t>所附《</w:t>
      </w:r>
      <w:r>
        <w:rPr>
          <w:rFonts w:hint="eastAsia" w:ascii="Calibri" w:hAnsi="Calibri" w:eastAsia="仿宋_GB2312"/>
          <w:color w:val="000000"/>
          <w:sz w:val="32"/>
          <w:szCs w:val="32"/>
        </w:rPr>
        <w:t>湖南省</w:t>
      </w:r>
      <w:r>
        <w:rPr>
          <w:rFonts w:eastAsia="仿宋_GB2312"/>
          <w:color w:val="000000"/>
          <w:sz w:val="32"/>
          <w:szCs w:val="32"/>
        </w:rPr>
        <w:t>绿色矿山</w:t>
      </w:r>
      <w:r>
        <w:rPr>
          <w:rFonts w:ascii="Calibri" w:hAnsi="Calibri" w:eastAsia="仿宋_GB2312"/>
          <w:color w:val="000000"/>
          <w:sz w:val="32"/>
          <w:szCs w:val="32"/>
        </w:rPr>
        <w:t>建设</w:t>
      </w:r>
      <w:r>
        <w:rPr>
          <w:rFonts w:eastAsia="仿宋_GB2312"/>
          <w:color w:val="000000"/>
          <w:sz w:val="32"/>
          <w:szCs w:val="32"/>
        </w:rPr>
        <w:t>评价指标》（附件1）</w:t>
      </w:r>
      <w:r>
        <w:rPr>
          <w:rFonts w:hint="eastAsia" w:ascii="Calibri" w:hAnsi="Calibri" w:eastAsia="仿宋_GB2312"/>
          <w:color w:val="000000"/>
          <w:sz w:val="32"/>
          <w:szCs w:val="32"/>
        </w:rPr>
        <w:t>定期</w:t>
      </w:r>
      <w:r>
        <w:rPr>
          <w:rFonts w:eastAsia="仿宋_GB2312"/>
          <w:color w:val="000000"/>
          <w:sz w:val="32"/>
          <w:szCs w:val="32"/>
        </w:rPr>
        <w:t>开展自评，按计划开展绿色矿山创建工作。完成绿色矿山建设任务且自评达到湖南省绿色矿山标准的</w:t>
      </w:r>
      <w:r>
        <w:rPr>
          <w:rFonts w:hint="eastAsia" w:ascii="Calibri" w:hAnsi="Calibri" w:eastAsia="仿宋_GB2312"/>
          <w:color w:val="000000"/>
          <w:sz w:val="32"/>
          <w:szCs w:val="32"/>
        </w:rPr>
        <w:t>矿山企业可自行或委托相关机构</w:t>
      </w:r>
      <w:r>
        <w:rPr>
          <w:rFonts w:eastAsia="仿宋_GB2312"/>
          <w:color w:val="000000"/>
          <w:sz w:val="32"/>
          <w:szCs w:val="32"/>
        </w:rPr>
        <w:t>编制湖南省绿色矿山建设自评</w:t>
      </w:r>
      <w:r>
        <w:rPr>
          <w:rFonts w:hint="eastAsia" w:ascii="Calibri" w:hAnsi="Calibri" w:eastAsia="仿宋_GB2312"/>
          <w:color w:val="000000"/>
          <w:sz w:val="32"/>
          <w:szCs w:val="32"/>
        </w:rPr>
        <w:t>估</w:t>
      </w:r>
      <w:r>
        <w:rPr>
          <w:rFonts w:eastAsia="仿宋_GB2312"/>
          <w:color w:val="000000"/>
          <w:sz w:val="32"/>
          <w:szCs w:val="32"/>
        </w:rPr>
        <w:t>报告</w:t>
      </w:r>
      <w:r>
        <w:rPr>
          <w:rFonts w:hint="eastAsia" w:ascii="Calibri" w:hAnsi="Calibri" w:eastAsia="仿宋_GB2312"/>
          <w:color w:val="000000"/>
          <w:sz w:val="32"/>
          <w:szCs w:val="32"/>
        </w:rPr>
        <w:t>。</w:t>
      </w:r>
    </w:p>
    <w:p w14:paraId="07624D99">
      <w:pPr>
        <w:ind w:firstLine="640" w:firstLineChars="200"/>
        <w:rPr>
          <w:rFonts w:eastAsia="仿宋_GB2312"/>
          <w:color w:val="000000"/>
          <w:sz w:val="32"/>
          <w:szCs w:val="32"/>
        </w:rPr>
      </w:pPr>
      <w:r>
        <w:rPr>
          <w:rFonts w:eastAsia="黑体"/>
          <w:color w:val="000000"/>
          <w:kern w:val="0"/>
          <w:sz w:val="32"/>
          <w:szCs w:val="32"/>
        </w:rPr>
        <w:t>第十三条</w:t>
      </w:r>
      <w:r>
        <w:rPr>
          <w:rFonts w:eastAsia="仿宋_GB2312"/>
          <w:color w:val="000000"/>
          <w:sz w:val="32"/>
          <w:szCs w:val="32"/>
        </w:rPr>
        <w:t xml:space="preserve">  绿色矿山自评估报告须加盖企业公章，报送相关部门或上传名录系统。矿山企业对自评估报告、打分表、入库信息表等内容的真实性负责。</w:t>
      </w:r>
    </w:p>
    <w:p w14:paraId="20B3D3B4">
      <w:pPr>
        <w:ind w:firstLine="640" w:firstLineChars="200"/>
        <w:rPr>
          <w:rFonts w:eastAsia="仿宋_GB2312"/>
          <w:color w:val="000000"/>
          <w:sz w:val="32"/>
          <w:szCs w:val="32"/>
        </w:rPr>
      </w:pPr>
      <w:r>
        <w:rPr>
          <w:rFonts w:eastAsia="仿宋_GB2312"/>
          <w:color w:val="000000"/>
          <w:sz w:val="32"/>
          <w:szCs w:val="32"/>
        </w:rPr>
        <w:t>自评估报告应包含但不限于以下内容：</w:t>
      </w:r>
    </w:p>
    <w:p w14:paraId="0B74686A">
      <w:pPr>
        <w:ind w:firstLine="640" w:firstLineChars="200"/>
        <w:rPr>
          <w:rFonts w:eastAsia="仿宋_GB2312"/>
          <w:color w:val="000000"/>
          <w:sz w:val="32"/>
          <w:szCs w:val="32"/>
        </w:rPr>
      </w:pPr>
      <w:r>
        <w:rPr>
          <w:rFonts w:eastAsia="仿宋_GB2312"/>
          <w:color w:val="000000"/>
          <w:sz w:val="32"/>
          <w:szCs w:val="32"/>
        </w:rPr>
        <w:t>（一）承诺书；</w:t>
      </w:r>
    </w:p>
    <w:p w14:paraId="21B4CC53">
      <w:pPr>
        <w:ind w:firstLine="640" w:firstLineChars="200"/>
        <w:rPr>
          <w:rFonts w:eastAsia="仿宋_GB2312"/>
          <w:color w:val="000000"/>
          <w:sz w:val="32"/>
          <w:szCs w:val="32"/>
        </w:rPr>
      </w:pPr>
      <w:r>
        <w:rPr>
          <w:rFonts w:eastAsia="仿宋_GB2312"/>
          <w:color w:val="000000"/>
          <w:sz w:val="32"/>
          <w:szCs w:val="32"/>
        </w:rPr>
        <w:t>（二）矿山基本情况；</w:t>
      </w:r>
    </w:p>
    <w:p w14:paraId="22043E05">
      <w:pPr>
        <w:ind w:firstLine="640" w:firstLineChars="200"/>
        <w:rPr>
          <w:rFonts w:eastAsia="仿宋_GB2312"/>
          <w:color w:val="000000"/>
          <w:sz w:val="32"/>
          <w:szCs w:val="32"/>
        </w:rPr>
      </w:pPr>
      <w:r>
        <w:rPr>
          <w:rFonts w:eastAsia="仿宋_GB2312"/>
          <w:color w:val="000000"/>
          <w:sz w:val="32"/>
          <w:szCs w:val="32"/>
        </w:rPr>
        <w:t>（三）对标自评；</w:t>
      </w:r>
    </w:p>
    <w:p w14:paraId="24796C0D">
      <w:pPr>
        <w:ind w:firstLine="640" w:firstLineChars="200"/>
        <w:rPr>
          <w:rFonts w:hint="eastAsia" w:ascii="Calibri" w:hAnsi="Calibri" w:eastAsia="仿宋_GB2312"/>
          <w:color w:val="000000"/>
          <w:sz w:val="32"/>
          <w:szCs w:val="32"/>
        </w:rPr>
      </w:pPr>
      <w:r>
        <w:rPr>
          <w:rFonts w:eastAsia="仿宋_GB2312"/>
          <w:color w:val="000000"/>
          <w:sz w:val="32"/>
          <w:szCs w:val="32"/>
        </w:rPr>
        <w:t>（四）企业自评结论</w:t>
      </w:r>
      <w:r>
        <w:rPr>
          <w:rFonts w:hint="eastAsia" w:ascii="Calibri" w:hAnsi="Calibri" w:eastAsia="仿宋_GB2312"/>
          <w:color w:val="000000"/>
          <w:sz w:val="32"/>
          <w:szCs w:val="32"/>
        </w:rPr>
        <w:t>；</w:t>
      </w:r>
    </w:p>
    <w:p w14:paraId="40EA863E">
      <w:pPr>
        <w:ind w:firstLine="640" w:firstLineChars="200"/>
        <w:rPr>
          <w:rFonts w:eastAsia="仿宋_GB2312"/>
          <w:color w:val="000000"/>
          <w:sz w:val="32"/>
          <w:szCs w:val="32"/>
        </w:rPr>
      </w:pPr>
      <w:r>
        <w:rPr>
          <w:rFonts w:hint="eastAsia" w:ascii="Calibri" w:hAnsi="Calibri" w:eastAsia="仿宋_GB2312"/>
          <w:color w:val="000000"/>
          <w:sz w:val="32"/>
          <w:szCs w:val="32"/>
        </w:rPr>
        <w:t>（五）附件。</w:t>
      </w:r>
    </w:p>
    <w:p w14:paraId="3FDB3971">
      <w:pPr>
        <w:autoSpaceDE w:val="0"/>
        <w:autoSpaceDN w:val="0"/>
        <w:adjustRightInd w:val="0"/>
        <w:ind w:firstLine="640" w:firstLineChars="200"/>
        <w:rPr>
          <w:rFonts w:eastAsia="仿宋_GB2312"/>
          <w:color w:val="000000"/>
          <w:sz w:val="32"/>
          <w:szCs w:val="32"/>
        </w:rPr>
      </w:pPr>
      <w:r>
        <w:rPr>
          <w:rFonts w:eastAsia="黑体"/>
          <w:color w:val="000000"/>
          <w:kern w:val="0"/>
          <w:sz w:val="32"/>
          <w:szCs w:val="32"/>
        </w:rPr>
        <w:t>第十</w:t>
      </w:r>
      <w:r>
        <w:rPr>
          <w:rFonts w:hint="eastAsia" w:ascii="Calibri" w:hAnsi="Calibri" w:eastAsia="黑体"/>
          <w:color w:val="000000"/>
          <w:kern w:val="0"/>
          <w:sz w:val="32"/>
          <w:szCs w:val="32"/>
        </w:rPr>
        <w:t>四</w:t>
      </w:r>
      <w:r>
        <w:rPr>
          <w:rFonts w:eastAsia="黑体"/>
          <w:color w:val="000000"/>
          <w:kern w:val="0"/>
          <w:sz w:val="32"/>
          <w:szCs w:val="32"/>
        </w:rPr>
        <w:t>条</w:t>
      </w:r>
      <w:r>
        <w:rPr>
          <w:rFonts w:eastAsia="仿宋_GB2312"/>
          <w:color w:val="000000"/>
          <w:kern w:val="0"/>
          <w:sz w:val="32"/>
          <w:szCs w:val="32"/>
        </w:rPr>
        <w:t xml:space="preserve">  </w:t>
      </w:r>
      <w:r>
        <w:rPr>
          <w:rFonts w:eastAsia="仿宋_GB2312"/>
          <w:color w:val="000000"/>
          <w:sz w:val="32"/>
          <w:szCs w:val="32"/>
        </w:rPr>
        <w:t>自评</w:t>
      </w:r>
      <w:r>
        <w:rPr>
          <w:rFonts w:hint="eastAsia" w:ascii="Calibri" w:hAnsi="Calibri" w:eastAsia="仿宋_GB2312"/>
          <w:color w:val="000000"/>
          <w:sz w:val="32"/>
          <w:szCs w:val="32"/>
        </w:rPr>
        <w:t>估</w:t>
      </w:r>
      <w:r>
        <w:rPr>
          <w:rFonts w:eastAsia="仿宋_GB2312"/>
          <w:color w:val="000000"/>
          <w:sz w:val="32"/>
          <w:szCs w:val="32"/>
        </w:rPr>
        <w:t>报告完成后</w:t>
      </w:r>
      <w:r>
        <w:rPr>
          <w:rFonts w:hint="eastAsia" w:ascii="Calibri" w:hAnsi="Calibri" w:eastAsia="仿宋_GB2312"/>
          <w:color w:val="000000"/>
          <w:sz w:val="32"/>
          <w:szCs w:val="32"/>
        </w:rPr>
        <w:t>，矿山企业</w:t>
      </w:r>
      <w:r>
        <w:rPr>
          <w:rFonts w:eastAsia="仿宋_GB2312"/>
          <w:color w:val="000000"/>
          <w:sz w:val="32"/>
          <w:szCs w:val="32"/>
        </w:rPr>
        <w:t>应当向矿山所在地县市区自然资源主管部门提出绿色矿山申报，申报材料应包括：</w:t>
      </w:r>
    </w:p>
    <w:p w14:paraId="69598975">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（一）湖南省绿色矿山申报表（表格制式见附件2）；</w:t>
      </w:r>
    </w:p>
    <w:p w14:paraId="67DCDC8A">
      <w:pPr>
        <w:autoSpaceDE w:val="0"/>
        <w:autoSpaceDN w:val="0"/>
        <w:adjustRightInd w:val="0"/>
        <w:ind w:firstLine="640" w:firstLineChars="200"/>
        <w:rPr>
          <w:rFonts w:eastAsia="仿宋_GB2312"/>
          <w:color w:val="000000"/>
          <w:kern w:val="0"/>
          <w:sz w:val="32"/>
          <w:szCs w:val="32"/>
        </w:rPr>
      </w:pPr>
      <w:r>
        <w:rPr>
          <w:rFonts w:eastAsia="仿宋_GB2312"/>
          <w:color w:val="000000"/>
          <w:sz w:val="32"/>
          <w:szCs w:val="32"/>
        </w:rPr>
        <w:t>（二）湖南省绿色矿山建设自评</w:t>
      </w:r>
      <w:r>
        <w:rPr>
          <w:rFonts w:hint="eastAsia" w:ascii="Calibri" w:hAnsi="Calibri" w:eastAsia="仿宋_GB2312"/>
          <w:color w:val="000000"/>
          <w:sz w:val="32"/>
          <w:szCs w:val="32"/>
        </w:rPr>
        <w:t>估</w:t>
      </w:r>
      <w:r>
        <w:rPr>
          <w:rFonts w:eastAsia="仿宋_GB2312"/>
          <w:color w:val="000000"/>
          <w:sz w:val="32"/>
          <w:szCs w:val="32"/>
        </w:rPr>
        <w:t>报告；</w:t>
      </w:r>
    </w:p>
    <w:p w14:paraId="79691022">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（三）反映绿色矿山建设情况的工作台账、图片、影像资料及其</w:t>
      </w:r>
      <w:r>
        <w:rPr>
          <w:rFonts w:ascii="Calibri" w:hAnsi="Calibri" w:eastAsia="仿宋_GB2312"/>
          <w:color w:val="000000"/>
          <w:sz w:val="32"/>
          <w:szCs w:val="32"/>
        </w:rPr>
        <w:t>他</w:t>
      </w:r>
      <w:r>
        <w:rPr>
          <w:rFonts w:eastAsia="仿宋_GB2312"/>
          <w:color w:val="000000"/>
          <w:sz w:val="32"/>
          <w:szCs w:val="32"/>
        </w:rPr>
        <w:t>需要提供的资料。</w:t>
      </w:r>
    </w:p>
    <w:p w14:paraId="2A90F771">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Calibri" w:hAnsi="Calibri" w:eastAsia="仿宋_GB2312"/>
          <w:color w:val="000000"/>
          <w:sz w:val="32"/>
          <w:szCs w:val="32"/>
          <w:shd w:val="clear" w:color="auto" w:fill="FFFFFF"/>
        </w:rPr>
      </w:pPr>
      <w:r>
        <w:rPr>
          <w:rFonts w:eastAsia="黑体"/>
          <w:color w:val="000000"/>
          <w:kern w:val="0"/>
          <w:sz w:val="32"/>
          <w:szCs w:val="32"/>
        </w:rPr>
        <w:t>第十</w:t>
      </w:r>
      <w:r>
        <w:rPr>
          <w:rFonts w:hint="eastAsia" w:ascii="Calibri" w:hAnsi="Calibri" w:eastAsia="黑体"/>
          <w:color w:val="000000"/>
          <w:kern w:val="0"/>
          <w:sz w:val="32"/>
          <w:szCs w:val="32"/>
        </w:rPr>
        <w:t>五</w:t>
      </w:r>
      <w:r>
        <w:rPr>
          <w:rFonts w:eastAsia="黑体"/>
          <w:color w:val="000000"/>
          <w:kern w:val="0"/>
          <w:sz w:val="32"/>
          <w:szCs w:val="32"/>
        </w:rPr>
        <w:t xml:space="preserve">条  </w:t>
      </w:r>
      <w:r>
        <w:rPr>
          <w:rFonts w:eastAsia="仿宋_GB2312"/>
          <w:color w:val="000000"/>
          <w:sz w:val="32"/>
          <w:szCs w:val="32"/>
        </w:rPr>
        <w:t>县市区自然资源主管部门收到</w:t>
      </w:r>
      <w:r>
        <w:rPr>
          <w:rFonts w:ascii="Calibri" w:hAnsi="Calibri" w:eastAsia="仿宋_GB2312"/>
          <w:color w:val="000000"/>
          <w:sz w:val="32"/>
          <w:szCs w:val="32"/>
          <w:shd w:val="clear" w:color="auto" w:fill="FFFFFF"/>
        </w:rPr>
        <w:t>自评估报告后，应会同同级生态环境、林业等相关部门进行初审</w:t>
      </w:r>
      <w:r>
        <w:rPr>
          <w:rFonts w:hint="eastAsia" w:ascii="Calibri" w:hAnsi="Calibri" w:eastAsia="仿宋_GB2312"/>
          <w:color w:val="000000"/>
          <w:sz w:val="32"/>
          <w:szCs w:val="32"/>
          <w:shd w:val="clear" w:color="auto" w:fill="FFFFFF"/>
        </w:rPr>
        <w:t>；</w:t>
      </w:r>
      <w:r>
        <w:rPr>
          <w:rFonts w:ascii="Calibri" w:hAnsi="Calibri" w:eastAsia="仿宋_GB2312"/>
          <w:color w:val="000000"/>
          <w:sz w:val="32"/>
          <w:szCs w:val="32"/>
          <w:shd w:val="clear" w:color="auto" w:fill="FFFFFF"/>
        </w:rPr>
        <w:t>初审通过后报市州自然资源主管部门进行复审</w:t>
      </w:r>
      <w:r>
        <w:rPr>
          <w:rFonts w:hint="eastAsia" w:ascii="Calibri" w:hAnsi="Calibri" w:eastAsia="仿宋_GB2312"/>
          <w:color w:val="000000"/>
          <w:sz w:val="32"/>
          <w:szCs w:val="32"/>
          <w:shd w:val="clear" w:color="auto" w:fill="FFFFFF"/>
        </w:rPr>
        <w:t>。初审、复审时可视情况对申报矿山开展实地联合核查。</w:t>
      </w:r>
      <w:r>
        <w:rPr>
          <w:rFonts w:ascii="Calibri" w:hAnsi="Calibri" w:eastAsia="仿宋_GB2312"/>
          <w:color w:val="000000"/>
          <w:sz w:val="32"/>
          <w:szCs w:val="32"/>
          <w:shd w:val="clear" w:color="auto" w:fill="FFFFFF"/>
        </w:rPr>
        <w:t>复审通过后由市州自然资源主管部门向省自然资源厅提交第三方评估申请（初审、复审意见表见附件</w:t>
      </w:r>
      <w:r>
        <w:rPr>
          <w:rFonts w:hint="default" w:ascii="Times New Roman" w:hAnsi="Times New Roman" w:eastAsia="仿宋_GB2312"/>
          <w:color w:val="000000"/>
          <w:sz w:val="32"/>
          <w:szCs w:val="32"/>
          <w:shd w:val="clear" w:color="auto" w:fill="FFFFFF"/>
        </w:rPr>
        <w:t>3</w:t>
      </w:r>
      <w:r>
        <w:rPr>
          <w:rFonts w:ascii="Times New Roman" w:hAnsi="Times New Roman" w:eastAsia="仿宋_GB2312"/>
          <w:color w:val="000000"/>
          <w:sz w:val="32"/>
          <w:szCs w:val="32"/>
          <w:shd w:val="clear" w:color="auto" w:fill="FFFFFF"/>
        </w:rPr>
        <w:t>）</w:t>
      </w:r>
      <w:r>
        <w:rPr>
          <w:rFonts w:ascii="Calibri" w:hAnsi="Calibri" w:eastAsia="仿宋_GB2312"/>
          <w:color w:val="000000"/>
          <w:sz w:val="32"/>
          <w:szCs w:val="32"/>
          <w:shd w:val="clear" w:color="auto" w:fill="FFFFFF"/>
        </w:rPr>
        <w:t>。</w:t>
      </w:r>
    </w:p>
    <w:p w14:paraId="5B071D67">
      <w:pPr>
        <w:autoSpaceDE w:val="0"/>
        <w:autoSpaceDN w:val="0"/>
        <w:adjustRightInd w:val="0"/>
        <w:ind w:firstLine="640" w:firstLineChars="200"/>
        <w:rPr>
          <w:rFonts w:eastAsia="仿宋_GB2312"/>
          <w:color w:val="000000"/>
          <w:sz w:val="32"/>
          <w:szCs w:val="32"/>
        </w:rPr>
      </w:pPr>
      <w:r>
        <w:rPr>
          <w:rFonts w:eastAsia="黑体"/>
          <w:color w:val="000000"/>
          <w:kern w:val="0"/>
          <w:sz w:val="32"/>
          <w:szCs w:val="32"/>
        </w:rPr>
        <w:t>第十</w:t>
      </w:r>
      <w:r>
        <w:rPr>
          <w:rFonts w:hint="eastAsia" w:ascii="Calibri" w:hAnsi="Calibri" w:eastAsia="黑体"/>
          <w:color w:val="000000"/>
          <w:kern w:val="0"/>
          <w:sz w:val="32"/>
          <w:szCs w:val="32"/>
        </w:rPr>
        <w:t>六</w:t>
      </w:r>
      <w:r>
        <w:rPr>
          <w:rFonts w:eastAsia="黑体"/>
          <w:color w:val="000000"/>
          <w:kern w:val="0"/>
          <w:sz w:val="32"/>
          <w:szCs w:val="32"/>
        </w:rPr>
        <w:t xml:space="preserve">条 </w:t>
      </w:r>
      <w:r>
        <w:rPr>
          <w:rFonts w:eastAsia="仿宋_GB2312"/>
          <w:color w:val="000000"/>
          <w:sz w:val="32"/>
          <w:szCs w:val="32"/>
        </w:rPr>
        <w:t xml:space="preserve"> 省自然资源厅委托具备专业资质的第三方评估机构，</w:t>
      </w:r>
      <w:r>
        <w:rPr>
          <w:rFonts w:ascii="Calibri" w:hAnsi="Calibri" w:eastAsia="仿宋_GB2312"/>
          <w:color w:val="000000"/>
          <w:kern w:val="0"/>
          <w:sz w:val="32"/>
          <w:szCs w:val="32"/>
        </w:rPr>
        <w:t>严格</w:t>
      </w:r>
      <w:r>
        <w:rPr>
          <w:rFonts w:hint="eastAsia" w:ascii="Calibri" w:hAnsi="Calibri" w:eastAsia="仿宋_GB2312"/>
          <w:color w:val="000000"/>
          <w:kern w:val="0"/>
          <w:sz w:val="32"/>
          <w:szCs w:val="32"/>
        </w:rPr>
        <w:t>按照</w:t>
      </w:r>
      <w:r>
        <w:rPr>
          <w:rFonts w:ascii="Calibri" w:hAnsi="Calibri" w:eastAsia="仿宋_GB2312"/>
          <w:color w:val="000000"/>
          <w:kern w:val="0"/>
          <w:sz w:val="32"/>
          <w:szCs w:val="32"/>
        </w:rPr>
        <w:t>《湖南省绿色矿山第三方评估管理办法》（详</w:t>
      </w:r>
      <w:r>
        <w:rPr>
          <w:rFonts w:ascii="Times New Roman" w:hAnsi="Times New Roman" w:eastAsia="仿宋_GB2312"/>
          <w:color w:val="000000"/>
          <w:kern w:val="0"/>
          <w:sz w:val="32"/>
          <w:szCs w:val="32"/>
        </w:rPr>
        <w:t>见附件</w:t>
      </w:r>
      <w:r>
        <w:rPr>
          <w:rFonts w:hint="default" w:ascii="Times New Roman" w:hAnsi="Times New Roman" w:eastAsia="仿宋_GB2312"/>
          <w:color w:val="000000"/>
          <w:kern w:val="0"/>
          <w:sz w:val="32"/>
          <w:szCs w:val="32"/>
        </w:rPr>
        <w:t>4</w:t>
      </w:r>
      <w:r>
        <w:rPr>
          <w:rFonts w:ascii="Times New Roman" w:hAnsi="Times New Roman" w:eastAsia="仿宋_GB2312"/>
          <w:color w:val="000000"/>
          <w:kern w:val="0"/>
          <w:sz w:val="32"/>
          <w:szCs w:val="32"/>
        </w:rPr>
        <w:t>）</w:t>
      </w:r>
      <w:r>
        <w:rPr>
          <w:rFonts w:eastAsia="仿宋_GB2312"/>
          <w:color w:val="000000"/>
          <w:sz w:val="32"/>
          <w:szCs w:val="32"/>
        </w:rPr>
        <w:t>进行第三方评估，填写绿色矿山建设评分表，</w:t>
      </w:r>
      <w:r>
        <w:rPr>
          <w:rFonts w:hint="default" w:ascii="Times New Roman" w:hAnsi="Times New Roman" w:eastAsia="仿宋_GB2312"/>
          <w:color w:val="000000"/>
          <w:sz w:val="32"/>
          <w:szCs w:val="32"/>
        </w:rPr>
        <w:t>签署承诺书（附件5），</w:t>
      </w:r>
      <w:r>
        <w:rPr>
          <w:rFonts w:eastAsia="仿宋_GB2312"/>
          <w:color w:val="000000"/>
          <w:sz w:val="32"/>
          <w:szCs w:val="32"/>
        </w:rPr>
        <w:t>编制第三方评估报告</w:t>
      </w:r>
      <w:r>
        <w:rPr>
          <w:rFonts w:ascii="Times New Roman" w:hAnsi="Times New Roman" w:eastAsia="仿宋_GB2312"/>
          <w:color w:val="000000"/>
          <w:sz w:val="32"/>
          <w:szCs w:val="32"/>
        </w:rPr>
        <w:t>（模板参见附件</w:t>
      </w:r>
      <w:r>
        <w:rPr>
          <w:rFonts w:hint="default" w:ascii="Times New Roman" w:hAnsi="Times New Roman" w:eastAsia="仿宋_GB2312"/>
          <w:color w:val="000000"/>
          <w:sz w:val="32"/>
          <w:szCs w:val="32"/>
        </w:rPr>
        <w:t>6</w:t>
      </w:r>
      <w:r>
        <w:rPr>
          <w:rFonts w:ascii="Times New Roman" w:hAnsi="Times New Roman" w:eastAsia="仿宋_GB2312"/>
          <w:color w:val="000000"/>
          <w:sz w:val="32"/>
          <w:szCs w:val="32"/>
        </w:rPr>
        <w:t>）</w:t>
      </w:r>
      <w:r>
        <w:rPr>
          <w:rFonts w:eastAsia="仿宋_GB2312"/>
          <w:color w:val="000000"/>
          <w:sz w:val="32"/>
          <w:szCs w:val="32"/>
        </w:rPr>
        <w:t>，并在合同或协议规定的时限内向省自然资源厅提交全套评估材料。</w:t>
      </w:r>
      <w:r>
        <w:rPr>
          <w:rFonts w:hint="eastAsia" w:ascii="Calibri" w:hAnsi="Calibri" w:eastAsia="仿宋_GB2312"/>
          <w:color w:val="000000"/>
          <w:sz w:val="32"/>
          <w:szCs w:val="32"/>
        </w:rPr>
        <w:t>受委托的第三方评估机构，不得参与矿山的自评估工作。</w:t>
      </w:r>
    </w:p>
    <w:p w14:paraId="6BD5DB0E">
      <w:pPr>
        <w:autoSpaceDE w:val="0"/>
        <w:autoSpaceDN w:val="0"/>
        <w:adjustRightInd w:val="0"/>
        <w:ind w:firstLine="640" w:firstLineChars="200"/>
        <w:rPr>
          <w:rFonts w:ascii="Calibri" w:hAnsi="Calibri" w:eastAsia="仿宋_GB2312"/>
          <w:color w:val="000000"/>
          <w:sz w:val="32"/>
          <w:szCs w:val="32"/>
          <w:shd w:val="clear" w:color="auto" w:fill="FFFFFF"/>
        </w:rPr>
      </w:pPr>
      <w:r>
        <w:rPr>
          <w:rFonts w:eastAsia="黑体"/>
          <w:color w:val="000000"/>
          <w:kern w:val="0"/>
          <w:sz w:val="32"/>
          <w:szCs w:val="32"/>
        </w:rPr>
        <w:t>第十</w:t>
      </w:r>
      <w:r>
        <w:rPr>
          <w:rFonts w:hint="eastAsia" w:ascii="Calibri" w:hAnsi="Calibri" w:eastAsia="黑体"/>
          <w:color w:val="000000"/>
          <w:kern w:val="0"/>
          <w:sz w:val="32"/>
          <w:szCs w:val="32"/>
        </w:rPr>
        <w:t>七</w:t>
      </w:r>
      <w:r>
        <w:rPr>
          <w:rFonts w:eastAsia="黑体"/>
          <w:color w:val="000000"/>
          <w:kern w:val="0"/>
          <w:sz w:val="32"/>
          <w:szCs w:val="32"/>
        </w:rPr>
        <w:t xml:space="preserve">条 </w:t>
      </w:r>
      <w:r>
        <w:rPr>
          <w:rFonts w:eastAsia="仿宋_GB2312"/>
          <w:color w:val="000000"/>
          <w:sz w:val="32"/>
          <w:szCs w:val="32"/>
        </w:rPr>
        <w:t xml:space="preserve"> </w:t>
      </w:r>
      <w:r>
        <w:rPr>
          <w:rFonts w:ascii="Calibri" w:hAnsi="Calibri" w:eastAsia="仿宋_GB2312"/>
          <w:color w:val="000000"/>
          <w:sz w:val="32"/>
          <w:szCs w:val="32"/>
          <w:shd w:val="clear" w:color="auto" w:fill="FFFFFF"/>
        </w:rPr>
        <w:t>对通过第三方评估的矿山企业，省自然资源厅会同省生态环境厅等部门开展实地核查。根据第三方评估</w:t>
      </w:r>
      <w:r>
        <w:rPr>
          <w:rFonts w:hint="eastAsia" w:ascii="Calibri" w:hAnsi="Calibri" w:eastAsia="仿宋_GB2312"/>
          <w:color w:val="000000"/>
          <w:sz w:val="32"/>
          <w:szCs w:val="32"/>
          <w:shd w:val="clear" w:color="auto" w:fill="FFFFFF"/>
        </w:rPr>
        <w:t>结果</w:t>
      </w:r>
      <w:r>
        <w:rPr>
          <w:rFonts w:ascii="Calibri" w:hAnsi="Calibri" w:eastAsia="仿宋_GB2312"/>
          <w:color w:val="000000"/>
          <w:sz w:val="32"/>
          <w:szCs w:val="32"/>
          <w:shd w:val="clear" w:color="auto" w:fill="FFFFFF"/>
        </w:rPr>
        <w:t>及实地核查情况，确认符合绿色矿山标准的矿山，在省自然资源厅官网进行公示，公示时间不</w:t>
      </w:r>
      <w:r>
        <w:rPr>
          <w:rFonts w:ascii="Times New Roman" w:hAnsi="Times New Roman" w:eastAsia="仿宋_GB2312"/>
          <w:color w:val="000000"/>
          <w:sz w:val="32"/>
          <w:szCs w:val="32"/>
          <w:shd w:val="clear" w:color="auto" w:fill="FFFFFF"/>
        </w:rPr>
        <w:t>少于5个工作日。</w:t>
      </w:r>
      <w:r>
        <w:rPr>
          <w:rFonts w:hint="default" w:ascii="Times New Roman" w:hAnsi="Times New Roman" w:eastAsia="仿宋_GB2312"/>
          <w:color w:val="000000"/>
          <w:sz w:val="32"/>
          <w:szCs w:val="32"/>
          <w:shd w:val="clear" w:color="auto" w:fill="FFFFFF"/>
        </w:rPr>
        <w:t>在公示期内</w:t>
      </w:r>
      <w:r>
        <w:rPr>
          <w:rFonts w:eastAsia="仿宋_GB2312"/>
          <w:color w:val="000000"/>
          <w:kern w:val="0"/>
          <w:sz w:val="32"/>
          <w:szCs w:val="32"/>
        </w:rPr>
        <w:t>任何组织或个人对绿色矿山公示结果有异议的，应以书面形式报省自然资源厅，省自然资源厅组织开展核查</w:t>
      </w:r>
      <w:r>
        <w:rPr>
          <w:rFonts w:hint="eastAsia" w:ascii="Calibri" w:hAnsi="Calibri" w:eastAsia="仿宋_GB2312"/>
          <w:color w:val="000000"/>
          <w:kern w:val="0"/>
          <w:sz w:val="32"/>
          <w:szCs w:val="32"/>
        </w:rPr>
        <w:t>认定；</w:t>
      </w:r>
      <w:r>
        <w:rPr>
          <w:rFonts w:ascii="Calibri" w:hAnsi="Calibri" w:eastAsia="仿宋_GB2312"/>
          <w:color w:val="000000"/>
          <w:sz w:val="32"/>
          <w:szCs w:val="32"/>
          <w:shd w:val="clear" w:color="auto" w:fill="FFFFFF"/>
        </w:rPr>
        <w:t>公示无异议的纳入湖南省省级绿色矿山名录。</w:t>
      </w:r>
    </w:p>
    <w:p w14:paraId="4A91A458">
      <w:pPr>
        <w:keepNext/>
        <w:keepLines/>
        <w:spacing w:before="312" w:beforeLines="100" w:after="312" w:afterLines="100" w:line="240" w:lineRule="auto"/>
        <w:jc w:val="center"/>
        <w:outlineLvl w:val="0"/>
        <w:rPr>
          <w:rFonts w:eastAsia="黑体"/>
          <w:color w:val="000000"/>
          <w:kern w:val="0"/>
          <w:sz w:val="32"/>
          <w:szCs w:val="32"/>
        </w:rPr>
      </w:pPr>
      <w:r>
        <w:rPr>
          <w:rFonts w:eastAsia="黑体"/>
          <w:color w:val="000000"/>
          <w:kern w:val="0"/>
          <w:sz w:val="32"/>
          <w:szCs w:val="32"/>
        </w:rPr>
        <w:t>第</w:t>
      </w:r>
      <w:r>
        <w:rPr>
          <w:rFonts w:hint="eastAsia" w:eastAsia="黑体"/>
          <w:color w:val="000000"/>
          <w:kern w:val="0"/>
          <w:sz w:val="32"/>
          <w:szCs w:val="32"/>
        </w:rPr>
        <w:t>五</w:t>
      </w:r>
      <w:r>
        <w:rPr>
          <w:rFonts w:eastAsia="黑体"/>
          <w:color w:val="000000"/>
          <w:kern w:val="0"/>
          <w:sz w:val="32"/>
          <w:szCs w:val="32"/>
        </w:rPr>
        <w:t>章  监督管理</w:t>
      </w:r>
    </w:p>
    <w:p w14:paraId="7ADEE5A2">
      <w:pPr>
        <w:autoSpaceDE w:val="0"/>
        <w:autoSpaceDN w:val="0"/>
        <w:adjustRightInd w:val="0"/>
        <w:ind w:firstLine="640" w:firstLineChars="200"/>
        <w:rPr>
          <w:rFonts w:ascii="Calibri" w:hAnsi="Calibri" w:eastAsia="仿宋_GB2312"/>
          <w:color w:val="000000"/>
          <w:sz w:val="32"/>
          <w:szCs w:val="32"/>
        </w:rPr>
      </w:pPr>
      <w:r>
        <w:rPr>
          <w:rFonts w:eastAsia="黑体"/>
          <w:color w:val="000000"/>
          <w:kern w:val="0"/>
          <w:sz w:val="32"/>
          <w:szCs w:val="32"/>
        </w:rPr>
        <w:t>第十</w:t>
      </w:r>
      <w:r>
        <w:rPr>
          <w:rFonts w:hint="eastAsia" w:ascii="Calibri" w:hAnsi="Calibri" w:eastAsia="黑体"/>
          <w:color w:val="000000"/>
          <w:kern w:val="0"/>
          <w:sz w:val="32"/>
          <w:szCs w:val="32"/>
        </w:rPr>
        <w:t>八</w:t>
      </w:r>
      <w:r>
        <w:rPr>
          <w:rFonts w:eastAsia="黑体"/>
          <w:color w:val="000000"/>
          <w:kern w:val="0"/>
          <w:sz w:val="32"/>
          <w:szCs w:val="32"/>
        </w:rPr>
        <w:t xml:space="preserve">条  </w:t>
      </w:r>
      <w:r>
        <w:rPr>
          <w:rFonts w:hint="eastAsia" w:ascii="Calibri" w:hAnsi="Calibri" w:eastAsia="仿宋_GB2312"/>
          <w:color w:val="000000"/>
          <w:sz w:val="32"/>
          <w:szCs w:val="32"/>
        </w:rPr>
        <w:t>建立省级绿色矿山名录，加强国家级和省级绿色矿山名录动态管理，加强绿色矿山建设全过程监管。</w:t>
      </w:r>
    </w:p>
    <w:p w14:paraId="79C3820C">
      <w:pPr>
        <w:autoSpaceDE w:val="0"/>
        <w:autoSpaceDN w:val="0"/>
        <w:adjustRightInd w:val="0"/>
        <w:ind w:firstLine="640" w:firstLineChars="200"/>
        <w:rPr>
          <w:rFonts w:ascii="Calibri" w:hAnsi="Calibri" w:eastAsia="仿宋_GB2312"/>
          <w:color w:val="000000"/>
          <w:sz w:val="32"/>
          <w:szCs w:val="32"/>
          <w:shd w:val="clear" w:color="auto" w:fill="FFFFFF"/>
        </w:rPr>
      </w:pPr>
      <w:r>
        <w:rPr>
          <w:rFonts w:ascii="Calibri" w:hAnsi="Calibri" w:eastAsia="仿宋_GB2312"/>
          <w:color w:val="000000"/>
          <w:sz w:val="32"/>
          <w:szCs w:val="32"/>
          <w:shd w:val="clear" w:color="auto" w:fill="FFFFFF"/>
        </w:rPr>
        <w:t>省自然资源厅</w:t>
      </w:r>
      <w:r>
        <w:rPr>
          <w:rFonts w:hint="eastAsia" w:ascii="Calibri" w:hAnsi="Calibri" w:eastAsia="仿宋_GB2312"/>
          <w:color w:val="000000"/>
          <w:sz w:val="32"/>
          <w:szCs w:val="32"/>
          <w:shd w:val="clear" w:color="auto" w:fill="FFFFFF"/>
        </w:rPr>
        <w:t>对已建成的绿色矿山实施常态化监管，</w:t>
      </w:r>
      <w:r>
        <w:rPr>
          <w:rFonts w:ascii="Calibri" w:hAnsi="Calibri" w:eastAsia="仿宋_GB2312"/>
          <w:color w:val="000000"/>
          <w:sz w:val="32"/>
          <w:szCs w:val="32"/>
          <w:shd w:val="clear" w:color="auto" w:fill="FFFFFF"/>
        </w:rPr>
        <w:t>纳入卫星云遥、铁塔视频监控和</w:t>
      </w:r>
      <w:r>
        <w:rPr>
          <w:rFonts w:hint="eastAsia" w:ascii="Calibri" w:hAnsi="Calibri" w:eastAsia="仿宋_GB2312"/>
          <w:color w:val="000000"/>
          <w:sz w:val="32"/>
          <w:szCs w:val="32"/>
          <w:shd w:val="clear" w:color="auto" w:fill="FFFFFF"/>
        </w:rPr>
        <w:t>“</w:t>
      </w:r>
      <w:r>
        <w:rPr>
          <w:rFonts w:ascii="Calibri" w:hAnsi="Calibri" w:eastAsia="仿宋_GB2312"/>
          <w:color w:val="000000"/>
          <w:sz w:val="32"/>
          <w:szCs w:val="32"/>
          <w:shd w:val="clear" w:color="auto" w:fill="FFFFFF"/>
        </w:rPr>
        <w:t>三地两矿</w:t>
      </w:r>
      <w:r>
        <w:rPr>
          <w:rFonts w:hint="eastAsia" w:ascii="Calibri" w:hAnsi="Calibri" w:eastAsia="仿宋_GB2312"/>
          <w:color w:val="000000"/>
          <w:sz w:val="32"/>
          <w:szCs w:val="32"/>
          <w:shd w:val="clear" w:color="auto" w:fill="FFFFFF"/>
        </w:rPr>
        <w:t>”</w:t>
      </w:r>
      <w:r>
        <w:rPr>
          <w:rFonts w:ascii="Calibri" w:hAnsi="Calibri" w:eastAsia="仿宋_GB2312"/>
          <w:color w:val="000000"/>
          <w:sz w:val="32"/>
          <w:szCs w:val="32"/>
          <w:shd w:val="clear" w:color="auto" w:fill="FFFFFF"/>
        </w:rPr>
        <w:t>调度</w:t>
      </w:r>
      <w:r>
        <w:rPr>
          <w:rFonts w:hint="eastAsia" w:ascii="Calibri" w:hAnsi="Calibri" w:eastAsia="仿宋_GB2312"/>
          <w:color w:val="000000"/>
          <w:sz w:val="32"/>
          <w:szCs w:val="32"/>
          <w:shd w:val="clear" w:color="auto" w:fill="FFFFFF"/>
        </w:rPr>
        <w:t>。</w:t>
      </w:r>
      <w:r>
        <w:rPr>
          <w:rFonts w:ascii="Calibri" w:hAnsi="Calibri" w:eastAsia="仿宋_GB2312"/>
          <w:color w:val="000000"/>
          <w:sz w:val="32"/>
          <w:szCs w:val="32"/>
          <w:shd w:val="clear" w:color="auto" w:fill="FFFFFF"/>
        </w:rPr>
        <w:t>严格按照</w:t>
      </w:r>
      <w:r>
        <w:rPr>
          <w:rFonts w:hint="eastAsia" w:ascii="Calibri" w:hAnsi="Calibri" w:eastAsia="仿宋_GB2312"/>
          <w:color w:val="000000"/>
          <w:sz w:val="32"/>
          <w:szCs w:val="32"/>
          <w:shd w:val="clear" w:color="auto" w:fill="FFFFFF"/>
        </w:rPr>
        <w:t>“</w:t>
      </w:r>
      <w:r>
        <w:rPr>
          <w:rFonts w:ascii="Calibri" w:hAnsi="Calibri" w:eastAsia="仿宋_GB2312"/>
          <w:color w:val="000000"/>
          <w:sz w:val="32"/>
          <w:szCs w:val="32"/>
          <w:shd w:val="clear" w:color="auto" w:fill="FFFFFF"/>
        </w:rPr>
        <w:t>双随机、一公开</w:t>
      </w:r>
      <w:r>
        <w:rPr>
          <w:rFonts w:hint="eastAsia" w:ascii="Calibri" w:hAnsi="Calibri" w:eastAsia="仿宋_GB2312"/>
          <w:color w:val="000000"/>
          <w:sz w:val="32"/>
          <w:szCs w:val="32"/>
          <w:shd w:val="clear" w:color="auto" w:fill="FFFFFF"/>
        </w:rPr>
        <w:t>”</w:t>
      </w:r>
      <w:r>
        <w:rPr>
          <w:rFonts w:ascii="Calibri" w:hAnsi="Calibri" w:eastAsia="仿宋_GB2312"/>
          <w:color w:val="000000"/>
          <w:sz w:val="32"/>
          <w:szCs w:val="32"/>
          <w:shd w:val="clear" w:color="auto" w:fill="FFFFFF"/>
        </w:rPr>
        <w:t>要求，会同省生态环境厅每年定期开展绿色矿山实地抽查核查，核查比例不低于</w:t>
      </w:r>
      <w:r>
        <w:rPr>
          <w:rFonts w:ascii="Times New Roman" w:hAnsi="Times New Roman" w:eastAsia="仿宋_GB2312"/>
          <w:color w:val="000000"/>
          <w:sz w:val="32"/>
          <w:szCs w:val="32"/>
          <w:shd w:val="clear" w:color="auto" w:fill="FFFFFF"/>
        </w:rPr>
        <w:t>10%</w:t>
      </w:r>
      <w:r>
        <w:rPr>
          <w:rFonts w:ascii="Calibri" w:hAnsi="Calibri" w:eastAsia="仿宋_GB2312"/>
          <w:color w:val="000000"/>
          <w:sz w:val="32"/>
          <w:szCs w:val="32"/>
          <w:shd w:val="clear" w:color="auto" w:fill="FFFFFF"/>
        </w:rPr>
        <w:t>。</w:t>
      </w:r>
    </w:p>
    <w:p w14:paraId="083B1332">
      <w:pPr>
        <w:autoSpaceDE w:val="0"/>
        <w:autoSpaceDN w:val="0"/>
        <w:adjustRightInd w:val="0"/>
        <w:ind w:firstLine="640" w:firstLineChars="200"/>
        <w:rPr>
          <w:rFonts w:ascii="Calibri" w:hAnsi="Calibri" w:eastAsia="仿宋_GB2312"/>
          <w:color w:val="000000"/>
          <w:sz w:val="32"/>
          <w:szCs w:val="32"/>
          <w:shd w:val="clear" w:color="auto" w:fill="FFFFFF"/>
        </w:rPr>
      </w:pPr>
      <w:r>
        <w:rPr>
          <w:rFonts w:ascii="Calibri" w:hAnsi="Calibri" w:eastAsia="仿宋_GB2312"/>
          <w:color w:val="000000"/>
          <w:sz w:val="32"/>
          <w:szCs w:val="32"/>
          <w:shd w:val="clear" w:color="auto" w:fill="FFFFFF"/>
        </w:rPr>
        <w:t>市州、县市区自然资源主管部门应会同有关部门，创新日常监管手段，</w:t>
      </w:r>
      <w:r>
        <w:rPr>
          <w:rFonts w:hint="eastAsia" w:ascii="Calibri" w:hAnsi="Calibri" w:eastAsia="仿宋_GB2312"/>
          <w:color w:val="000000"/>
          <w:sz w:val="32"/>
          <w:szCs w:val="32"/>
          <w:shd w:val="clear" w:color="auto" w:fill="FFFFFF"/>
        </w:rPr>
        <w:t>科学</w:t>
      </w:r>
      <w:r>
        <w:rPr>
          <w:rFonts w:ascii="Calibri" w:hAnsi="Calibri" w:eastAsia="仿宋_GB2312"/>
          <w:color w:val="000000"/>
          <w:sz w:val="32"/>
          <w:szCs w:val="32"/>
          <w:shd w:val="clear" w:color="auto" w:fill="FFFFFF"/>
        </w:rPr>
        <w:t>整合各类检查，切实减轻矿山企业负担。</w:t>
      </w:r>
    </w:p>
    <w:p w14:paraId="55B2417D">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Calibri" w:hAnsi="Calibri" w:eastAsia="仿宋_GB2312"/>
          <w:color w:val="000000"/>
          <w:sz w:val="32"/>
          <w:szCs w:val="32"/>
          <w:shd w:val="clear" w:color="auto" w:fill="FFFFFF"/>
        </w:rPr>
      </w:pPr>
      <w:r>
        <w:rPr>
          <w:rFonts w:eastAsia="黑体"/>
          <w:color w:val="000000"/>
          <w:sz w:val="32"/>
          <w:szCs w:val="32"/>
        </w:rPr>
        <w:t>第十</w:t>
      </w:r>
      <w:r>
        <w:rPr>
          <w:rFonts w:hint="eastAsia" w:ascii="Calibri" w:hAnsi="Calibri" w:eastAsia="黑体"/>
          <w:color w:val="000000"/>
          <w:sz w:val="32"/>
          <w:szCs w:val="32"/>
        </w:rPr>
        <w:t>九</w:t>
      </w:r>
      <w:r>
        <w:rPr>
          <w:rFonts w:eastAsia="黑体"/>
          <w:color w:val="000000"/>
          <w:sz w:val="32"/>
          <w:szCs w:val="32"/>
        </w:rPr>
        <w:t>条</w:t>
      </w:r>
      <w:r>
        <w:rPr>
          <w:rFonts w:eastAsia="仿宋_GB2312"/>
          <w:color w:val="000000"/>
          <w:sz w:val="32"/>
          <w:szCs w:val="32"/>
        </w:rPr>
        <w:t xml:space="preserve">  </w:t>
      </w:r>
      <w:r>
        <w:rPr>
          <w:rFonts w:ascii="Calibri" w:hAnsi="Calibri" w:eastAsia="仿宋_GB2312"/>
          <w:color w:val="000000"/>
          <w:sz w:val="32"/>
          <w:szCs w:val="32"/>
          <w:shd w:val="clear" w:color="auto" w:fill="FFFFFF"/>
        </w:rPr>
        <w:t>对实地核查发现不符合绿色矿山</w:t>
      </w:r>
      <w:r>
        <w:rPr>
          <w:rFonts w:hint="eastAsia" w:ascii="Calibri" w:hAnsi="Calibri" w:eastAsia="仿宋_GB2312"/>
          <w:color w:val="000000"/>
          <w:sz w:val="32"/>
          <w:szCs w:val="32"/>
          <w:shd w:val="clear" w:color="auto" w:fill="FFFFFF"/>
        </w:rPr>
        <w:t>评定</w:t>
      </w:r>
      <w:r>
        <w:rPr>
          <w:rFonts w:ascii="Calibri" w:hAnsi="Calibri" w:eastAsia="仿宋_GB2312"/>
          <w:color w:val="000000"/>
          <w:sz w:val="32"/>
          <w:szCs w:val="32"/>
          <w:shd w:val="clear" w:color="auto" w:fill="FFFFFF"/>
        </w:rPr>
        <w:t>标准但能够限期整改的，由实地核查牵头部门明确整改期限及措施要求，整改期限原则上不超过六个月，期满完成整改并经复核满足绿色矿山</w:t>
      </w:r>
      <w:r>
        <w:rPr>
          <w:rFonts w:hint="eastAsia" w:ascii="Calibri" w:hAnsi="Calibri" w:eastAsia="仿宋_GB2312"/>
          <w:color w:val="000000"/>
          <w:sz w:val="32"/>
          <w:szCs w:val="32"/>
          <w:shd w:val="clear" w:color="auto" w:fill="FFFFFF"/>
        </w:rPr>
        <w:t>评定</w:t>
      </w:r>
      <w:r>
        <w:rPr>
          <w:rFonts w:ascii="Calibri" w:hAnsi="Calibri" w:eastAsia="仿宋_GB2312"/>
          <w:color w:val="000000"/>
          <w:sz w:val="32"/>
          <w:szCs w:val="32"/>
          <w:shd w:val="clear" w:color="auto" w:fill="FFFFFF"/>
        </w:rPr>
        <w:t>标准的，可保留</w:t>
      </w:r>
      <w:r>
        <w:rPr>
          <w:rFonts w:hint="eastAsia" w:ascii="Calibri" w:hAnsi="Calibri" w:eastAsia="仿宋_GB2312"/>
          <w:color w:val="000000"/>
          <w:sz w:val="32"/>
          <w:szCs w:val="32"/>
          <w:shd w:val="clear" w:color="auto" w:fill="FFFFFF"/>
        </w:rPr>
        <w:t>至</w:t>
      </w:r>
      <w:r>
        <w:rPr>
          <w:rFonts w:ascii="Calibri" w:hAnsi="Calibri" w:eastAsia="仿宋_GB2312"/>
          <w:color w:val="000000"/>
          <w:sz w:val="32"/>
          <w:szCs w:val="32"/>
          <w:shd w:val="clear" w:color="auto" w:fill="FFFFFF"/>
        </w:rPr>
        <w:t>名录。</w:t>
      </w:r>
    </w:p>
    <w:p w14:paraId="4EBBA80E">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Calibri" w:hAnsi="Calibri" w:eastAsia="仿宋_GB2312"/>
          <w:color w:val="000000"/>
          <w:sz w:val="32"/>
          <w:szCs w:val="32"/>
          <w:shd w:val="clear" w:color="auto" w:fill="FFFFFF"/>
        </w:rPr>
      </w:pPr>
      <w:r>
        <w:rPr>
          <w:rFonts w:ascii="Calibri" w:hAnsi="Calibri" w:eastAsia="仿宋_GB2312"/>
          <w:color w:val="000000"/>
          <w:sz w:val="32"/>
          <w:szCs w:val="32"/>
          <w:shd w:val="clear" w:color="auto" w:fill="FFFFFF"/>
        </w:rPr>
        <w:t>经复核</w:t>
      </w:r>
      <w:r>
        <w:rPr>
          <w:rFonts w:hint="eastAsia" w:ascii="Calibri" w:hAnsi="Calibri" w:eastAsia="仿宋_GB2312"/>
          <w:color w:val="000000"/>
          <w:sz w:val="32"/>
          <w:szCs w:val="32"/>
          <w:shd w:val="clear" w:color="auto" w:fill="FFFFFF"/>
        </w:rPr>
        <w:t>，</w:t>
      </w:r>
      <w:r>
        <w:rPr>
          <w:rFonts w:ascii="Calibri" w:hAnsi="Calibri" w:eastAsia="仿宋_GB2312"/>
          <w:color w:val="000000"/>
          <w:sz w:val="32"/>
          <w:szCs w:val="32"/>
          <w:shd w:val="clear" w:color="auto" w:fill="FFFFFF"/>
        </w:rPr>
        <w:t>超期未完成整改、整改不满足绿色矿山</w:t>
      </w:r>
      <w:r>
        <w:rPr>
          <w:rFonts w:hint="eastAsia" w:ascii="Calibri" w:hAnsi="Calibri" w:eastAsia="仿宋_GB2312"/>
          <w:color w:val="000000"/>
          <w:sz w:val="32"/>
          <w:szCs w:val="32"/>
          <w:shd w:val="clear" w:color="auto" w:fill="FFFFFF"/>
        </w:rPr>
        <w:t>评定</w:t>
      </w:r>
      <w:r>
        <w:rPr>
          <w:rFonts w:ascii="Calibri" w:hAnsi="Calibri" w:eastAsia="仿宋_GB2312"/>
          <w:color w:val="000000"/>
          <w:sz w:val="32"/>
          <w:szCs w:val="32"/>
          <w:shd w:val="clear" w:color="auto" w:fill="FFFFFF"/>
        </w:rPr>
        <w:t>标准的，由省自然资源厅通报移出绿色矿山名录。</w:t>
      </w:r>
    </w:p>
    <w:p w14:paraId="5AD1067A">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Calibri" w:hAnsi="Calibri" w:eastAsia="仿宋_GB2312"/>
          <w:color w:val="000000"/>
          <w:sz w:val="32"/>
          <w:szCs w:val="32"/>
          <w:shd w:val="clear" w:color="auto" w:fill="FFFFFF"/>
        </w:rPr>
      </w:pPr>
      <w:r>
        <w:rPr>
          <w:rFonts w:eastAsia="黑体"/>
          <w:color w:val="000000"/>
          <w:sz w:val="32"/>
          <w:szCs w:val="32"/>
        </w:rPr>
        <w:t>第</w:t>
      </w:r>
      <w:r>
        <w:rPr>
          <w:rFonts w:hint="eastAsia" w:ascii="Calibri" w:hAnsi="Calibri" w:eastAsia="黑体"/>
          <w:color w:val="000000"/>
          <w:sz w:val="32"/>
          <w:szCs w:val="32"/>
        </w:rPr>
        <w:t>二十</w:t>
      </w:r>
      <w:r>
        <w:rPr>
          <w:rFonts w:eastAsia="黑体"/>
          <w:color w:val="000000"/>
          <w:sz w:val="32"/>
          <w:szCs w:val="32"/>
        </w:rPr>
        <w:t>条</w:t>
      </w:r>
      <w:r>
        <w:rPr>
          <w:rFonts w:eastAsia="仿宋_GB2312"/>
          <w:color w:val="000000"/>
          <w:sz w:val="32"/>
          <w:szCs w:val="32"/>
        </w:rPr>
        <w:t xml:space="preserve">  </w:t>
      </w:r>
      <w:r>
        <w:rPr>
          <w:rFonts w:ascii="Calibri" w:hAnsi="Calibri" w:eastAsia="仿宋_GB2312"/>
          <w:color w:val="000000"/>
          <w:sz w:val="32"/>
          <w:szCs w:val="32"/>
          <w:shd w:val="clear" w:color="auto" w:fill="FFFFFF"/>
        </w:rPr>
        <w:t>在绿色矿山日常监管中，发现</w:t>
      </w:r>
      <w:r>
        <w:rPr>
          <w:rFonts w:eastAsia="仿宋_GB2312"/>
          <w:color w:val="000000"/>
          <w:sz w:val="32"/>
          <w:szCs w:val="32"/>
        </w:rPr>
        <w:t>存在下列情形之一的，</w:t>
      </w:r>
      <w:r>
        <w:rPr>
          <w:rFonts w:ascii="Calibri" w:hAnsi="Calibri" w:eastAsia="仿宋_GB2312"/>
          <w:color w:val="000000"/>
          <w:sz w:val="32"/>
          <w:szCs w:val="32"/>
          <w:shd w:val="clear" w:color="auto" w:fill="FFFFFF"/>
        </w:rPr>
        <w:t>由省自然资源厅通报移出绿色矿山名录。</w:t>
      </w:r>
    </w:p>
    <w:p w14:paraId="0D520682">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（一）《采矿许可证》《安全生产许可证》《营业执照》证照不齐、过期未及时延续或被吊销的；</w:t>
      </w:r>
    </w:p>
    <w:p w14:paraId="4973DD77">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（二）受到行政处罚后在履行期限内未执行到位的；</w:t>
      </w:r>
    </w:p>
    <w:p w14:paraId="554AFA60">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（三）关闭、因企业自身原因停产未正常生产运营的；</w:t>
      </w:r>
    </w:p>
    <w:p w14:paraId="2DA68087">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（四）违法开采特别是越界开采、擅自改变开采方式的；</w:t>
      </w:r>
    </w:p>
    <w:p w14:paraId="430E4A81">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（五）发生较大及以上安全生产事故或环境事件的，发生土壤和地下水严重污染的，发生重大林草案件的；</w:t>
      </w:r>
    </w:p>
    <w:p w14:paraId="17346ACD">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（六）未落实国土空间规划和用途管制要求的；</w:t>
      </w:r>
    </w:p>
    <w:p w14:paraId="60A0B6E7">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（七）未落实生态环境分区管控、环境影响评价、排污许可等相关制度要求，且未按期整改到位的；</w:t>
      </w:r>
    </w:p>
    <w:p w14:paraId="0B62741F">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（八）未按要求定期开展尾矿库污染隐患排查的或尾矿库污染防治设施未按要求建设运行的；</w:t>
      </w:r>
    </w:p>
    <w:p w14:paraId="51D7116B">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（九）采矿权人被列入矿业权人勘查开采信息公示异常名录的；</w:t>
      </w:r>
    </w:p>
    <w:p w14:paraId="07B22ED8">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（十）矿产资源开发利用水平被划定为落后档次的；</w:t>
      </w:r>
    </w:p>
    <w:p w14:paraId="56E46D29">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（十一）被中央环保督察、巡视审计、全国人大常委会执法检查等作为典型案例通报或纳入各类警示片的；</w:t>
      </w:r>
    </w:p>
    <w:p w14:paraId="520B8782">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（十二）发生突发事件，因企业违法违规在全国门户类网站、平台引发负面舆情的；</w:t>
      </w:r>
    </w:p>
    <w:p w14:paraId="74F99FF7">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（十三）弄虚作假通过绿色矿山评估的；</w:t>
      </w:r>
    </w:p>
    <w:p w14:paraId="508D37B0">
      <w:pPr>
        <w:autoSpaceDE w:val="0"/>
        <w:autoSpaceDN w:val="0"/>
        <w:adjustRightInd w:val="0"/>
        <w:spacing w:line="240" w:lineRule="auto"/>
        <w:ind w:firstLine="640" w:firstLineChars="200"/>
        <w:rPr>
          <w:rFonts w:eastAsia="仿宋_GB2312"/>
          <w:color w:val="000000"/>
          <w:sz w:val="32"/>
          <w:szCs w:val="32"/>
        </w:rPr>
      </w:pPr>
      <w:r>
        <w:rPr>
          <w:rFonts w:eastAsia="仿宋_GB2312"/>
          <w:color w:val="000000"/>
          <w:sz w:val="32"/>
          <w:szCs w:val="32"/>
        </w:rPr>
        <w:t>（十四）其他违法违规行为不宜继续列入名录的。</w:t>
      </w:r>
    </w:p>
    <w:p w14:paraId="6F3E0ED0">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Calibri" w:hAnsi="Calibri" w:eastAsia="仿宋_GB2312"/>
          <w:color w:val="000000"/>
          <w:sz w:val="32"/>
          <w:szCs w:val="32"/>
          <w:shd w:val="clear" w:color="auto" w:fill="FFFFFF"/>
        </w:rPr>
      </w:pPr>
      <w:r>
        <w:rPr>
          <w:rFonts w:eastAsia="黑体"/>
          <w:color w:val="000000"/>
          <w:kern w:val="0"/>
          <w:sz w:val="32"/>
          <w:szCs w:val="32"/>
        </w:rPr>
        <w:t>第</w:t>
      </w:r>
      <w:r>
        <w:rPr>
          <w:rFonts w:hint="eastAsia" w:eastAsia="黑体"/>
          <w:color w:val="000000"/>
          <w:kern w:val="0"/>
          <w:sz w:val="32"/>
          <w:szCs w:val="32"/>
        </w:rPr>
        <w:t>二十</w:t>
      </w:r>
      <w:r>
        <w:rPr>
          <w:rFonts w:hint="eastAsia" w:ascii="Calibri" w:hAnsi="Calibri" w:eastAsia="黑体"/>
          <w:color w:val="000000"/>
          <w:kern w:val="0"/>
          <w:sz w:val="32"/>
          <w:szCs w:val="32"/>
        </w:rPr>
        <w:t>一</w:t>
      </w:r>
      <w:r>
        <w:rPr>
          <w:rFonts w:eastAsia="黑体"/>
          <w:color w:val="000000"/>
          <w:kern w:val="0"/>
          <w:sz w:val="32"/>
          <w:szCs w:val="32"/>
        </w:rPr>
        <w:t>条</w:t>
      </w:r>
      <w:r>
        <w:rPr>
          <w:rFonts w:eastAsia="仿宋_GB2312"/>
          <w:color w:val="000000"/>
          <w:kern w:val="0"/>
          <w:sz w:val="32"/>
          <w:szCs w:val="32"/>
        </w:rPr>
        <w:t xml:space="preserve">  </w:t>
      </w:r>
      <w:r>
        <w:rPr>
          <w:rFonts w:ascii="Calibri" w:hAnsi="Calibri" w:eastAsia="仿宋_GB2312"/>
          <w:color w:val="000000"/>
          <w:sz w:val="32"/>
          <w:szCs w:val="32"/>
          <w:shd w:val="clear" w:color="auto" w:fill="FFFFFF"/>
        </w:rPr>
        <w:t>被移出省级绿色矿山名录的矿山企业，半年内不得申报省级绿色矿山。期满后，</w:t>
      </w:r>
      <w:r>
        <w:rPr>
          <w:rFonts w:hint="eastAsia" w:ascii="Calibri" w:hAnsi="Calibri" w:eastAsia="仿宋_GB2312"/>
          <w:color w:val="000000"/>
          <w:sz w:val="32"/>
          <w:szCs w:val="32"/>
          <w:shd w:val="clear" w:color="auto" w:fill="FFFFFF"/>
        </w:rPr>
        <w:t>整改达到</w:t>
      </w:r>
      <w:r>
        <w:rPr>
          <w:rFonts w:ascii="Calibri" w:hAnsi="Calibri" w:eastAsia="仿宋_GB2312"/>
          <w:color w:val="000000"/>
          <w:sz w:val="32"/>
          <w:szCs w:val="32"/>
          <w:shd w:val="clear" w:color="auto" w:fill="FFFFFF"/>
        </w:rPr>
        <w:t>绿色矿山</w:t>
      </w:r>
      <w:r>
        <w:rPr>
          <w:rFonts w:hint="eastAsia" w:ascii="Calibri" w:hAnsi="Calibri" w:eastAsia="仿宋_GB2312"/>
          <w:color w:val="000000"/>
          <w:sz w:val="32"/>
          <w:szCs w:val="32"/>
          <w:shd w:val="clear" w:color="auto" w:fill="FFFFFF"/>
        </w:rPr>
        <w:t>评定</w:t>
      </w:r>
      <w:r>
        <w:rPr>
          <w:rFonts w:ascii="Calibri" w:hAnsi="Calibri" w:eastAsia="仿宋_GB2312"/>
          <w:color w:val="000000"/>
          <w:sz w:val="32"/>
          <w:szCs w:val="32"/>
          <w:shd w:val="clear" w:color="auto" w:fill="FFFFFF"/>
        </w:rPr>
        <w:t>标准</w:t>
      </w:r>
      <w:r>
        <w:rPr>
          <w:rFonts w:hint="eastAsia" w:ascii="Calibri" w:hAnsi="Calibri" w:eastAsia="仿宋_GB2312"/>
          <w:color w:val="000000"/>
          <w:sz w:val="32"/>
          <w:szCs w:val="32"/>
          <w:shd w:val="clear" w:color="auto" w:fill="FFFFFF"/>
        </w:rPr>
        <w:t>的，按相关要求</w:t>
      </w:r>
      <w:r>
        <w:rPr>
          <w:rFonts w:ascii="Calibri" w:hAnsi="Calibri" w:eastAsia="仿宋_GB2312"/>
          <w:color w:val="000000"/>
          <w:sz w:val="32"/>
          <w:szCs w:val="32"/>
          <w:shd w:val="clear" w:color="auto" w:fill="FFFFFF"/>
        </w:rPr>
        <w:t>、流程重新申报。</w:t>
      </w:r>
    </w:p>
    <w:p w14:paraId="52D023D6">
      <w:pPr>
        <w:autoSpaceDE w:val="0"/>
        <w:autoSpaceDN w:val="0"/>
        <w:adjustRightInd w:val="0"/>
        <w:spacing w:line="240" w:lineRule="auto"/>
        <w:ind w:firstLine="640" w:firstLineChars="200"/>
        <w:rPr>
          <w:rFonts w:eastAsia="仿宋_GB2312"/>
          <w:color w:val="000000"/>
          <w:sz w:val="32"/>
          <w:szCs w:val="32"/>
        </w:rPr>
      </w:pPr>
      <w:r>
        <w:rPr>
          <w:rFonts w:eastAsia="黑体"/>
          <w:color w:val="000000"/>
          <w:sz w:val="32"/>
          <w:szCs w:val="32"/>
        </w:rPr>
        <w:t>第</w:t>
      </w:r>
      <w:r>
        <w:rPr>
          <w:rFonts w:hint="eastAsia" w:eastAsia="黑体"/>
          <w:color w:val="000000"/>
          <w:sz w:val="32"/>
          <w:szCs w:val="32"/>
        </w:rPr>
        <w:t>二十</w:t>
      </w:r>
      <w:r>
        <w:rPr>
          <w:rFonts w:hint="eastAsia" w:ascii="Calibri" w:hAnsi="Calibri" w:eastAsia="黑体"/>
          <w:color w:val="000000"/>
          <w:sz w:val="32"/>
          <w:szCs w:val="32"/>
        </w:rPr>
        <w:t>二</w:t>
      </w:r>
      <w:r>
        <w:rPr>
          <w:rFonts w:eastAsia="黑体"/>
          <w:color w:val="000000"/>
          <w:sz w:val="32"/>
          <w:szCs w:val="32"/>
        </w:rPr>
        <w:t>条</w:t>
      </w:r>
      <w:r>
        <w:rPr>
          <w:rFonts w:eastAsia="仿宋_GB2312"/>
          <w:color w:val="000000"/>
          <w:sz w:val="32"/>
          <w:szCs w:val="32"/>
        </w:rPr>
        <w:t xml:space="preserve">  </w:t>
      </w:r>
      <w:r>
        <w:rPr>
          <w:rFonts w:eastAsia="仿宋_GB2312"/>
          <w:color w:val="000000"/>
          <w:kern w:val="0"/>
          <w:sz w:val="32"/>
          <w:szCs w:val="32"/>
        </w:rPr>
        <w:t>省自然资源厅建立绿色矿山评价审核专家库，其成员由地质、生态环境、安监、经济等专业专家组成，开展绿色矿山抽查工作。</w:t>
      </w:r>
      <w:r>
        <w:rPr>
          <w:rFonts w:hint="eastAsia" w:ascii="Calibri" w:hAnsi="Calibri" w:eastAsia="仿宋_GB2312"/>
          <w:color w:val="000000"/>
          <w:kern w:val="0"/>
          <w:sz w:val="32"/>
          <w:szCs w:val="32"/>
        </w:rPr>
        <w:t>市州、市县区</w:t>
      </w:r>
      <w:r>
        <w:rPr>
          <w:rFonts w:eastAsia="仿宋_GB2312"/>
          <w:color w:val="000000"/>
          <w:kern w:val="0"/>
          <w:sz w:val="32"/>
          <w:szCs w:val="32"/>
        </w:rPr>
        <w:t>自然资源主管部门可根据实际情况组建同级绿色矿山专家库。</w:t>
      </w:r>
    </w:p>
    <w:p w14:paraId="64EE865F">
      <w:pPr>
        <w:autoSpaceDE w:val="0"/>
        <w:autoSpaceDN w:val="0"/>
        <w:adjustRightInd w:val="0"/>
        <w:spacing w:line="240" w:lineRule="auto"/>
        <w:ind w:firstLine="640" w:firstLineChars="200"/>
        <w:rPr>
          <w:rFonts w:hint="eastAsia" w:ascii="Calibri" w:hAnsi="Calibri" w:eastAsia="仿宋_GB2312"/>
          <w:color w:val="000000"/>
          <w:sz w:val="32"/>
          <w:szCs w:val="32"/>
        </w:rPr>
      </w:pPr>
      <w:r>
        <w:rPr>
          <w:rFonts w:eastAsia="黑体"/>
          <w:color w:val="000000"/>
          <w:kern w:val="0"/>
          <w:sz w:val="32"/>
          <w:szCs w:val="32"/>
        </w:rPr>
        <w:t>第二十</w:t>
      </w:r>
      <w:r>
        <w:rPr>
          <w:rFonts w:hint="eastAsia" w:ascii="Calibri" w:hAnsi="Calibri" w:eastAsia="黑体"/>
          <w:color w:val="000000"/>
          <w:kern w:val="0"/>
          <w:sz w:val="32"/>
          <w:szCs w:val="32"/>
        </w:rPr>
        <w:t>三</w:t>
      </w:r>
      <w:r>
        <w:rPr>
          <w:rFonts w:eastAsia="黑体"/>
          <w:color w:val="000000"/>
          <w:kern w:val="0"/>
          <w:sz w:val="32"/>
          <w:szCs w:val="32"/>
        </w:rPr>
        <w:t>条</w:t>
      </w:r>
      <w:r>
        <w:rPr>
          <w:rFonts w:eastAsia="仿宋_GB2312"/>
          <w:color w:val="000000"/>
          <w:sz w:val="32"/>
          <w:szCs w:val="32"/>
        </w:rPr>
        <w:t xml:space="preserve">  绿色矿山第三方评估机构应与待评估矿山保持独立，不得参与矿山企业自评工作。在评估过程中</w:t>
      </w:r>
      <w:r>
        <w:rPr>
          <w:rFonts w:hint="eastAsia" w:ascii="Calibri" w:hAnsi="Calibri" w:eastAsia="仿宋_GB2312"/>
          <w:color w:val="000000"/>
          <w:sz w:val="32"/>
          <w:szCs w:val="32"/>
        </w:rPr>
        <w:t>应客</w:t>
      </w:r>
      <w:r>
        <w:rPr>
          <w:rFonts w:hint="eastAsia" w:ascii="Calibri" w:hAnsi="Calibri" w:eastAsia="仿宋_GB2312"/>
          <w:color w:val="000000"/>
          <w:spacing w:val="-6"/>
          <w:sz w:val="32"/>
          <w:szCs w:val="32"/>
        </w:rPr>
        <w:t>观公正、实事求是，全过程严格按照绿色矿山第三方评估工作要求、绿色矿山建设标准和评价指标有关要求开展评估。</w:t>
      </w:r>
    </w:p>
    <w:p w14:paraId="01F4641C">
      <w:pPr>
        <w:autoSpaceDE w:val="0"/>
        <w:autoSpaceDN w:val="0"/>
        <w:adjustRightInd w:val="0"/>
        <w:spacing w:line="240" w:lineRule="auto"/>
        <w:ind w:firstLine="640" w:firstLineChars="200"/>
        <w:rPr>
          <w:rFonts w:eastAsia="仿宋_GB2312"/>
          <w:color w:val="000000"/>
          <w:sz w:val="32"/>
          <w:szCs w:val="32"/>
        </w:rPr>
      </w:pPr>
      <w:r>
        <w:rPr>
          <w:rFonts w:hint="eastAsia" w:ascii="Calibri" w:hAnsi="Calibri" w:eastAsia="仿宋_GB2312"/>
          <w:color w:val="000000"/>
          <w:sz w:val="32"/>
          <w:szCs w:val="32"/>
        </w:rPr>
        <w:t>严禁以任何形式收取矿山企业任何费用和利用评估谋取不正当利益。对经核实存在将所承担评估工作转让或外包、泄露矿山企业秘密、串通企业弄虚作假、评估结论严重失实等违规行为的第三方评估机构和评估人员，予以通报并纳入黑名单</w:t>
      </w:r>
      <w:r>
        <w:rPr>
          <w:rFonts w:eastAsia="仿宋_GB2312"/>
          <w:color w:val="000000"/>
          <w:sz w:val="32"/>
          <w:szCs w:val="32"/>
        </w:rPr>
        <w:t>，三年内不</w:t>
      </w:r>
      <w:r>
        <w:rPr>
          <w:rFonts w:hint="eastAsia" w:ascii="Calibri" w:hAnsi="Calibri" w:eastAsia="仿宋_GB2312"/>
          <w:color w:val="000000"/>
          <w:sz w:val="32"/>
          <w:szCs w:val="32"/>
        </w:rPr>
        <w:t>再采信其绿色矿山评估服务</w:t>
      </w:r>
      <w:r>
        <w:rPr>
          <w:rFonts w:eastAsia="仿宋_GB2312"/>
          <w:color w:val="000000"/>
          <w:sz w:val="32"/>
          <w:szCs w:val="32"/>
        </w:rPr>
        <w:t>。</w:t>
      </w:r>
    </w:p>
    <w:p w14:paraId="1F17C0A6">
      <w:pPr>
        <w:autoSpaceDE w:val="0"/>
        <w:autoSpaceDN w:val="0"/>
        <w:adjustRightInd w:val="0"/>
        <w:spacing w:line="240" w:lineRule="auto"/>
        <w:ind w:firstLine="640" w:firstLineChars="200"/>
        <w:rPr>
          <w:rFonts w:eastAsia="仿宋_GB2312"/>
          <w:color w:val="000000"/>
          <w:sz w:val="32"/>
          <w:szCs w:val="32"/>
          <w:highlight w:val="yellow"/>
        </w:rPr>
      </w:pPr>
      <w:r>
        <w:rPr>
          <w:rFonts w:eastAsia="黑体"/>
          <w:color w:val="000000"/>
          <w:kern w:val="0"/>
          <w:sz w:val="32"/>
          <w:szCs w:val="32"/>
        </w:rPr>
        <w:t>第二十</w:t>
      </w:r>
      <w:r>
        <w:rPr>
          <w:rFonts w:hint="eastAsia" w:ascii="Calibri" w:hAnsi="Calibri" w:eastAsia="黑体"/>
          <w:color w:val="000000"/>
          <w:kern w:val="0"/>
          <w:sz w:val="32"/>
          <w:szCs w:val="32"/>
        </w:rPr>
        <w:t>四</w:t>
      </w:r>
      <w:r>
        <w:rPr>
          <w:rFonts w:eastAsia="黑体"/>
          <w:color w:val="000000"/>
          <w:kern w:val="0"/>
          <w:sz w:val="32"/>
          <w:szCs w:val="32"/>
        </w:rPr>
        <w:t xml:space="preserve">条  </w:t>
      </w:r>
      <w:r>
        <w:rPr>
          <w:rFonts w:eastAsia="仿宋_GB2312"/>
          <w:color w:val="000000"/>
          <w:kern w:val="0"/>
          <w:sz w:val="32"/>
          <w:szCs w:val="32"/>
        </w:rPr>
        <w:t>纳入</w:t>
      </w:r>
      <w:r>
        <w:rPr>
          <w:rFonts w:ascii="Calibri" w:hAnsi="Calibri" w:eastAsia="仿宋_GB2312"/>
          <w:color w:val="000000"/>
          <w:sz w:val="32"/>
          <w:szCs w:val="32"/>
          <w:shd w:val="clear" w:color="auto" w:fill="FFFFFF"/>
        </w:rPr>
        <w:t>湖南省省级</w:t>
      </w:r>
      <w:r>
        <w:rPr>
          <w:rFonts w:eastAsia="仿宋_GB2312"/>
          <w:color w:val="000000"/>
          <w:sz w:val="32"/>
          <w:szCs w:val="32"/>
        </w:rPr>
        <w:t>绿色矿山名录的绿色矿山企业可按国家、地方相关规定享受矿产资源、土地、财政金融等各类支持政策。</w:t>
      </w:r>
    </w:p>
    <w:p w14:paraId="2450EAB7">
      <w:pPr>
        <w:autoSpaceDE w:val="0"/>
        <w:autoSpaceDN w:val="0"/>
        <w:adjustRightInd w:val="0"/>
        <w:ind w:firstLine="640" w:firstLineChars="200"/>
        <w:rPr>
          <w:rFonts w:eastAsia="黑体"/>
          <w:color w:val="000000"/>
          <w:sz w:val="32"/>
          <w:szCs w:val="32"/>
          <w:highlight w:val="yellow"/>
        </w:rPr>
      </w:pPr>
      <w:r>
        <w:rPr>
          <w:rFonts w:eastAsia="黑体"/>
          <w:color w:val="000000"/>
          <w:sz w:val="32"/>
          <w:szCs w:val="32"/>
        </w:rPr>
        <w:t>第</w:t>
      </w:r>
      <w:r>
        <w:rPr>
          <w:rFonts w:eastAsia="黑体"/>
          <w:color w:val="000000"/>
          <w:kern w:val="0"/>
          <w:sz w:val="32"/>
          <w:szCs w:val="32"/>
        </w:rPr>
        <w:t>二十</w:t>
      </w:r>
      <w:r>
        <w:rPr>
          <w:rFonts w:hint="eastAsia" w:ascii="Calibri" w:hAnsi="Calibri" w:eastAsia="黑体"/>
          <w:color w:val="000000"/>
          <w:kern w:val="0"/>
          <w:sz w:val="32"/>
          <w:szCs w:val="32"/>
        </w:rPr>
        <w:t>五</w:t>
      </w:r>
      <w:r>
        <w:rPr>
          <w:rFonts w:eastAsia="黑体"/>
          <w:color w:val="000000"/>
          <w:sz w:val="32"/>
          <w:szCs w:val="32"/>
        </w:rPr>
        <w:t>条</w:t>
      </w:r>
      <w:r>
        <w:rPr>
          <w:rFonts w:eastAsia="仿宋_GB2312"/>
          <w:color w:val="000000"/>
          <w:sz w:val="32"/>
          <w:szCs w:val="32"/>
        </w:rPr>
        <w:t xml:space="preserve">  </w:t>
      </w:r>
      <w:r>
        <w:rPr>
          <w:rFonts w:ascii="Calibri" w:hAnsi="Calibri" w:eastAsia="仿宋_GB2312"/>
          <w:color w:val="000000"/>
          <w:sz w:val="32"/>
          <w:szCs w:val="32"/>
        </w:rPr>
        <w:t>未</w:t>
      </w:r>
      <w:r>
        <w:rPr>
          <w:rFonts w:hint="eastAsia" w:ascii="Calibri" w:hAnsi="Calibri" w:eastAsia="仿宋_GB2312"/>
          <w:color w:val="000000"/>
          <w:sz w:val="32"/>
          <w:szCs w:val="32"/>
        </w:rPr>
        <w:t>按要求</w:t>
      </w:r>
      <w:r>
        <w:rPr>
          <w:rFonts w:ascii="Calibri" w:hAnsi="Calibri" w:eastAsia="仿宋_GB2312"/>
          <w:color w:val="000000"/>
          <w:sz w:val="32"/>
          <w:szCs w:val="32"/>
        </w:rPr>
        <w:t>建成绿色矿山的钨矿企业</w:t>
      </w:r>
      <w:r>
        <w:rPr>
          <w:rFonts w:hint="eastAsia" w:ascii="Calibri" w:hAnsi="Calibri" w:eastAsia="仿宋_GB2312"/>
          <w:color w:val="000000"/>
          <w:sz w:val="32"/>
          <w:szCs w:val="32"/>
        </w:rPr>
        <w:t>，在分配钨矿开采指标时，从严核</w:t>
      </w:r>
      <w:r>
        <w:rPr>
          <w:rFonts w:ascii="Calibri" w:hAnsi="Calibri" w:eastAsia="仿宋_GB2312"/>
          <w:color w:val="000000"/>
          <w:sz w:val="32"/>
          <w:szCs w:val="32"/>
        </w:rPr>
        <w:t>减钨矿开采指标。除安全生产需要外，未建成绿色矿山的生产矿山不得</w:t>
      </w:r>
      <w:r>
        <w:rPr>
          <w:rFonts w:hint="eastAsia" w:ascii="Calibri" w:hAnsi="Calibri" w:eastAsia="仿宋_GB2312"/>
          <w:color w:val="000000"/>
          <w:sz w:val="32"/>
          <w:szCs w:val="32"/>
        </w:rPr>
        <w:t>进行</w:t>
      </w:r>
      <w:r>
        <w:rPr>
          <w:rFonts w:ascii="Calibri" w:hAnsi="Calibri" w:eastAsia="仿宋_GB2312"/>
          <w:color w:val="000000"/>
          <w:sz w:val="32"/>
          <w:szCs w:val="32"/>
        </w:rPr>
        <w:t>上部</w:t>
      </w:r>
      <w:r>
        <w:rPr>
          <w:rFonts w:hint="eastAsia" w:ascii="Calibri" w:hAnsi="Calibri" w:eastAsia="仿宋_GB2312"/>
          <w:color w:val="000000"/>
          <w:sz w:val="32"/>
          <w:szCs w:val="32"/>
        </w:rPr>
        <w:t>或</w:t>
      </w:r>
      <w:r>
        <w:rPr>
          <w:rFonts w:ascii="Calibri" w:hAnsi="Calibri" w:eastAsia="仿宋_GB2312"/>
          <w:color w:val="000000"/>
          <w:sz w:val="32"/>
          <w:szCs w:val="32"/>
        </w:rPr>
        <w:t>深部</w:t>
      </w:r>
      <w:r>
        <w:rPr>
          <w:rFonts w:hint="eastAsia" w:ascii="Calibri" w:hAnsi="Calibri" w:eastAsia="仿宋_GB2312"/>
          <w:color w:val="000000"/>
          <w:sz w:val="32"/>
          <w:szCs w:val="32"/>
        </w:rPr>
        <w:t>扩界</w:t>
      </w:r>
      <w:r>
        <w:rPr>
          <w:rFonts w:ascii="Calibri" w:hAnsi="Calibri" w:eastAsia="仿宋_GB2312"/>
          <w:color w:val="000000"/>
          <w:sz w:val="32"/>
          <w:szCs w:val="32"/>
        </w:rPr>
        <w:t>。非因关闭注销原因而被移出的绿色矿山，原则上应纳入当年或下一年度矿业权人勘查开采信息</w:t>
      </w:r>
      <w:r>
        <w:rPr>
          <w:rFonts w:hint="eastAsia" w:ascii="Calibri" w:hAnsi="Calibri" w:eastAsia="仿宋_GB2312"/>
          <w:color w:val="000000"/>
          <w:sz w:val="32"/>
          <w:szCs w:val="32"/>
        </w:rPr>
        <w:t>管理系统异常名录</w:t>
      </w:r>
      <w:r>
        <w:rPr>
          <w:rFonts w:ascii="Calibri" w:hAnsi="Calibri" w:eastAsia="仿宋_GB2312"/>
          <w:color w:val="000000"/>
          <w:sz w:val="32"/>
          <w:szCs w:val="32"/>
        </w:rPr>
        <w:t>。</w:t>
      </w:r>
    </w:p>
    <w:p w14:paraId="3EE869D9">
      <w:pPr>
        <w:autoSpaceDE w:val="0"/>
        <w:autoSpaceDN w:val="0"/>
        <w:adjustRightInd w:val="0"/>
        <w:ind w:firstLine="640" w:firstLineChars="200"/>
        <w:rPr>
          <w:rFonts w:eastAsia="仿宋_GB2312"/>
          <w:color w:val="000000"/>
          <w:sz w:val="32"/>
          <w:szCs w:val="32"/>
        </w:rPr>
      </w:pPr>
      <w:r>
        <w:rPr>
          <w:rFonts w:eastAsia="黑体"/>
          <w:color w:val="000000"/>
          <w:sz w:val="32"/>
          <w:szCs w:val="32"/>
        </w:rPr>
        <w:t>第</w:t>
      </w:r>
      <w:r>
        <w:rPr>
          <w:rFonts w:eastAsia="黑体"/>
          <w:color w:val="000000"/>
          <w:kern w:val="0"/>
          <w:sz w:val="32"/>
          <w:szCs w:val="32"/>
        </w:rPr>
        <w:t>二十</w:t>
      </w:r>
      <w:r>
        <w:rPr>
          <w:rFonts w:hint="eastAsia" w:ascii="Calibri" w:hAnsi="Calibri" w:eastAsia="黑体"/>
          <w:color w:val="000000"/>
          <w:kern w:val="0"/>
          <w:sz w:val="32"/>
          <w:szCs w:val="32"/>
        </w:rPr>
        <w:t>六</w:t>
      </w:r>
      <w:r>
        <w:rPr>
          <w:rFonts w:eastAsia="黑体"/>
          <w:color w:val="000000"/>
          <w:sz w:val="32"/>
          <w:szCs w:val="32"/>
        </w:rPr>
        <w:t>条</w:t>
      </w:r>
      <w:r>
        <w:rPr>
          <w:rFonts w:eastAsia="仿宋_GB2312"/>
          <w:color w:val="000000"/>
          <w:sz w:val="32"/>
          <w:szCs w:val="32"/>
        </w:rPr>
        <w:t xml:space="preserve">  绿色矿山企业应主动接受社会监督，建立重大环境、健康、安全和社会风险事件投诉回应机制，及时受理并回应所在地民众、社会团体和其他利益相关者的诉求</w:t>
      </w:r>
      <w:r>
        <w:rPr>
          <w:rFonts w:hint="eastAsia" w:ascii="Calibri" w:hAnsi="Calibri" w:eastAsia="仿宋_GB2312"/>
          <w:color w:val="000000"/>
          <w:sz w:val="32"/>
          <w:szCs w:val="32"/>
        </w:rPr>
        <w:t>，</w:t>
      </w:r>
      <w:r>
        <w:rPr>
          <w:rFonts w:eastAsia="仿宋_GB2312"/>
          <w:color w:val="000000"/>
          <w:sz w:val="32"/>
          <w:szCs w:val="32"/>
        </w:rPr>
        <w:t>树立良好企业形象。</w:t>
      </w:r>
    </w:p>
    <w:p w14:paraId="77353B64">
      <w:pPr>
        <w:keepNext/>
        <w:keepLines/>
        <w:spacing w:before="312" w:beforeLines="100" w:after="312" w:afterLines="100" w:line="240" w:lineRule="auto"/>
        <w:jc w:val="center"/>
        <w:outlineLvl w:val="0"/>
        <w:rPr>
          <w:rFonts w:eastAsia="黑体"/>
          <w:color w:val="000000"/>
          <w:kern w:val="0"/>
          <w:sz w:val="32"/>
          <w:szCs w:val="32"/>
        </w:rPr>
      </w:pPr>
      <w:r>
        <w:rPr>
          <w:rFonts w:eastAsia="黑体"/>
          <w:color w:val="000000"/>
          <w:kern w:val="0"/>
          <w:sz w:val="32"/>
          <w:szCs w:val="32"/>
        </w:rPr>
        <w:t>第</w:t>
      </w:r>
      <w:r>
        <w:rPr>
          <w:rFonts w:hint="eastAsia" w:eastAsia="黑体"/>
          <w:color w:val="000000"/>
          <w:kern w:val="0"/>
          <w:sz w:val="32"/>
          <w:szCs w:val="32"/>
        </w:rPr>
        <w:t>六</w:t>
      </w:r>
      <w:r>
        <w:rPr>
          <w:rFonts w:eastAsia="黑体"/>
          <w:color w:val="000000"/>
          <w:kern w:val="0"/>
          <w:sz w:val="32"/>
          <w:szCs w:val="32"/>
        </w:rPr>
        <w:t>章  附则</w:t>
      </w:r>
    </w:p>
    <w:p w14:paraId="5F13AB27">
      <w:pPr>
        <w:autoSpaceDE w:val="0"/>
        <w:autoSpaceDN w:val="0"/>
        <w:adjustRightInd w:val="0"/>
        <w:ind w:firstLine="640" w:firstLineChars="200"/>
        <w:rPr>
          <w:rFonts w:eastAsia="仿宋_GB2312"/>
          <w:color w:val="000000"/>
          <w:spacing w:val="-10"/>
          <w:kern w:val="0"/>
          <w:sz w:val="32"/>
          <w:szCs w:val="32"/>
        </w:rPr>
      </w:pPr>
      <w:r>
        <w:rPr>
          <w:rFonts w:eastAsia="黑体"/>
          <w:color w:val="000000"/>
          <w:kern w:val="0"/>
          <w:sz w:val="32"/>
          <w:szCs w:val="32"/>
        </w:rPr>
        <w:t>第二十</w:t>
      </w:r>
      <w:r>
        <w:rPr>
          <w:rFonts w:hint="eastAsia" w:ascii="Calibri" w:hAnsi="Calibri" w:eastAsia="黑体"/>
          <w:color w:val="000000"/>
          <w:kern w:val="0"/>
          <w:sz w:val="32"/>
          <w:szCs w:val="32"/>
        </w:rPr>
        <w:t>七</w:t>
      </w:r>
      <w:r>
        <w:rPr>
          <w:rFonts w:eastAsia="黑体"/>
          <w:color w:val="000000"/>
          <w:kern w:val="0"/>
          <w:sz w:val="32"/>
          <w:szCs w:val="32"/>
        </w:rPr>
        <w:t xml:space="preserve">条  </w:t>
      </w:r>
      <w:r>
        <w:rPr>
          <w:rFonts w:eastAsia="仿宋_GB2312"/>
          <w:color w:val="000000"/>
          <w:spacing w:val="-10"/>
          <w:kern w:val="0"/>
          <w:sz w:val="32"/>
          <w:szCs w:val="32"/>
        </w:rPr>
        <w:t>本办法自发布之日起施行，有效期至20</w:t>
      </w:r>
      <w:r>
        <w:rPr>
          <w:rFonts w:hint="default" w:ascii="Times New Roman" w:hAnsi="Times New Roman" w:eastAsia="仿宋_GB2312"/>
          <w:color w:val="000000"/>
          <w:spacing w:val="-10"/>
          <w:kern w:val="0"/>
          <w:sz w:val="32"/>
          <w:szCs w:val="32"/>
        </w:rPr>
        <w:t>30</w:t>
      </w:r>
      <w:r>
        <w:rPr>
          <w:rFonts w:eastAsia="仿宋_GB2312"/>
          <w:color w:val="000000"/>
          <w:spacing w:val="-10"/>
          <w:kern w:val="0"/>
          <w:sz w:val="32"/>
          <w:szCs w:val="32"/>
        </w:rPr>
        <w:t>年。</w:t>
      </w:r>
    </w:p>
    <w:p w14:paraId="401CC757">
      <w:pPr>
        <w:spacing w:line="500" w:lineRule="exact"/>
        <w:ind w:firstLine="640" w:firstLineChars="200"/>
        <w:rPr>
          <w:rFonts w:eastAsia="仿宋_GB2312"/>
          <w:color w:val="000000"/>
          <w:kern w:val="0"/>
          <w:sz w:val="32"/>
          <w:szCs w:val="32"/>
        </w:rPr>
      </w:pPr>
    </w:p>
    <w:p w14:paraId="275E4D67">
      <w:pPr>
        <w:spacing w:line="500" w:lineRule="exact"/>
        <w:ind w:firstLine="640" w:firstLineChars="200"/>
        <w:rPr>
          <w:rFonts w:eastAsia="仿宋_GB2312"/>
          <w:color w:val="000000"/>
          <w:kern w:val="0"/>
          <w:sz w:val="32"/>
          <w:szCs w:val="32"/>
        </w:rPr>
      </w:pPr>
      <w:r>
        <w:rPr>
          <w:rFonts w:eastAsia="仿宋_GB2312"/>
          <w:color w:val="000000"/>
          <w:kern w:val="0"/>
          <w:sz w:val="32"/>
          <w:szCs w:val="32"/>
        </w:rPr>
        <w:t>附件：1</w:t>
      </w:r>
      <w:r>
        <w:rPr>
          <w:rFonts w:eastAsia="仿宋_GB2312"/>
          <w:color w:val="000000"/>
          <w:sz w:val="32"/>
          <w:szCs w:val="32"/>
        </w:rPr>
        <w:t>．</w:t>
      </w:r>
      <w:r>
        <w:rPr>
          <w:rFonts w:hint="default" w:ascii="Times New Roman" w:hAnsi="Times New Roman" w:eastAsia="仿宋_GB2312"/>
          <w:color w:val="000000"/>
          <w:kern w:val="0"/>
          <w:sz w:val="32"/>
          <w:szCs w:val="32"/>
        </w:rPr>
        <w:t>湖南省</w:t>
      </w:r>
      <w:r>
        <w:rPr>
          <w:rFonts w:eastAsia="仿宋_GB2312"/>
          <w:color w:val="000000"/>
          <w:kern w:val="0"/>
          <w:sz w:val="32"/>
          <w:szCs w:val="32"/>
        </w:rPr>
        <w:t>绿色矿山建设评价指标</w:t>
      </w:r>
    </w:p>
    <w:p w14:paraId="7D834FDF">
      <w:pPr>
        <w:numPr>
          <w:ilvl w:val="0"/>
          <w:numId w:val="0"/>
        </w:numPr>
        <w:spacing w:line="500" w:lineRule="exact"/>
        <w:ind w:left="0" w:firstLine="1600" w:firstLineChars="500"/>
        <w:rPr>
          <w:rFonts w:eastAsia="仿宋_GB2312"/>
          <w:color w:val="000000"/>
          <w:kern w:val="0"/>
          <w:sz w:val="32"/>
          <w:szCs w:val="32"/>
        </w:rPr>
      </w:pPr>
      <w:r>
        <w:rPr>
          <w:rFonts w:eastAsia="仿宋_GB2312"/>
          <w:color w:val="000000"/>
          <w:kern w:val="0"/>
          <w:sz w:val="32"/>
          <w:szCs w:val="32"/>
        </w:rPr>
        <w:t>2．湖南省绿色矿山申报表</w:t>
      </w:r>
    </w:p>
    <w:p w14:paraId="7D072DD3">
      <w:pPr>
        <w:numPr>
          <w:ilvl w:val="0"/>
          <w:numId w:val="0"/>
        </w:numPr>
        <w:spacing w:line="500" w:lineRule="exact"/>
        <w:ind w:left="0" w:firstLine="1600" w:firstLineChars="500"/>
        <w:rPr>
          <w:rFonts w:eastAsia="仿宋_GB2312"/>
          <w:color w:val="000000"/>
          <w:kern w:val="0"/>
          <w:sz w:val="32"/>
          <w:szCs w:val="32"/>
        </w:rPr>
      </w:pPr>
      <w:r>
        <w:rPr>
          <w:rFonts w:eastAsia="仿宋_GB2312"/>
          <w:color w:val="000000"/>
          <w:kern w:val="0"/>
          <w:sz w:val="32"/>
          <w:szCs w:val="32"/>
        </w:rPr>
        <w:t>3．湖南省绿色矿山申报初审、复审意见表</w:t>
      </w:r>
    </w:p>
    <w:p w14:paraId="367CC0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1576" w:firstLineChars="512"/>
        <w:textAlignment w:val="auto"/>
        <w:rPr>
          <w:rFonts w:eastAsia="仿宋_GB2312"/>
          <w:color w:val="000000"/>
          <w:spacing w:val="-6"/>
          <w:kern w:val="0"/>
          <w:sz w:val="32"/>
          <w:szCs w:val="32"/>
        </w:rPr>
      </w:pPr>
      <w:r>
        <w:rPr>
          <w:rFonts w:eastAsia="仿宋_GB2312"/>
          <w:color w:val="000000"/>
          <w:spacing w:val="-6"/>
          <w:kern w:val="0"/>
          <w:sz w:val="32"/>
          <w:szCs w:val="32"/>
        </w:rPr>
        <w:t>4．湖南省绿色矿山第三方评估管理办法</w:t>
      </w:r>
    </w:p>
    <w:p w14:paraId="69574975">
      <w:pPr>
        <w:spacing w:line="500" w:lineRule="exact"/>
        <w:ind w:firstLine="1600" w:firstLineChars="500"/>
        <w:rPr>
          <w:rFonts w:eastAsia="仿宋_GB2312"/>
          <w:color w:val="000000"/>
          <w:kern w:val="0"/>
          <w:sz w:val="32"/>
          <w:szCs w:val="32"/>
        </w:rPr>
      </w:pPr>
      <w:r>
        <w:rPr>
          <w:rFonts w:hint="default" w:ascii="Times New Roman" w:hAnsi="Times New Roman" w:eastAsia="仿宋_GB2312"/>
          <w:color w:val="000000"/>
          <w:kern w:val="0"/>
          <w:sz w:val="32"/>
          <w:szCs w:val="32"/>
        </w:rPr>
        <w:t>5</w:t>
      </w:r>
      <w:r>
        <w:rPr>
          <w:rFonts w:eastAsia="仿宋_GB2312"/>
          <w:color w:val="000000"/>
          <w:sz w:val="32"/>
          <w:szCs w:val="32"/>
        </w:rPr>
        <w:t>．</w:t>
      </w:r>
      <w:r>
        <w:rPr>
          <w:rFonts w:hint="default" w:ascii="Times New Roman" w:hAnsi="Times New Roman" w:eastAsia="仿宋_GB2312"/>
          <w:color w:val="000000"/>
          <w:sz w:val="32"/>
          <w:szCs w:val="32"/>
        </w:rPr>
        <w:t>承</w:t>
      </w:r>
      <w:r>
        <w:rPr>
          <w:rFonts w:hint="eastAsia" w:ascii="Calibri" w:hAnsi="Calibri" w:eastAsia="仿宋_GB2312"/>
          <w:color w:val="000000"/>
          <w:sz w:val="32"/>
          <w:szCs w:val="32"/>
        </w:rPr>
        <w:t>诺书</w:t>
      </w:r>
    </w:p>
    <w:p w14:paraId="7C53096D">
      <w:pPr>
        <w:spacing w:line="500" w:lineRule="exact"/>
        <w:ind w:firstLine="1600" w:firstLineChars="500"/>
        <w:rPr>
          <w:rFonts w:eastAsia="仿宋_GB2312"/>
          <w:color w:val="000000"/>
          <w:sz w:val="32"/>
          <w:szCs w:val="32"/>
        </w:rPr>
        <w:sectPr>
          <w:footerReference r:id="rId3" w:type="default"/>
          <w:footerReference r:id="rId4" w:type="even"/>
          <w:pgSz w:w="11906" w:h="16838"/>
          <w:pgMar w:top="1440" w:right="1797" w:bottom="1440" w:left="1797" w:header="851" w:footer="992" w:gutter="0"/>
          <w:pgNumType w:fmt="decimal"/>
          <w:cols w:space="720" w:num="1"/>
          <w:titlePg/>
          <w:docGrid w:type="linesAndChars" w:linePitch="312" w:charSpace="0"/>
        </w:sectPr>
      </w:pPr>
      <w:r>
        <w:rPr>
          <w:rFonts w:hint="eastAsia" w:eastAsia="仿宋_GB2312"/>
          <w:color w:val="000000"/>
          <w:sz w:val="32"/>
          <w:szCs w:val="32"/>
        </w:rPr>
        <w:t>6</w:t>
      </w:r>
      <w:r>
        <w:rPr>
          <w:rFonts w:eastAsia="仿宋_GB2312"/>
          <w:color w:val="000000"/>
          <w:sz w:val="32"/>
          <w:szCs w:val="32"/>
        </w:rPr>
        <w:t>．</w:t>
      </w:r>
      <w:r>
        <w:rPr>
          <w:rFonts w:eastAsia="仿宋_GB2312"/>
          <w:color w:val="000000"/>
          <w:kern w:val="0"/>
          <w:sz w:val="32"/>
          <w:szCs w:val="32"/>
        </w:rPr>
        <w:t>湖南省绿色矿山第三方评估报告（参考模</w:t>
      </w:r>
      <w:r>
        <w:rPr>
          <w:rFonts w:ascii="Calibri" w:hAnsi="Calibri" w:eastAsia="仿宋_GB2312"/>
          <w:color w:val="000000"/>
          <w:kern w:val="0"/>
          <w:sz w:val="32"/>
          <w:szCs w:val="32"/>
        </w:rPr>
        <w:t>板</w:t>
      </w:r>
      <w:r>
        <w:rPr>
          <w:rFonts w:eastAsia="仿宋_GB2312"/>
          <w:color w:val="000000"/>
          <w:kern w:val="0"/>
          <w:sz w:val="32"/>
          <w:szCs w:val="32"/>
        </w:rPr>
        <w:t>）</w:t>
      </w:r>
    </w:p>
    <w:p w14:paraId="67F046C9">
      <w:pPr>
        <w:pStyle w:val="4"/>
        <w:spacing w:before="0" w:after="0"/>
        <w:jc w:val="both"/>
        <w:rPr>
          <w:rFonts w:hint="eastAsia" w:ascii="黑体" w:hAnsi="黑体" w:eastAsia="黑体" w:cs="黑体"/>
          <w:b w:val="0"/>
          <w:color w:val="000000"/>
          <w:highlight w:val="none"/>
        </w:rPr>
      </w:pPr>
      <w:r>
        <w:rPr>
          <w:rFonts w:hint="eastAsia" w:ascii="黑体" w:hAnsi="黑体" w:eastAsia="黑体" w:cs="黑体"/>
          <w:b w:val="0"/>
          <w:color w:val="000000"/>
          <w:highlight w:val="none"/>
        </w:rPr>
        <w:t>附件</w:t>
      </w:r>
      <w:r>
        <w:rPr>
          <w:rFonts w:hint="default" w:ascii="Times New Roman" w:hAnsi="Times New Roman" w:eastAsia="黑体" w:cs="Times New Roman"/>
          <w:b w:val="0"/>
          <w:color w:val="000000"/>
          <w:highlight w:val="none"/>
        </w:rPr>
        <w:t>1</w:t>
      </w:r>
    </w:p>
    <w:p w14:paraId="46CBCDB4">
      <w:pPr>
        <w:keepNext w:val="0"/>
        <w:keepLines w:val="0"/>
        <w:pageBreakBefore w:val="0"/>
        <w:kinsoku/>
        <w:wordWrap/>
        <w:overflowPunct/>
        <w:topLinePunct w:val="0"/>
        <w:autoSpaceDE/>
        <w:autoSpaceDN/>
        <w:bidi w:val="0"/>
        <w:adjustRightInd w:val="0"/>
        <w:snapToGrid w:val="0"/>
        <w:jc w:val="center"/>
        <w:textAlignment w:val="auto"/>
        <w:outlineLvl w:val="0"/>
        <w:rPr>
          <w:rFonts w:ascii="Calibri" w:hAnsi="Calibri" w:cs="Calibri"/>
          <w:color w:val="000000"/>
          <w:kern w:val="0"/>
          <w:sz w:val="44"/>
          <w:szCs w:val="44"/>
        </w:rPr>
      </w:pPr>
      <w:r>
        <w:rPr>
          <w:rFonts w:hint="eastAsia" w:ascii="方正小标宋简体" w:hAnsi="方正小标宋简体" w:eastAsia="方正小标宋简体" w:cs="方正小标宋简体"/>
          <w:bCs/>
          <w:color w:val="000000"/>
          <w:kern w:val="0"/>
          <w:sz w:val="44"/>
          <w:szCs w:val="44"/>
          <w:lang w:bidi="ar"/>
        </w:rPr>
        <w:t>湖南省绿色矿山建设评价指标</w:t>
      </w:r>
    </w:p>
    <w:p w14:paraId="6887D75F">
      <w:pPr>
        <w:rPr>
          <w:rFonts w:ascii="Calibri" w:hAnsi="Calibri"/>
          <w:color w:val="000000"/>
        </w:rPr>
      </w:pPr>
    </w:p>
    <w:tbl>
      <w:tblPr>
        <w:tblStyle w:val="5"/>
        <w:tblW w:w="15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4"/>
        <w:gridCol w:w="7104"/>
        <w:gridCol w:w="5844"/>
      </w:tblGrid>
      <w:tr w14:paraId="606B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2124" w:type="dxa"/>
            <w:noWrap w:val="0"/>
            <w:tcMar>
              <w:top w:w="12" w:type="dxa"/>
              <w:left w:w="12" w:type="dxa"/>
              <w:right w:w="12" w:type="dxa"/>
            </w:tcMar>
            <w:vAlign w:val="center"/>
          </w:tcPr>
          <w:p w14:paraId="06B280BD">
            <w:pPr>
              <w:widowControl/>
              <w:jc w:val="center"/>
              <w:textAlignment w:val="center"/>
              <w:rPr>
                <w:rFonts w:eastAsia="仿宋_GB2312"/>
                <w:b/>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先决条件</w:t>
            </w:r>
          </w:p>
        </w:tc>
        <w:tc>
          <w:tcPr>
            <w:tcW w:w="7104" w:type="dxa"/>
            <w:noWrap w:val="0"/>
            <w:tcMar>
              <w:top w:w="12" w:type="dxa"/>
              <w:left w:w="12" w:type="dxa"/>
              <w:right w:w="12" w:type="dxa"/>
            </w:tcMar>
            <w:vAlign w:val="center"/>
          </w:tcPr>
          <w:p w14:paraId="37F418D5">
            <w:pPr>
              <w:widowControl/>
              <w:jc w:val="center"/>
              <w:textAlignment w:val="center"/>
              <w:rPr>
                <w:rFonts w:eastAsia="仿宋_GB2312"/>
                <w:b/>
                <w:color w:val="000000"/>
                <w:kern w:val="0"/>
                <w:sz w:val="21"/>
                <w:szCs w:val="21"/>
                <w:lang w:val="en-US" w:eastAsia="zh-CN" w:bidi="ar"/>
              </w:rPr>
            </w:pPr>
            <w:r>
              <w:rPr>
                <w:rFonts w:hint="eastAsia" w:ascii="黑体" w:hAnsi="黑体" w:eastAsia="黑体" w:cs="黑体"/>
                <w:bCs/>
                <w:color w:val="000000"/>
                <w:kern w:val="0"/>
                <w:sz w:val="21"/>
                <w:szCs w:val="21"/>
                <w:lang w:val="en-US" w:eastAsia="zh-CN" w:bidi="ar"/>
              </w:rPr>
              <w:t>要求</w:t>
            </w:r>
          </w:p>
        </w:tc>
        <w:tc>
          <w:tcPr>
            <w:tcW w:w="5844" w:type="dxa"/>
            <w:noWrap w:val="0"/>
            <w:tcMar>
              <w:top w:w="12" w:type="dxa"/>
              <w:left w:w="12" w:type="dxa"/>
              <w:right w:w="12" w:type="dxa"/>
            </w:tcMar>
            <w:vAlign w:val="center"/>
          </w:tcPr>
          <w:p w14:paraId="70DE735F">
            <w:pPr>
              <w:widowControl/>
              <w:jc w:val="center"/>
              <w:textAlignment w:val="center"/>
              <w:rPr>
                <w:rFonts w:hint="eastAsia" w:eastAsia="黑体"/>
                <w:b/>
                <w:color w:val="000000"/>
                <w:kern w:val="0"/>
                <w:sz w:val="21"/>
                <w:szCs w:val="21"/>
                <w:lang w:val="en-US" w:eastAsia="zh-CN" w:bidi="ar"/>
              </w:rPr>
            </w:pPr>
            <w:r>
              <w:rPr>
                <w:rFonts w:hint="eastAsia" w:eastAsia="黑体"/>
                <w:bCs/>
                <w:color w:val="000000"/>
                <w:kern w:val="0"/>
                <w:sz w:val="21"/>
                <w:szCs w:val="21"/>
                <w:lang w:val="en-US" w:eastAsia="zh-CN" w:bidi="ar"/>
              </w:rPr>
              <w:t>说明</w:t>
            </w:r>
          </w:p>
        </w:tc>
      </w:tr>
      <w:tr w14:paraId="60B9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2124" w:type="dxa"/>
            <w:noWrap w:val="0"/>
            <w:tcMar>
              <w:top w:w="12" w:type="dxa"/>
              <w:left w:w="12" w:type="dxa"/>
              <w:right w:w="12" w:type="dxa"/>
            </w:tcMar>
            <w:vAlign w:val="center"/>
          </w:tcPr>
          <w:p w14:paraId="4391D87E">
            <w:pPr>
              <w:widowControl/>
              <w:adjustRightInd w:val="0"/>
              <w:snapToGrid w:val="0"/>
              <w:jc w:val="center"/>
              <w:rPr>
                <w:rFonts w:hint="eastAsia" w:eastAsia="仿宋_GB2312"/>
                <w:color w:val="000000"/>
                <w:kern w:val="0"/>
                <w:sz w:val="21"/>
                <w:szCs w:val="21"/>
                <w:lang w:val="en-US" w:eastAsia="zh-CN" w:bidi="ar-SA"/>
              </w:rPr>
            </w:pPr>
            <w:r>
              <w:rPr>
                <w:rFonts w:eastAsia="仿宋_GB2312"/>
                <w:color w:val="000000"/>
                <w:kern w:val="0"/>
                <w:sz w:val="21"/>
                <w:szCs w:val="21"/>
                <w:lang w:val="en-US" w:eastAsia="zh-CN" w:bidi="ar-SA"/>
              </w:rPr>
              <w:t>手续齐全</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证照合法有效</w:t>
            </w:r>
          </w:p>
        </w:tc>
        <w:tc>
          <w:tcPr>
            <w:tcW w:w="7104" w:type="dxa"/>
            <w:noWrap w:val="0"/>
            <w:tcMar>
              <w:top w:w="12" w:type="dxa"/>
              <w:left w:w="12" w:type="dxa"/>
              <w:right w:w="12" w:type="dxa"/>
            </w:tcMar>
            <w:vAlign w:val="center"/>
          </w:tcPr>
          <w:p w14:paraId="747F2EF8">
            <w:pPr>
              <w:widowControl/>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《采矿许可证》《安全生产许可证》《营业执照》证照合法有效</w:t>
            </w:r>
            <w:r>
              <w:rPr>
                <w:rFonts w:hint="eastAsia" w:eastAsia="仿宋_GB2312"/>
                <w:color w:val="000000"/>
                <w:kern w:val="0"/>
                <w:sz w:val="21"/>
                <w:szCs w:val="21"/>
                <w:lang w:val="en-US" w:eastAsia="zh-CN" w:bidi="ar-SA"/>
              </w:rPr>
              <w:t>，依法办理环评和排污许可手续，并依法完成竣工环保验收</w:t>
            </w:r>
            <w:r>
              <w:rPr>
                <w:rFonts w:eastAsia="仿宋_GB2312"/>
                <w:color w:val="000000"/>
                <w:kern w:val="0"/>
                <w:sz w:val="21"/>
                <w:szCs w:val="21"/>
                <w:lang w:val="en-US" w:eastAsia="zh-CN" w:bidi="ar-SA"/>
              </w:rPr>
              <w:t>。</w:t>
            </w:r>
          </w:p>
        </w:tc>
        <w:tc>
          <w:tcPr>
            <w:tcW w:w="5844" w:type="dxa"/>
            <w:vMerge w:val="restart"/>
            <w:noWrap w:val="0"/>
            <w:tcMar>
              <w:top w:w="12" w:type="dxa"/>
              <w:left w:w="12" w:type="dxa"/>
              <w:right w:w="12" w:type="dxa"/>
            </w:tcMar>
            <w:vAlign w:val="center"/>
          </w:tcPr>
          <w:p w14:paraId="45AACC42">
            <w:pPr>
              <w:widowControl/>
              <w:jc w:val="left"/>
              <w:textAlignment w:val="top"/>
              <w:rPr>
                <w:rFonts w:eastAsia="仿宋_GB2312"/>
                <w:color w:val="000000"/>
                <w:kern w:val="0"/>
                <w:sz w:val="21"/>
                <w:szCs w:val="21"/>
                <w:lang w:val="en-US" w:eastAsia="zh-CN" w:bidi="ar"/>
              </w:rPr>
            </w:pPr>
            <w:r>
              <w:rPr>
                <w:rFonts w:eastAsia="仿宋_GB2312"/>
                <w:color w:val="000000"/>
                <w:kern w:val="0"/>
                <w:sz w:val="21"/>
                <w:szCs w:val="21"/>
                <w:lang w:val="en-US" w:eastAsia="zh-CN" w:bidi="ar"/>
              </w:rPr>
              <w:br w:type="textWrapping"/>
            </w:r>
            <w:r>
              <w:rPr>
                <w:rFonts w:eastAsia="仿宋_GB2312"/>
                <w:color w:val="000000"/>
                <w:kern w:val="0"/>
                <w:sz w:val="21"/>
                <w:szCs w:val="21"/>
                <w:lang w:val="en-US" w:eastAsia="zh-CN" w:bidi="ar"/>
              </w:rPr>
              <w:t xml:space="preserve">               合格    </w:t>
            </w:r>
            <w:r>
              <w:rPr>
                <w:rFonts w:hint="eastAsia" w:ascii="仿宋_GB2312" w:hAnsi="仿宋_GB2312" w:eastAsia="仿宋_GB2312" w:cs="仿宋_GB2312"/>
                <w:color w:val="000000"/>
                <w:kern w:val="0"/>
                <w:sz w:val="21"/>
                <w:szCs w:val="21"/>
                <w:lang w:val="en-US" w:eastAsia="zh-CN" w:bidi="ar"/>
              </w:rPr>
              <w:t>□</w:t>
            </w:r>
            <w:r>
              <w:rPr>
                <w:rFonts w:hint="eastAsia" w:ascii="仿宋_GB2312" w:hAnsi="仿宋_GB2312" w:eastAsia="仿宋_GB2312" w:cs="仿宋_GB2312"/>
                <w:color w:val="000000"/>
                <w:kern w:val="0"/>
                <w:sz w:val="21"/>
                <w:szCs w:val="21"/>
                <w:lang w:val="en-US" w:eastAsia="zh-CN" w:bidi="ar"/>
              </w:rPr>
              <w:br w:type="textWrapping"/>
            </w:r>
            <w:r>
              <w:rPr>
                <w:rFonts w:hint="eastAsia" w:ascii="仿宋_GB2312" w:hAnsi="仿宋_GB2312" w:eastAsia="仿宋_GB2312" w:cs="仿宋_GB2312"/>
                <w:color w:val="000000"/>
                <w:kern w:val="0"/>
                <w:sz w:val="21"/>
                <w:szCs w:val="21"/>
                <w:lang w:val="en-US" w:eastAsia="zh-CN" w:bidi="ar"/>
              </w:rPr>
              <w:t xml:space="preserve">             不合格    □</w:t>
            </w:r>
          </w:p>
          <w:p w14:paraId="1550609C">
            <w:pPr>
              <w:widowControl/>
              <w:jc w:val="left"/>
              <w:textAlignment w:val="top"/>
              <w:rPr>
                <w:rFonts w:eastAsia="仿宋_GB2312"/>
                <w:color w:val="000000"/>
                <w:kern w:val="0"/>
                <w:sz w:val="21"/>
                <w:szCs w:val="21"/>
                <w:lang w:val="en-US" w:eastAsia="zh-CN" w:bidi="ar-SA"/>
              </w:rPr>
            </w:pPr>
          </w:p>
          <w:p w14:paraId="38E291F9">
            <w:pPr>
              <w:widowControl/>
              <w:jc w:val="center"/>
              <w:textAlignment w:val="top"/>
              <w:rPr>
                <w:rFonts w:eastAsia="仿宋_GB2312"/>
                <w:b/>
                <w:color w:val="000000"/>
                <w:kern w:val="0"/>
                <w:sz w:val="21"/>
                <w:szCs w:val="21"/>
                <w:lang w:val="en-US" w:eastAsia="zh-CN" w:bidi="ar"/>
              </w:rPr>
            </w:pPr>
            <w:r>
              <w:rPr>
                <w:rFonts w:eastAsia="仿宋_GB2312"/>
                <w:color w:val="000000"/>
                <w:kern w:val="0"/>
                <w:sz w:val="21"/>
                <w:szCs w:val="21"/>
                <w:lang w:val="en-US" w:eastAsia="zh-CN" w:bidi="ar-SA"/>
              </w:rPr>
              <w:t>满足所有先决条件方可进行打分评价</w:t>
            </w:r>
            <w:r>
              <w:rPr>
                <w:rFonts w:hint="eastAsia" w:eastAsia="仿宋_GB2312"/>
                <w:color w:val="000000"/>
                <w:kern w:val="0"/>
                <w:sz w:val="21"/>
                <w:szCs w:val="21"/>
                <w:lang w:val="en-US" w:eastAsia="zh-CN" w:bidi="ar-SA"/>
              </w:rPr>
              <w:t>，其中1条不满足的，即为不合格。</w:t>
            </w:r>
          </w:p>
        </w:tc>
      </w:tr>
      <w:tr w14:paraId="379D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124" w:type="dxa"/>
            <w:noWrap w:val="0"/>
            <w:tcMar>
              <w:top w:w="12" w:type="dxa"/>
              <w:left w:w="12" w:type="dxa"/>
              <w:right w:w="12" w:type="dxa"/>
            </w:tcMar>
            <w:vAlign w:val="center"/>
          </w:tcPr>
          <w:p w14:paraId="292F1BA9">
            <w:pPr>
              <w:widowControl/>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三年内未受行政处罚</w:t>
            </w:r>
          </w:p>
          <w:p w14:paraId="31B62A15">
            <w:pPr>
              <w:widowControl/>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或已整改到位</w:t>
            </w:r>
          </w:p>
        </w:tc>
        <w:tc>
          <w:tcPr>
            <w:tcW w:w="7104" w:type="dxa"/>
            <w:noWrap w:val="0"/>
            <w:tcMar>
              <w:top w:w="12" w:type="dxa"/>
              <w:left w:w="12" w:type="dxa"/>
              <w:right w:w="12" w:type="dxa"/>
            </w:tcMar>
            <w:vAlign w:val="center"/>
          </w:tcPr>
          <w:p w14:paraId="1848A236">
            <w:pPr>
              <w:widowControl/>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近三年内（自遴选通知下发之日起前三年），未受到自然资源和生态环境等部门行政处罚，或受到处罚</w:t>
            </w:r>
            <w:r>
              <w:rPr>
                <w:rFonts w:hint="eastAsia" w:eastAsia="仿宋_GB2312"/>
                <w:color w:val="000000"/>
                <w:kern w:val="0"/>
                <w:sz w:val="21"/>
                <w:szCs w:val="21"/>
                <w:lang w:val="en-US" w:eastAsia="zh-CN" w:bidi="ar-SA"/>
              </w:rPr>
              <w:t>在履行期限内</w:t>
            </w:r>
            <w:r>
              <w:rPr>
                <w:rFonts w:eastAsia="仿宋_GB2312"/>
                <w:color w:val="000000"/>
                <w:kern w:val="0"/>
                <w:sz w:val="21"/>
                <w:szCs w:val="21"/>
                <w:lang w:val="en-US" w:eastAsia="zh-CN" w:bidi="ar-SA"/>
              </w:rPr>
              <w:t>已执行到位（出具</w:t>
            </w:r>
            <w:r>
              <w:rPr>
                <w:rFonts w:hint="eastAsia" w:eastAsia="仿宋_GB2312"/>
                <w:color w:val="000000"/>
                <w:kern w:val="0"/>
                <w:sz w:val="21"/>
                <w:szCs w:val="21"/>
                <w:lang w:val="en-US" w:eastAsia="zh-CN" w:bidi="ar-SA"/>
              </w:rPr>
              <w:t>相关</w:t>
            </w:r>
            <w:r>
              <w:rPr>
                <w:rFonts w:eastAsia="仿宋_GB2312"/>
                <w:color w:val="000000"/>
                <w:kern w:val="0"/>
                <w:sz w:val="21"/>
                <w:szCs w:val="21"/>
                <w:lang w:val="en-US" w:eastAsia="zh-CN" w:bidi="ar-SA"/>
              </w:rPr>
              <w:t>证明</w:t>
            </w:r>
            <w:r>
              <w:rPr>
                <w:rFonts w:hint="eastAsia" w:eastAsia="仿宋_GB2312"/>
                <w:color w:val="000000"/>
                <w:kern w:val="0"/>
                <w:sz w:val="21"/>
                <w:szCs w:val="21"/>
                <w:lang w:val="en-US" w:eastAsia="zh-CN" w:bidi="ar-SA"/>
              </w:rPr>
              <w:t>材料</w:t>
            </w:r>
            <w:r>
              <w:rPr>
                <w:rFonts w:eastAsia="仿宋_GB2312"/>
                <w:color w:val="000000"/>
                <w:kern w:val="0"/>
                <w:sz w:val="21"/>
                <w:szCs w:val="21"/>
                <w:lang w:val="en-US" w:eastAsia="zh-CN" w:bidi="ar-SA"/>
              </w:rPr>
              <w:t>），且未发生过</w:t>
            </w:r>
            <w:r>
              <w:rPr>
                <w:rFonts w:hint="eastAsia" w:eastAsia="仿宋_GB2312"/>
                <w:color w:val="000000"/>
                <w:kern w:val="0"/>
                <w:sz w:val="21"/>
                <w:szCs w:val="21"/>
                <w:lang w:val="en-US" w:eastAsia="zh-CN" w:bidi="ar-SA"/>
              </w:rPr>
              <w:t>较大</w:t>
            </w:r>
            <w:r>
              <w:rPr>
                <w:rFonts w:eastAsia="仿宋_GB2312"/>
                <w:color w:val="000000"/>
                <w:kern w:val="0"/>
                <w:sz w:val="21"/>
                <w:szCs w:val="21"/>
                <w:lang w:val="en-US" w:eastAsia="zh-CN" w:bidi="ar-SA"/>
              </w:rPr>
              <w:t>及以上安全生产事故</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环境事件的。</w:t>
            </w:r>
          </w:p>
        </w:tc>
        <w:tc>
          <w:tcPr>
            <w:tcW w:w="5844" w:type="dxa"/>
            <w:vMerge w:val="continue"/>
            <w:noWrap w:val="0"/>
            <w:tcMar>
              <w:top w:w="12" w:type="dxa"/>
              <w:left w:w="12" w:type="dxa"/>
              <w:right w:w="12" w:type="dxa"/>
            </w:tcMar>
            <w:vAlign w:val="center"/>
          </w:tcPr>
          <w:p w14:paraId="5B278F4A">
            <w:pPr>
              <w:widowControl/>
              <w:adjustRightInd w:val="0"/>
              <w:snapToGrid w:val="0"/>
              <w:jc w:val="center"/>
              <w:textAlignment w:val="center"/>
              <w:rPr>
                <w:rFonts w:eastAsia="仿宋_GB2312"/>
                <w:b/>
                <w:color w:val="000000"/>
                <w:kern w:val="0"/>
                <w:sz w:val="21"/>
                <w:szCs w:val="21"/>
                <w:lang w:val="en-US" w:eastAsia="zh-CN" w:bidi="ar"/>
              </w:rPr>
            </w:pPr>
          </w:p>
        </w:tc>
      </w:tr>
      <w:tr w14:paraId="4DE0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124" w:type="dxa"/>
            <w:noWrap w:val="0"/>
            <w:tcMar>
              <w:top w:w="12" w:type="dxa"/>
              <w:left w:w="12" w:type="dxa"/>
              <w:right w:w="12" w:type="dxa"/>
            </w:tcMar>
            <w:vAlign w:val="center"/>
          </w:tcPr>
          <w:p w14:paraId="03C10D27">
            <w:pPr>
              <w:widowControl/>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矿业权人异常名录</w:t>
            </w:r>
          </w:p>
        </w:tc>
        <w:tc>
          <w:tcPr>
            <w:tcW w:w="7104" w:type="dxa"/>
            <w:noWrap w:val="0"/>
            <w:tcMar>
              <w:top w:w="12" w:type="dxa"/>
              <w:left w:w="12" w:type="dxa"/>
              <w:right w:w="12" w:type="dxa"/>
            </w:tcMar>
            <w:vAlign w:val="center"/>
          </w:tcPr>
          <w:p w14:paraId="58B5B3E0">
            <w:pPr>
              <w:widowControl/>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矿山参加遴选期间，矿业权人未被列入矿业权人勘查开采信息公示异常名录。</w:t>
            </w:r>
          </w:p>
        </w:tc>
        <w:tc>
          <w:tcPr>
            <w:tcW w:w="5844" w:type="dxa"/>
            <w:vMerge w:val="continue"/>
            <w:noWrap w:val="0"/>
            <w:tcMar>
              <w:top w:w="12" w:type="dxa"/>
              <w:left w:w="12" w:type="dxa"/>
              <w:right w:w="12" w:type="dxa"/>
            </w:tcMar>
            <w:vAlign w:val="center"/>
          </w:tcPr>
          <w:p w14:paraId="4F8337A7">
            <w:pPr>
              <w:widowControl/>
              <w:adjustRightInd w:val="0"/>
              <w:snapToGrid w:val="0"/>
              <w:jc w:val="center"/>
              <w:textAlignment w:val="center"/>
              <w:rPr>
                <w:rFonts w:eastAsia="仿宋_GB2312"/>
                <w:b/>
                <w:color w:val="000000"/>
                <w:kern w:val="0"/>
                <w:sz w:val="21"/>
                <w:szCs w:val="21"/>
                <w:lang w:val="en-US" w:eastAsia="zh-CN" w:bidi="ar"/>
              </w:rPr>
            </w:pPr>
          </w:p>
        </w:tc>
      </w:tr>
      <w:tr w14:paraId="6DE3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2124" w:type="dxa"/>
            <w:noWrap w:val="0"/>
            <w:tcMar>
              <w:top w:w="12" w:type="dxa"/>
              <w:left w:w="12" w:type="dxa"/>
              <w:right w:w="12" w:type="dxa"/>
            </w:tcMar>
            <w:vAlign w:val="center"/>
          </w:tcPr>
          <w:p w14:paraId="5E655505">
            <w:pPr>
              <w:widowControl/>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矿山要求</w:t>
            </w:r>
          </w:p>
        </w:tc>
        <w:tc>
          <w:tcPr>
            <w:tcW w:w="7104" w:type="dxa"/>
            <w:noWrap w:val="0"/>
            <w:tcMar>
              <w:top w:w="12" w:type="dxa"/>
              <w:left w:w="12" w:type="dxa"/>
              <w:right w:w="12" w:type="dxa"/>
            </w:tcMar>
            <w:vAlign w:val="center"/>
          </w:tcPr>
          <w:p w14:paraId="68D124A7">
            <w:pPr>
              <w:widowControl/>
              <w:adjustRightInd w:val="0"/>
              <w:snapToGrid w:val="0"/>
              <w:jc w:val="left"/>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矿山近三年内</w:t>
            </w:r>
            <w:r>
              <w:rPr>
                <w:rFonts w:eastAsia="仿宋_GB2312"/>
                <w:color w:val="000000"/>
                <w:kern w:val="0"/>
                <w:sz w:val="21"/>
                <w:szCs w:val="21"/>
                <w:lang w:val="en-US" w:eastAsia="zh-CN" w:bidi="ar-SA"/>
              </w:rPr>
              <w:t>正常</w:t>
            </w:r>
            <w:r>
              <w:rPr>
                <w:rFonts w:hint="eastAsia" w:eastAsia="仿宋_GB2312"/>
                <w:color w:val="000000"/>
                <w:kern w:val="0"/>
                <w:sz w:val="21"/>
                <w:szCs w:val="21"/>
                <w:lang w:val="en-US" w:eastAsia="zh-CN" w:bidi="ar-SA"/>
              </w:rPr>
              <w:t>生产</w:t>
            </w:r>
            <w:r>
              <w:rPr>
                <w:rFonts w:eastAsia="仿宋_GB2312"/>
                <w:color w:val="000000"/>
                <w:kern w:val="0"/>
                <w:sz w:val="21"/>
                <w:szCs w:val="21"/>
                <w:lang w:val="en-US" w:eastAsia="zh-CN" w:bidi="ar-SA"/>
              </w:rPr>
              <w:t>运营，且剩余储量可采年限（按储量年度报告）不少于三年。</w:t>
            </w:r>
          </w:p>
        </w:tc>
        <w:tc>
          <w:tcPr>
            <w:tcW w:w="5844" w:type="dxa"/>
            <w:vMerge w:val="continue"/>
            <w:noWrap w:val="0"/>
            <w:tcMar>
              <w:top w:w="12" w:type="dxa"/>
              <w:left w:w="12" w:type="dxa"/>
              <w:right w:w="12" w:type="dxa"/>
            </w:tcMar>
            <w:vAlign w:val="center"/>
          </w:tcPr>
          <w:p w14:paraId="1B49024D">
            <w:pPr>
              <w:widowControl/>
              <w:adjustRightInd w:val="0"/>
              <w:snapToGrid w:val="0"/>
              <w:jc w:val="center"/>
              <w:textAlignment w:val="center"/>
              <w:rPr>
                <w:rFonts w:eastAsia="仿宋_GB2312"/>
                <w:b/>
                <w:color w:val="000000"/>
                <w:kern w:val="0"/>
                <w:sz w:val="21"/>
                <w:szCs w:val="21"/>
                <w:lang w:val="en-US" w:eastAsia="zh-CN" w:bidi="ar"/>
              </w:rPr>
            </w:pPr>
          </w:p>
        </w:tc>
      </w:tr>
      <w:tr w14:paraId="40D5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24" w:type="dxa"/>
            <w:noWrap w:val="0"/>
            <w:tcMar>
              <w:top w:w="12" w:type="dxa"/>
              <w:left w:w="12" w:type="dxa"/>
              <w:right w:w="12" w:type="dxa"/>
            </w:tcMar>
            <w:vAlign w:val="center"/>
          </w:tcPr>
          <w:p w14:paraId="45121AE8">
            <w:pPr>
              <w:widowControl/>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矿区范围</w:t>
            </w:r>
          </w:p>
        </w:tc>
        <w:tc>
          <w:tcPr>
            <w:tcW w:w="7104" w:type="dxa"/>
            <w:noWrap w:val="0"/>
            <w:tcMar>
              <w:top w:w="12" w:type="dxa"/>
              <w:left w:w="12" w:type="dxa"/>
              <w:right w:w="12" w:type="dxa"/>
            </w:tcMar>
            <w:vAlign w:val="center"/>
          </w:tcPr>
          <w:p w14:paraId="1AAB058B">
            <w:pPr>
              <w:widowControl/>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矿区范围未涉及</w:t>
            </w:r>
            <w:r>
              <w:rPr>
                <w:rFonts w:hint="eastAsia" w:eastAsia="仿宋_GB2312"/>
                <w:color w:val="000000"/>
                <w:kern w:val="0"/>
                <w:sz w:val="21"/>
                <w:szCs w:val="21"/>
                <w:lang w:val="en-US" w:eastAsia="zh-CN" w:bidi="ar-SA"/>
              </w:rPr>
              <w:t>生态保护红线（国家有规定的除外），符合国土空间规划及规划环评要求。</w:t>
            </w:r>
          </w:p>
        </w:tc>
        <w:tc>
          <w:tcPr>
            <w:tcW w:w="5844" w:type="dxa"/>
            <w:vMerge w:val="continue"/>
            <w:noWrap w:val="0"/>
            <w:tcMar>
              <w:top w:w="12" w:type="dxa"/>
              <w:left w:w="12" w:type="dxa"/>
              <w:right w:w="12" w:type="dxa"/>
            </w:tcMar>
            <w:vAlign w:val="center"/>
          </w:tcPr>
          <w:p w14:paraId="1BED7F43">
            <w:pPr>
              <w:widowControl/>
              <w:adjustRightInd w:val="0"/>
              <w:snapToGrid w:val="0"/>
              <w:jc w:val="center"/>
              <w:textAlignment w:val="center"/>
              <w:rPr>
                <w:rFonts w:eastAsia="仿宋_GB2312"/>
                <w:b/>
                <w:color w:val="000000"/>
                <w:kern w:val="0"/>
                <w:sz w:val="21"/>
                <w:szCs w:val="21"/>
                <w:lang w:val="en-US" w:eastAsia="zh-CN" w:bidi="ar"/>
              </w:rPr>
            </w:pPr>
          </w:p>
        </w:tc>
      </w:tr>
    </w:tbl>
    <w:p w14:paraId="359E692D">
      <w:pPr>
        <w:rPr>
          <w:rFonts w:ascii="Calibri" w:hAnsi="Calibri"/>
          <w:color w:val="000000"/>
        </w:rPr>
      </w:pPr>
    </w:p>
    <w:tbl>
      <w:tblPr>
        <w:tblStyle w:val="5"/>
        <w:tblW w:w="15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4"/>
        <w:gridCol w:w="1050"/>
        <w:gridCol w:w="2"/>
        <w:gridCol w:w="769"/>
        <w:gridCol w:w="694"/>
        <w:gridCol w:w="5646"/>
        <w:gridCol w:w="866"/>
        <w:gridCol w:w="2640"/>
        <w:gridCol w:w="915"/>
        <w:gridCol w:w="915"/>
        <w:gridCol w:w="501"/>
      </w:tblGrid>
      <w:tr w14:paraId="65CA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blHeader/>
          <w:jc w:val="center"/>
        </w:trPr>
        <w:tc>
          <w:tcPr>
            <w:tcW w:w="1074" w:type="dxa"/>
            <w:noWrap w:val="0"/>
            <w:tcMar>
              <w:top w:w="12" w:type="dxa"/>
              <w:left w:w="12" w:type="dxa"/>
              <w:right w:w="12" w:type="dxa"/>
            </w:tcMar>
            <w:vAlign w:val="center"/>
          </w:tcPr>
          <w:p w14:paraId="322E01AD">
            <w:pPr>
              <w:keepNext/>
              <w:keepLines/>
              <w:widowControl/>
              <w:adjustRightInd w:val="0"/>
              <w:snapToGrid w:val="0"/>
              <w:spacing w:before="156" w:beforeLines="50" w:after="156" w:afterLines="50" w:line="360" w:lineRule="auto"/>
              <w:ind w:firstLine="0" w:firstLineChars="0"/>
              <w:jc w:val="center"/>
              <w:textAlignment w:val="center"/>
              <w:outlineLvl w:val="3"/>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kern w:val="2"/>
                <w:sz w:val="21"/>
                <w:szCs w:val="21"/>
                <w:lang w:val="en-US" w:eastAsia="zh-CN" w:bidi="ar-SA"/>
              </w:rPr>
              <w:t>一级指标</w:t>
            </w:r>
          </w:p>
        </w:tc>
        <w:tc>
          <w:tcPr>
            <w:tcW w:w="1050" w:type="dxa"/>
            <w:noWrap w:val="0"/>
            <w:tcMar>
              <w:top w:w="12" w:type="dxa"/>
              <w:left w:w="12" w:type="dxa"/>
              <w:right w:w="12" w:type="dxa"/>
            </w:tcMar>
            <w:vAlign w:val="center"/>
          </w:tcPr>
          <w:p w14:paraId="11E2A146">
            <w:pPr>
              <w:keepNext/>
              <w:keepLines/>
              <w:widowControl/>
              <w:adjustRightInd w:val="0"/>
              <w:snapToGrid w:val="0"/>
              <w:spacing w:before="156" w:beforeLines="50" w:after="156" w:afterLines="50" w:line="360" w:lineRule="auto"/>
              <w:ind w:firstLine="0" w:firstLineChars="0"/>
              <w:jc w:val="center"/>
              <w:textAlignment w:val="center"/>
              <w:outlineLvl w:val="3"/>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kern w:val="2"/>
                <w:sz w:val="21"/>
                <w:szCs w:val="21"/>
                <w:lang w:val="en-US" w:eastAsia="zh-CN" w:bidi="ar-SA"/>
              </w:rPr>
              <w:t>二级指标</w:t>
            </w:r>
          </w:p>
        </w:tc>
        <w:tc>
          <w:tcPr>
            <w:tcW w:w="771" w:type="dxa"/>
            <w:gridSpan w:val="2"/>
            <w:noWrap w:val="0"/>
            <w:tcMar>
              <w:top w:w="12" w:type="dxa"/>
              <w:left w:w="12" w:type="dxa"/>
              <w:right w:w="12" w:type="dxa"/>
            </w:tcMar>
            <w:vAlign w:val="center"/>
          </w:tcPr>
          <w:p w14:paraId="3500069F">
            <w:pPr>
              <w:keepNext/>
              <w:keepLines/>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3"/>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kern w:val="2"/>
                <w:sz w:val="21"/>
                <w:szCs w:val="21"/>
                <w:lang w:val="en-US" w:eastAsia="zh-CN" w:bidi="ar-SA"/>
              </w:rPr>
              <w:t>三级</w:t>
            </w:r>
          </w:p>
          <w:p w14:paraId="1B675878">
            <w:pPr>
              <w:keepNext/>
              <w:keepLines/>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3"/>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kern w:val="2"/>
                <w:sz w:val="21"/>
                <w:szCs w:val="21"/>
                <w:lang w:val="en-US" w:eastAsia="zh-CN" w:bidi="ar-SA"/>
              </w:rPr>
              <w:t>指标</w:t>
            </w:r>
          </w:p>
        </w:tc>
        <w:tc>
          <w:tcPr>
            <w:tcW w:w="694" w:type="dxa"/>
            <w:noWrap w:val="0"/>
            <w:tcMar>
              <w:top w:w="12" w:type="dxa"/>
              <w:left w:w="12" w:type="dxa"/>
              <w:right w:w="12" w:type="dxa"/>
            </w:tcMar>
            <w:vAlign w:val="center"/>
          </w:tcPr>
          <w:p w14:paraId="2BE320AC">
            <w:pPr>
              <w:keepNext/>
              <w:keepLines/>
              <w:widowControl/>
              <w:adjustRightInd w:val="0"/>
              <w:snapToGrid w:val="0"/>
              <w:spacing w:before="156" w:beforeLines="50" w:after="156" w:afterLines="50" w:line="360" w:lineRule="auto"/>
              <w:ind w:firstLine="0" w:firstLineChars="0"/>
              <w:jc w:val="center"/>
              <w:textAlignment w:val="center"/>
              <w:outlineLvl w:val="3"/>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kern w:val="2"/>
                <w:sz w:val="21"/>
                <w:szCs w:val="21"/>
                <w:lang w:val="en-US" w:eastAsia="zh-CN" w:bidi="ar-SA"/>
              </w:rPr>
              <w:t>标准分</w:t>
            </w:r>
          </w:p>
        </w:tc>
        <w:tc>
          <w:tcPr>
            <w:tcW w:w="5646" w:type="dxa"/>
            <w:noWrap w:val="0"/>
            <w:tcMar>
              <w:top w:w="12" w:type="dxa"/>
              <w:left w:w="12" w:type="dxa"/>
              <w:right w:w="12" w:type="dxa"/>
            </w:tcMar>
            <w:vAlign w:val="center"/>
          </w:tcPr>
          <w:p w14:paraId="7CA0FB04">
            <w:pPr>
              <w:keepNext/>
              <w:keepLines/>
              <w:widowControl/>
              <w:adjustRightInd w:val="0"/>
              <w:snapToGrid w:val="0"/>
              <w:spacing w:before="156" w:beforeLines="50" w:after="156" w:afterLines="50" w:line="360" w:lineRule="auto"/>
              <w:ind w:firstLine="0" w:firstLineChars="0"/>
              <w:jc w:val="center"/>
              <w:textAlignment w:val="center"/>
              <w:outlineLvl w:val="3"/>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kern w:val="2"/>
                <w:sz w:val="21"/>
                <w:szCs w:val="21"/>
                <w:lang w:val="en-US" w:eastAsia="zh-CN" w:bidi="ar-SA"/>
              </w:rPr>
              <w:t>评分说明</w:t>
            </w:r>
          </w:p>
        </w:tc>
        <w:tc>
          <w:tcPr>
            <w:tcW w:w="866" w:type="dxa"/>
            <w:noWrap w:val="0"/>
            <w:tcMar>
              <w:top w:w="12" w:type="dxa"/>
              <w:left w:w="12" w:type="dxa"/>
              <w:right w:w="12" w:type="dxa"/>
            </w:tcMar>
            <w:vAlign w:val="center"/>
          </w:tcPr>
          <w:p w14:paraId="37FBCDE6">
            <w:pPr>
              <w:keepNext/>
              <w:keepLines/>
              <w:widowControl/>
              <w:adjustRightInd w:val="0"/>
              <w:snapToGrid w:val="0"/>
              <w:spacing w:before="156" w:beforeLines="50" w:after="156" w:afterLines="50" w:line="360" w:lineRule="auto"/>
              <w:ind w:firstLine="0" w:firstLineChars="0"/>
              <w:jc w:val="center"/>
              <w:textAlignment w:val="center"/>
              <w:outlineLvl w:val="3"/>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kern w:val="2"/>
                <w:sz w:val="21"/>
                <w:szCs w:val="21"/>
                <w:lang w:val="en-US" w:eastAsia="zh-CN" w:bidi="ar-SA"/>
              </w:rPr>
              <w:t>考核方法</w:t>
            </w:r>
          </w:p>
        </w:tc>
        <w:tc>
          <w:tcPr>
            <w:tcW w:w="2640" w:type="dxa"/>
            <w:noWrap w:val="0"/>
            <w:tcMar>
              <w:top w:w="12" w:type="dxa"/>
              <w:left w:w="12" w:type="dxa"/>
              <w:right w:w="12" w:type="dxa"/>
            </w:tcMar>
            <w:vAlign w:val="center"/>
          </w:tcPr>
          <w:p w14:paraId="4E8C39CF">
            <w:pPr>
              <w:keepNext/>
              <w:keepLines/>
              <w:widowControl/>
              <w:adjustRightInd w:val="0"/>
              <w:snapToGrid w:val="0"/>
              <w:spacing w:before="156" w:beforeLines="50" w:after="156" w:afterLines="50" w:line="360" w:lineRule="auto"/>
              <w:ind w:firstLine="0" w:firstLineChars="0"/>
              <w:jc w:val="center"/>
              <w:textAlignment w:val="center"/>
              <w:outlineLvl w:val="3"/>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kern w:val="2"/>
                <w:sz w:val="21"/>
                <w:szCs w:val="21"/>
                <w:lang w:val="en-US" w:eastAsia="zh-CN" w:bidi="ar-SA"/>
              </w:rPr>
              <w:t>依据或标准</w:t>
            </w:r>
          </w:p>
        </w:tc>
        <w:tc>
          <w:tcPr>
            <w:tcW w:w="915" w:type="dxa"/>
            <w:noWrap w:val="0"/>
            <w:vAlign w:val="center"/>
          </w:tcPr>
          <w:p w14:paraId="27EC68E0">
            <w:pPr>
              <w:keepNext/>
              <w:keepLines/>
              <w:widowControl/>
              <w:adjustRightInd w:val="0"/>
              <w:snapToGrid w:val="0"/>
              <w:spacing w:before="156" w:beforeLines="50" w:after="156" w:afterLines="50" w:line="360" w:lineRule="auto"/>
              <w:ind w:firstLine="0" w:firstLineChars="0"/>
              <w:jc w:val="center"/>
              <w:textAlignment w:val="center"/>
              <w:outlineLvl w:val="3"/>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kern w:val="2"/>
                <w:sz w:val="21"/>
                <w:szCs w:val="21"/>
                <w:lang w:val="en-US" w:eastAsia="zh-CN" w:bidi="ar-SA"/>
              </w:rPr>
              <w:t>指标属性</w:t>
            </w:r>
          </w:p>
        </w:tc>
        <w:tc>
          <w:tcPr>
            <w:tcW w:w="915" w:type="dxa"/>
            <w:noWrap w:val="0"/>
            <w:tcMar>
              <w:top w:w="12" w:type="dxa"/>
              <w:left w:w="12" w:type="dxa"/>
              <w:right w:w="12" w:type="dxa"/>
            </w:tcMar>
            <w:vAlign w:val="center"/>
          </w:tcPr>
          <w:p w14:paraId="003AA080">
            <w:pPr>
              <w:keepNext/>
              <w:keepLines/>
              <w:widowControl/>
              <w:adjustRightInd w:val="0"/>
              <w:snapToGrid w:val="0"/>
              <w:spacing w:before="156" w:beforeLines="50" w:after="156" w:afterLines="50" w:line="360" w:lineRule="auto"/>
              <w:ind w:firstLine="0" w:firstLineChars="0"/>
              <w:jc w:val="center"/>
              <w:textAlignment w:val="center"/>
              <w:outlineLvl w:val="3"/>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kern w:val="2"/>
                <w:sz w:val="21"/>
                <w:szCs w:val="21"/>
                <w:lang w:val="en-US" w:eastAsia="zh-CN" w:bidi="ar-SA"/>
              </w:rPr>
              <w:t>检查记录</w:t>
            </w:r>
          </w:p>
        </w:tc>
        <w:tc>
          <w:tcPr>
            <w:tcW w:w="501" w:type="dxa"/>
            <w:noWrap w:val="0"/>
            <w:tcMar>
              <w:top w:w="12" w:type="dxa"/>
              <w:left w:w="12" w:type="dxa"/>
              <w:right w:w="12" w:type="dxa"/>
            </w:tcMar>
            <w:vAlign w:val="center"/>
          </w:tcPr>
          <w:p w14:paraId="7E8F9076">
            <w:pPr>
              <w:keepNext/>
              <w:keepLines/>
              <w:widowControl/>
              <w:adjustRightInd w:val="0"/>
              <w:snapToGrid w:val="0"/>
              <w:spacing w:before="156" w:beforeLines="50" w:after="156" w:afterLines="50" w:line="360" w:lineRule="auto"/>
              <w:ind w:firstLine="0" w:firstLineChars="0"/>
              <w:jc w:val="center"/>
              <w:textAlignment w:val="center"/>
              <w:outlineLvl w:val="3"/>
              <w:rPr>
                <w:rFonts w:hint="eastAsia" w:ascii="黑体" w:hAnsi="黑体" w:eastAsia="黑体" w:cs="黑体"/>
                <w:color w:val="000000"/>
                <w:kern w:val="2"/>
                <w:sz w:val="21"/>
                <w:szCs w:val="21"/>
                <w:lang w:val="en-US" w:eastAsia="zh-CN" w:bidi="ar-SA"/>
              </w:rPr>
            </w:pPr>
            <w:r>
              <w:rPr>
                <w:rFonts w:hint="eastAsia" w:ascii="黑体" w:hAnsi="黑体" w:eastAsia="黑体" w:cs="黑体"/>
                <w:color w:val="000000"/>
                <w:kern w:val="2"/>
                <w:sz w:val="21"/>
                <w:szCs w:val="21"/>
                <w:lang w:val="en-US" w:eastAsia="zh-CN" w:bidi="ar-SA"/>
              </w:rPr>
              <w:t>得分</w:t>
            </w:r>
          </w:p>
        </w:tc>
      </w:tr>
      <w:tr w14:paraId="11B7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1074" w:type="dxa"/>
            <w:vMerge w:val="restart"/>
            <w:noWrap w:val="0"/>
            <w:tcMar>
              <w:top w:w="12" w:type="dxa"/>
              <w:left w:w="12" w:type="dxa"/>
              <w:right w:w="12" w:type="dxa"/>
            </w:tcMar>
            <w:vAlign w:val="center"/>
          </w:tcPr>
          <w:p w14:paraId="448DD409">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一、矿区环境</w:t>
            </w:r>
            <w:r>
              <w:rPr>
                <w:rFonts w:hint="eastAsia" w:ascii="Calibri" w:hAnsi="Calibri" w:eastAsia="仿宋_GB2312"/>
                <w:color w:val="000000"/>
                <w:kern w:val="0"/>
                <w:sz w:val="21"/>
                <w:szCs w:val="21"/>
                <w:lang w:val="en-US" w:eastAsia="zh-CN" w:bidi="ar"/>
              </w:rPr>
              <w:t>（</w:t>
            </w:r>
            <w:r>
              <w:rPr>
                <w:rFonts w:eastAsia="仿宋_GB2312"/>
                <w:color w:val="000000"/>
                <w:kern w:val="0"/>
                <w:sz w:val="21"/>
                <w:szCs w:val="21"/>
                <w:lang w:val="en-US" w:eastAsia="zh-CN" w:bidi="ar"/>
              </w:rPr>
              <w:t>7项，1</w:t>
            </w:r>
            <w:r>
              <w:rPr>
                <w:rFonts w:hint="eastAsia" w:eastAsia="仿宋_GB2312"/>
                <w:color w:val="000000"/>
                <w:kern w:val="0"/>
                <w:sz w:val="21"/>
                <w:szCs w:val="21"/>
                <w:lang w:val="en-US" w:eastAsia="zh-CN" w:bidi="ar"/>
              </w:rPr>
              <w:t>2</w:t>
            </w:r>
            <w:r>
              <w:rPr>
                <w:rFonts w:eastAsia="仿宋_GB2312"/>
                <w:color w:val="000000"/>
                <w:kern w:val="0"/>
                <w:sz w:val="21"/>
                <w:szCs w:val="21"/>
                <w:lang w:val="en-US" w:eastAsia="zh-CN" w:bidi="ar"/>
              </w:rPr>
              <w:t>分</w:t>
            </w:r>
            <w:r>
              <w:rPr>
                <w:rFonts w:hint="eastAsia" w:ascii="Calibri" w:hAnsi="Calibri" w:eastAsia="仿宋_GB2312"/>
                <w:color w:val="000000"/>
                <w:kern w:val="0"/>
                <w:sz w:val="21"/>
                <w:szCs w:val="21"/>
                <w:lang w:val="en-US" w:eastAsia="zh-CN" w:bidi="ar"/>
              </w:rPr>
              <w:t>）</w:t>
            </w:r>
          </w:p>
        </w:tc>
        <w:tc>
          <w:tcPr>
            <w:tcW w:w="1050" w:type="dxa"/>
            <w:vMerge w:val="restart"/>
            <w:noWrap w:val="0"/>
            <w:tcMar>
              <w:top w:w="12" w:type="dxa"/>
              <w:left w:w="12" w:type="dxa"/>
              <w:right w:w="12" w:type="dxa"/>
            </w:tcMar>
            <w:vAlign w:val="center"/>
          </w:tcPr>
          <w:p w14:paraId="6E66871B">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1矿容矿貌（9分）</w:t>
            </w:r>
          </w:p>
        </w:tc>
        <w:tc>
          <w:tcPr>
            <w:tcW w:w="771" w:type="dxa"/>
            <w:gridSpan w:val="2"/>
            <w:noWrap w:val="0"/>
            <w:tcMar>
              <w:top w:w="12" w:type="dxa"/>
              <w:left w:w="12" w:type="dxa"/>
              <w:right w:w="12" w:type="dxa"/>
            </w:tcMar>
            <w:vAlign w:val="center"/>
          </w:tcPr>
          <w:p w14:paraId="069242F9">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1功能分区</w:t>
            </w:r>
          </w:p>
        </w:tc>
        <w:tc>
          <w:tcPr>
            <w:tcW w:w="694" w:type="dxa"/>
            <w:noWrap w:val="0"/>
            <w:tcMar>
              <w:top w:w="12" w:type="dxa"/>
              <w:left w:w="12" w:type="dxa"/>
              <w:right w:w="12" w:type="dxa"/>
            </w:tcMar>
            <w:vAlign w:val="center"/>
          </w:tcPr>
          <w:p w14:paraId="18A94673">
            <w:pPr>
              <w:widowControl/>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56F90A86">
            <w:pPr>
              <w:widowControl/>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矿区按生产区、管理区、生活区进行功能分区，符合分区要求。符合要求得2分，管理区、生活区分区不明显扣0.5分，生产区、管理区分区不明显扣1.5分。</w:t>
            </w:r>
          </w:p>
        </w:tc>
        <w:tc>
          <w:tcPr>
            <w:tcW w:w="866" w:type="dxa"/>
            <w:noWrap w:val="0"/>
            <w:tcMar>
              <w:top w:w="12" w:type="dxa"/>
              <w:left w:w="12" w:type="dxa"/>
              <w:right w:w="12" w:type="dxa"/>
            </w:tcMar>
            <w:vAlign w:val="center"/>
          </w:tcPr>
          <w:p w14:paraId="64D78E24">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567D03C7">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矿区总平面布置图或示意图，《工业企业总平面设计规范》（GB</w:t>
            </w:r>
            <w:r>
              <w:rPr>
                <w:rFonts w:hint="eastAsia" w:eastAsia="仿宋_GB2312"/>
                <w:color w:val="000000"/>
                <w:kern w:val="0"/>
                <w:sz w:val="21"/>
                <w:szCs w:val="21"/>
                <w:lang w:val="en-US" w:eastAsia="zh-CN" w:bidi="ar"/>
              </w:rPr>
              <w:t xml:space="preserve"> </w:t>
            </w:r>
            <w:r>
              <w:rPr>
                <w:rFonts w:eastAsia="仿宋_GB2312"/>
                <w:color w:val="000000"/>
                <w:kern w:val="0"/>
                <w:sz w:val="21"/>
                <w:szCs w:val="21"/>
                <w:lang w:val="en-US" w:eastAsia="zh-CN" w:bidi="ar"/>
              </w:rPr>
              <w:t>50187）</w:t>
            </w:r>
          </w:p>
        </w:tc>
        <w:tc>
          <w:tcPr>
            <w:tcW w:w="915" w:type="dxa"/>
            <w:noWrap w:val="0"/>
            <w:vAlign w:val="center"/>
          </w:tcPr>
          <w:p w14:paraId="1334C31F">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tcMar>
              <w:top w:w="12" w:type="dxa"/>
              <w:left w:w="12" w:type="dxa"/>
              <w:right w:w="12" w:type="dxa"/>
            </w:tcMar>
            <w:vAlign w:val="center"/>
          </w:tcPr>
          <w:p w14:paraId="175A91D5">
            <w:pPr>
              <w:widowControl w:val="0"/>
              <w:adjustRightInd w:val="0"/>
              <w:snapToGrid w:val="0"/>
              <w:jc w:val="center"/>
              <w:rPr>
                <w:rFonts w:eastAsia="仿宋_GB2312"/>
                <w:color w:val="000000"/>
                <w:kern w:val="0"/>
                <w:sz w:val="21"/>
                <w:szCs w:val="21"/>
                <w:lang w:val="en-US" w:eastAsia="zh-CN" w:bidi="ar-SA"/>
              </w:rPr>
            </w:pPr>
          </w:p>
        </w:tc>
        <w:tc>
          <w:tcPr>
            <w:tcW w:w="501" w:type="dxa"/>
            <w:noWrap w:val="0"/>
            <w:tcMar>
              <w:top w:w="12" w:type="dxa"/>
              <w:left w:w="12" w:type="dxa"/>
              <w:right w:w="12" w:type="dxa"/>
            </w:tcMar>
            <w:vAlign w:val="center"/>
          </w:tcPr>
          <w:p w14:paraId="5F55B805">
            <w:pPr>
              <w:widowControl w:val="0"/>
              <w:adjustRightInd w:val="0"/>
              <w:snapToGrid w:val="0"/>
              <w:jc w:val="center"/>
              <w:rPr>
                <w:rFonts w:eastAsia="仿宋_GB2312"/>
                <w:color w:val="000000"/>
                <w:kern w:val="0"/>
                <w:sz w:val="18"/>
                <w:szCs w:val="18"/>
                <w:lang w:val="en-US" w:eastAsia="zh-CN" w:bidi="ar-SA"/>
              </w:rPr>
            </w:pPr>
          </w:p>
        </w:tc>
      </w:tr>
      <w:tr w14:paraId="14BC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0" w:hRule="atLeast"/>
          <w:jc w:val="center"/>
        </w:trPr>
        <w:tc>
          <w:tcPr>
            <w:tcW w:w="1074" w:type="dxa"/>
            <w:vMerge w:val="continue"/>
            <w:noWrap w:val="0"/>
            <w:tcMar>
              <w:top w:w="12" w:type="dxa"/>
              <w:left w:w="12" w:type="dxa"/>
              <w:right w:w="12" w:type="dxa"/>
            </w:tcMar>
            <w:vAlign w:val="center"/>
          </w:tcPr>
          <w:p w14:paraId="5D2D459E">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2ABFB9A8">
            <w:pPr>
              <w:widowControl w:val="0"/>
              <w:adjustRightInd w:val="0"/>
              <w:snapToGrid w:val="0"/>
              <w:jc w:val="center"/>
              <w:rPr>
                <w:rFonts w:eastAsia="仿宋_GB2312"/>
                <w:color w:val="000000"/>
                <w:kern w:val="0"/>
                <w:sz w:val="21"/>
                <w:szCs w:val="21"/>
                <w:lang w:val="en-US" w:eastAsia="zh-CN" w:bidi="ar-SA"/>
              </w:rPr>
            </w:pPr>
          </w:p>
        </w:tc>
        <w:tc>
          <w:tcPr>
            <w:tcW w:w="771" w:type="dxa"/>
            <w:gridSpan w:val="2"/>
            <w:noWrap w:val="0"/>
            <w:tcMar>
              <w:top w:w="12" w:type="dxa"/>
              <w:left w:w="12" w:type="dxa"/>
              <w:right w:w="12" w:type="dxa"/>
            </w:tcMar>
            <w:vAlign w:val="center"/>
          </w:tcPr>
          <w:p w14:paraId="4336D4D7">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2配套设施</w:t>
            </w:r>
          </w:p>
        </w:tc>
        <w:tc>
          <w:tcPr>
            <w:tcW w:w="694" w:type="dxa"/>
            <w:noWrap w:val="0"/>
            <w:tcMar>
              <w:top w:w="12" w:type="dxa"/>
              <w:left w:w="12" w:type="dxa"/>
              <w:right w:w="12" w:type="dxa"/>
            </w:tcMar>
            <w:vAlign w:val="center"/>
          </w:tcPr>
          <w:p w14:paraId="6074BF4C">
            <w:pPr>
              <w:widowControl/>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4E31D28B">
            <w:pPr>
              <w:widowControl/>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区地面运输、供水、供电等配套设施齐全、正常运行，食堂、澡堂、厕所等设施齐全、整洁规范，对矿区建筑、构筑物及时维护、维修或粉刷，生产区、管理区、生活区的所有场所不存在私搭乱建等临时建筑、废弃建构筑物。符合要求得2分，发现一处不符合扣0.5分。</w:t>
            </w:r>
          </w:p>
        </w:tc>
        <w:tc>
          <w:tcPr>
            <w:tcW w:w="866" w:type="dxa"/>
            <w:noWrap w:val="0"/>
            <w:tcMar>
              <w:top w:w="12" w:type="dxa"/>
              <w:left w:w="12" w:type="dxa"/>
              <w:right w:w="12" w:type="dxa"/>
            </w:tcMar>
            <w:vAlign w:val="center"/>
          </w:tcPr>
          <w:p w14:paraId="6394B49B">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3C2607C5">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矿区总平面布置图</w:t>
            </w:r>
          </w:p>
        </w:tc>
        <w:tc>
          <w:tcPr>
            <w:tcW w:w="915" w:type="dxa"/>
            <w:noWrap w:val="0"/>
            <w:vAlign w:val="center"/>
          </w:tcPr>
          <w:p w14:paraId="3FF4FEB8">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tcMar>
              <w:top w:w="12" w:type="dxa"/>
              <w:left w:w="12" w:type="dxa"/>
              <w:right w:w="12" w:type="dxa"/>
            </w:tcMar>
            <w:vAlign w:val="center"/>
          </w:tcPr>
          <w:p w14:paraId="0CE660B1">
            <w:pPr>
              <w:widowControl w:val="0"/>
              <w:adjustRightInd w:val="0"/>
              <w:snapToGrid w:val="0"/>
              <w:jc w:val="center"/>
              <w:rPr>
                <w:rFonts w:eastAsia="仿宋_GB2312"/>
                <w:color w:val="000000"/>
                <w:kern w:val="0"/>
                <w:sz w:val="21"/>
                <w:szCs w:val="21"/>
                <w:lang w:val="en-US" w:eastAsia="zh-CN" w:bidi="ar-SA"/>
              </w:rPr>
            </w:pPr>
          </w:p>
        </w:tc>
        <w:tc>
          <w:tcPr>
            <w:tcW w:w="501" w:type="dxa"/>
            <w:noWrap w:val="0"/>
            <w:tcMar>
              <w:top w:w="12" w:type="dxa"/>
              <w:left w:w="12" w:type="dxa"/>
              <w:right w:w="12" w:type="dxa"/>
            </w:tcMar>
            <w:vAlign w:val="center"/>
          </w:tcPr>
          <w:p w14:paraId="009F5D38">
            <w:pPr>
              <w:widowControl w:val="0"/>
              <w:adjustRightInd w:val="0"/>
              <w:snapToGrid w:val="0"/>
              <w:jc w:val="center"/>
              <w:rPr>
                <w:rFonts w:eastAsia="仿宋_GB2312"/>
                <w:color w:val="000000"/>
                <w:kern w:val="0"/>
                <w:sz w:val="18"/>
                <w:szCs w:val="18"/>
                <w:lang w:val="en-US" w:eastAsia="zh-CN" w:bidi="ar-SA"/>
              </w:rPr>
            </w:pPr>
          </w:p>
        </w:tc>
      </w:tr>
      <w:tr w14:paraId="0531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1074" w:type="dxa"/>
            <w:vMerge w:val="continue"/>
            <w:noWrap w:val="0"/>
            <w:tcMar>
              <w:top w:w="12" w:type="dxa"/>
              <w:left w:w="12" w:type="dxa"/>
              <w:right w:w="12" w:type="dxa"/>
            </w:tcMar>
            <w:vAlign w:val="center"/>
          </w:tcPr>
          <w:p w14:paraId="6AF5CFE8">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341CB241">
            <w:pPr>
              <w:widowControl w:val="0"/>
              <w:adjustRightInd w:val="0"/>
              <w:snapToGrid w:val="0"/>
              <w:jc w:val="center"/>
              <w:rPr>
                <w:rFonts w:eastAsia="仿宋_GB2312"/>
                <w:color w:val="000000"/>
                <w:kern w:val="0"/>
                <w:sz w:val="21"/>
                <w:szCs w:val="21"/>
                <w:lang w:val="en-US" w:eastAsia="zh-CN" w:bidi="ar-SA"/>
              </w:rPr>
            </w:pPr>
          </w:p>
        </w:tc>
        <w:tc>
          <w:tcPr>
            <w:tcW w:w="771" w:type="dxa"/>
            <w:gridSpan w:val="2"/>
            <w:noWrap w:val="0"/>
            <w:tcMar>
              <w:top w:w="12" w:type="dxa"/>
              <w:left w:w="12" w:type="dxa"/>
              <w:right w:w="12" w:type="dxa"/>
            </w:tcMar>
            <w:vAlign w:val="center"/>
          </w:tcPr>
          <w:p w14:paraId="7BF136B9">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3标识标牌</w:t>
            </w:r>
          </w:p>
        </w:tc>
        <w:tc>
          <w:tcPr>
            <w:tcW w:w="694" w:type="dxa"/>
            <w:noWrap w:val="0"/>
            <w:tcMar>
              <w:top w:w="12" w:type="dxa"/>
              <w:left w:w="12" w:type="dxa"/>
              <w:right w:w="12" w:type="dxa"/>
            </w:tcMar>
            <w:vAlign w:val="center"/>
          </w:tcPr>
          <w:p w14:paraId="2FB43FEE">
            <w:pPr>
              <w:widowControl/>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1</w:t>
            </w:r>
          </w:p>
        </w:tc>
        <w:tc>
          <w:tcPr>
            <w:tcW w:w="5646" w:type="dxa"/>
            <w:noWrap w:val="0"/>
            <w:tcMar>
              <w:top w:w="12" w:type="dxa"/>
              <w:left w:w="12" w:type="dxa"/>
              <w:right w:w="12" w:type="dxa"/>
            </w:tcMar>
            <w:vAlign w:val="center"/>
          </w:tcPr>
          <w:p w14:paraId="0565C818">
            <w:pPr>
              <w:widowControl/>
              <w:adjustRightInd w:val="0"/>
              <w:snapToGrid w:val="0"/>
              <w:jc w:val="left"/>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矿</w:t>
            </w:r>
            <w:r>
              <w:rPr>
                <w:rFonts w:eastAsia="仿宋_GB2312"/>
                <w:color w:val="000000"/>
                <w:kern w:val="0"/>
                <w:sz w:val="21"/>
                <w:szCs w:val="21"/>
                <w:lang w:val="en-US" w:eastAsia="zh-CN" w:bidi="ar-SA"/>
              </w:rPr>
              <w:t>区按要求设置操作提示牌、说明牌、线路示意图牌等各类标牌，标牌的尺寸、形状、颜色设置符合规定。符合要求得1分，发现一处不符合扣0.2分。</w:t>
            </w:r>
          </w:p>
        </w:tc>
        <w:tc>
          <w:tcPr>
            <w:tcW w:w="866" w:type="dxa"/>
            <w:noWrap w:val="0"/>
            <w:tcMar>
              <w:top w:w="12" w:type="dxa"/>
              <w:left w:w="12" w:type="dxa"/>
              <w:right w:w="12" w:type="dxa"/>
            </w:tcMar>
            <w:vAlign w:val="center"/>
          </w:tcPr>
          <w:p w14:paraId="29C515EE">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查现场</w:t>
            </w:r>
          </w:p>
        </w:tc>
        <w:tc>
          <w:tcPr>
            <w:tcW w:w="2640" w:type="dxa"/>
            <w:noWrap w:val="0"/>
            <w:tcMar>
              <w:top w:w="12" w:type="dxa"/>
              <w:left w:w="12" w:type="dxa"/>
              <w:right w:w="12" w:type="dxa"/>
            </w:tcMar>
            <w:vAlign w:val="center"/>
          </w:tcPr>
          <w:p w14:paraId="20210ADC">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《标牌》（GB</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T 13306）</w:t>
            </w:r>
          </w:p>
        </w:tc>
        <w:tc>
          <w:tcPr>
            <w:tcW w:w="915" w:type="dxa"/>
            <w:noWrap w:val="0"/>
            <w:vAlign w:val="center"/>
          </w:tcPr>
          <w:p w14:paraId="05FBFA4D">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tcMar>
              <w:top w:w="12" w:type="dxa"/>
              <w:left w:w="12" w:type="dxa"/>
              <w:right w:w="12" w:type="dxa"/>
            </w:tcMar>
            <w:vAlign w:val="center"/>
          </w:tcPr>
          <w:p w14:paraId="449F4C16">
            <w:pPr>
              <w:widowControl w:val="0"/>
              <w:adjustRightInd w:val="0"/>
              <w:snapToGrid w:val="0"/>
              <w:jc w:val="center"/>
              <w:rPr>
                <w:rFonts w:eastAsia="仿宋_GB2312"/>
                <w:color w:val="000000"/>
                <w:kern w:val="0"/>
                <w:sz w:val="21"/>
                <w:szCs w:val="21"/>
                <w:lang w:val="en-US" w:eastAsia="zh-CN" w:bidi="ar-SA"/>
              </w:rPr>
            </w:pPr>
          </w:p>
        </w:tc>
        <w:tc>
          <w:tcPr>
            <w:tcW w:w="501" w:type="dxa"/>
            <w:noWrap w:val="0"/>
            <w:tcMar>
              <w:top w:w="12" w:type="dxa"/>
              <w:left w:w="12" w:type="dxa"/>
              <w:right w:w="12" w:type="dxa"/>
            </w:tcMar>
            <w:vAlign w:val="center"/>
          </w:tcPr>
          <w:p w14:paraId="4FC5FD5F">
            <w:pPr>
              <w:widowControl w:val="0"/>
              <w:adjustRightInd w:val="0"/>
              <w:snapToGrid w:val="0"/>
              <w:jc w:val="center"/>
              <w:rPr>
                <w:rFonts w:eastAsia="仿宋_GB2312"/>
                <w:color w:val="000000"/>
                <w:kern w:val="0"/>
                <w:sz w:val="18"/>
                <w:szCs w:val="18"/>
                <w:lang w:val="en-US" w:eastAsia="zh-CN" w:bidi="ar-SA"/>
              </w:rPr>
            </w:pPr>
          </w:p>
        </w:tc>
      </w:tr>
      <w:tr w14:paraId="2C66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074" w:type="dxa"/>
            <w:vMerge w:val="continue"/>
            <w:noWrap w:val="0"/>
            <w:tcMar>
              <w:top w:w="12" w:type="dxa"/>
              <w:left w:w="12" w:type="dxa"/>
              <w:right w:w="12" w:type="dxa"/>
            </w:tcMar>
            <w:vAlign w:val="center"/>
          </w:tcPr>
          <w:p w14:paraId="0CED2A5A">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5B153C4C">
            <w:pPr>
              <w:widowControl w:val="0"/>
              <w:adjustRightInd w:val="0"/>
              <w:snapToGrid w:val="0"/>
              <w:jc w:val="center"/>
              <w:rPr>
                <w:rFonts w:eastAsia="仿宋_GB2312"/>
                <w:color w:val="000000"/>
                <w:kern w:val="0"/>
                <w:sz w:val="21"/>
                <w:szCs w:val="21"/>
                <w:lang w:val="en-US" w:eastAsia="zh-CN" w:bidi="ar-SA"/>
              </w:rPr>
            </w:pPr>
          </w:p>
        </w:tc>
        <w:tc>
          <w:tcPr>
            <w:tcW w:w="771" w:type="dxa"/>
            <w:gridSpan w:val="2"/>
            <w:noWrap w:val="0"/>
            <w:tcMar>
              <w:top w:w="12" w:type="dxa"/>
              <w:left w:w="12" w:type="dxa"/>
              <w:right w:w="12" w:type="dxa"/>
            </w:tcMar>
            <w:vAlign w:val="center"/>
          </w:tcPr>
          <w:p w14:paraId="2A91AF77">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4定置管理</w:t>
            </w:r>
          </w:p>
        </w:tc>
        <w:tc>
          <w:tcPr>
            <w:tcW w:w="694" w:type="dxa"/>
            <w:noWrap w:val="0"/>
            <w:tcMar>
              <w:top w:w="12" w:type="dxa"/>
              <w:left w:w="12" w:type="dxa"/>
              <w:right w:w="12" w:type="dxa"/>
            </w:tcMar>
            <w:vAlign w:val="center"/>
          </w:tcPr>
          <w:p w14:paraId="04E2F820">
            <w:pPr>
              <w:widowControl/>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2ED991E2">
            <w:pPr>
              <w:widowControl/>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设备、物资材料规范管理，做到分类分区、摆放有序、堆码整齐。符合要求得2分，发现一处不符合扣0.5分。</w:t>
            </w:r>
          </w:p>
        </w:tc>
        <w:tc>
          <w:tcPr>
            <w:tcW w:w="866" w:type="dxa"/>
            <w:noWrap w:val="0"/>
            <w:tcMar>
              <w:top w:w="12" w:type="dxa"/>
              <w:left w:w="12" w:type="dxa"/>
              <w:right w:w="12" w:type="dxa"/>
            </w:tcMar>
            <w:vAlign w:val="center"/>
          </w:tcPr>
          <w:p w14:paraId="4125355A">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查现场</w:t>
            </w:r>
          </w:p>
        </w:tc>
        <w:tc>
          <w:tcPr>
            <w:tcW w:w="2640" w:type="dxa"/>
            <w:noWrap w:val="0"/>
            <w:tcMar>
              <w:top w:w="12" w:type="dxa"/>
              <w:left w:w="12" w:type="dxa"/>
              <w:right w:w="12" w:type="dxa"/>
            </w:tcMar>
            <w:vAlign w:val="center"/>
          </w:tcPr>
          <w:p w14:paraId="56229F56">
            <w:pPr>
              <w:widowControl w:val="0"/>
              <w:adjustRightInd w:val="0"/>
              <w:snapToGrid w:val="0"/>
              <w:jc w:val="left"/>
              <w:rPr>
                <w:rFonts w:eastAsia="仿宋_GB2312"/>
                <w:color w:val="000000"/>
                <w:kern w:val="0"/>
                <w:sz w:val="21"/>
                <w:szCs w:val="21"/>
                <w:lang w:val="en-US" w:eastAsia="zh-CN" w:bidi="ar-SA"/>
              </w:rPr>
            </w:pPr>
          </w:p>
        </w:tc>
        <w:tc>
          <w:tcPr>
            <w:tcW w:w="915" w:type="dxa"/>
            <w:noWrap w:val="0"/>
            <w:vAlign w:val="center"/>
          </w:tcPr>
          <w:p w14:paraId="0F0DDBF8">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tcMar>
              <w:top w:w="12" w:type="dxa"/>
              <w:left w:w="12" w:type="dxa"/>
              <w:right w:w="12" w:type="dxa"/>
            </w:tcMar>
            <w:vAlign w:val="center"/>
          </w:tcPr>
          <w:p w14:paraId="25AC81F8">
            <w:pPr>
              <w:widowControl w:val="0"/>
              <w:adjustRightInd w:val="0"/>
              <w:snapToGrid w:val="0"/>
              <w:jc w:val="center"/>
              <w:rPr>
                <w:rFonts w:eastAsia="仿宋_GB2312"/>
                <w:color w:val="000000"/>
                <w:kern w:val="0"/>
                <w:sz w:val="21"/>
                <w:szCs w:val="21"/>
                <w:lang w:val="en-US" w:eastAsia="zh-CN" w:bidi="ar-SA"/>
              </w:rPr>
            </w:pPr>
          </w:p>
        </w:tc>
        <w:tc>
          <w:tcPr>
            <w:tcW w:w="501" w:type="dxa"/>
            <w:noWrap w:val="0"/>
            <w:tcMar>
              <w:top w:w="12" w:type="dxa"/>
              <w:left w:w="12" w:type="dxa"/>
              <w:right w:w="12" w:type="dxa"/>
            </w:tcMar>
            <w:vAlign w:val="center"/>
          </w:tcPr>
          <w:p w14:paraId="6F4070E2">
            <w:pPr>
              <w:widowControl w:val="0"/>
              <w:adjustRightInd w:val="0"/>
              <w:snapToGrid w:val="0"/>
              <w:jc w:val="center"/>
              <w:rPr>
                <w:rFonts w:eastAsia="仿宋_GB2312"/>
                <w:color w:val="000000"/>
                <w:kern w:val="0"/>
                <w:sz w:val="18"/>
                <w:szCs w:val="18"/>
                <w:lang w:val="en-US" w:eastAsia="zh-CN" w:bidi="ar-SA"/>
              </w:rPr>
            </w:pPr>
          </w:p>
        </w:tc>
      </w:tr>
      <w:tr w14:paraId="7F1C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jc w:val="center"/>
        </w:trPr>
        <w:tc>
          <w:tcPr>
            <w:tcW w:w="1074" w:type="dxa"/>
            <w:vMerge w:val="continue"/>
            <w:noWrap w:val="0"/>
            <w:tcMar>
              <w:top w:w="12" w:type="dxa"/>
              <w:left w:w="12" w:type="dxa"/>
              <w:right w:w="12" w:type="dxa"/>
            </w:tcMar>
            <w:vAlign w:val="center"/>
          </w:tcPr>
          <w:p w14:paraId="4EB45159">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63E4DEDB">
            <w:pPr>
              <w:widowControl w:val="0"/>
              <w:adjustRightInd w:val="0"/>
              <w:snapToGrid w:val="0"/>
              <w:jc w:val="center"/>
              <w:rPr>
                <w:rFonts w:eastAsia="仿宋_GB2312"/>
                <w:color w:val="000000"/>
                <w:kern w:val="0"/>
                <w:sz w:val="21"/>
                <w:szCs w:val="21"/>
                <w:lang w:val="en-US" w:eastAsia="zh-CN" w:bidi="ar-SA"/>
              </w:rPr>
            </w:pPr>
          </w:p>
        </w:tc>
        <w:tc>
          <w:tcPr>
            <w:tcW w:w="771" w:type="dxa"/>
            <w:gridSpan w:val="2"/>
            <w:noWrap w:val="0"/>
            <w:tcMar>
              <w:top w:w="12" w:type="dxa"/>
              <w:left w:w="12" w:type="dxa"/>
              <w:right w:w="12" w:type="dxa"/>
            </w:tcMar>
            <w:vAlign w:val="center"/>
          </w:tcPr>
          <w:p w14:paraId="2BF30982">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5清洁卫生</w:t>
            </w:r>
          </w:p>
        </w:tc>
        <w:tc>
          <w:tcPr>
            <w:tcW w:w="694" w:type="dxa"/>
            <w:noWrap w:val="0"/>
            <w:tcMar>
              <w:top w:w="12" w:type="dxa"/>
              <w:left w:w="12" w:type="dxa"/>
              <w:right w:w="12" w:type="dxa"/>
            </w:tcMar>
            <w:vAlign w:val="center"/>
          </w:tcPr>
          <w:p w14:paraId="49483007">
            <w:pPr>
              <w:widowControl/>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47BB09F1">
            <w:pPr>
              <w:widowControl/>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区保持清洁卫生，主干道路表面平整、密实和粗糙度适当，内部道路或专用道路及时清理无洒落物，生产区及管理区无垃圾、无废石乱扔乱放，生产现场管线无跑、冒、滴、漏现象。符合要求得2分，发现一处不符合扣0.5分。</w:t>
            </w:r>
          </w:p>
        </w:tc>
        <w:tc>
          <w:tcPr>
            <w:tcW w:w="866" w:type="dxa"/>
            <w:noWrap w:val="0"/>
            <w:tcMar>
              <w:top w:w="12" w:type="dxa"/>
              <w:left w:w="12" w:type="dxa"/>
              <w:right w:w="12" w:type="dxa"/>
            </w:tcMar>
            <w:vAlign w:val="center"/>
          </w:tcPr>
          <w:p w14:paraId="6FC67317">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查现场</w:t>
            </w:r>
          </w:p>
        </w:tc>
        <w:tc>
          <w:tcPr>
            <w:tcW w:w="2640" w:type="dxa"/>
            <w:noWrap w:val="0"/>
            <w:tcMar>
              <w:top w:w="12" w:type="dxa"/>
              <w:left w:w="12" w:type="dxa"/>
              <w:right w:w="12" w:type="dxa"/>
            </w:tcMar>
            <w:vAlign w:val="center"/>
          </w:tcPr>
          <w:p w14:paraId="62F54EAD">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《厂矿道路设计规范》（GBJ</w:t>
            </w:r>
            <w:r>
              <w:rPr>
                <w:rFonts w:hint="eastAsia" w:eastAsia="仿宋_GB2312"/>
                <w:color w:val="000000"/>
                <w:kern w:val="0"/>
                <w:sz w:val="21"/>
                <w:szCs w:val="21"/>
                <w:lang w:val="en-US" w:eastAsia="zh-CN" w:bidi="ar-SA"/>
              </w:rPr>
              <w:t xml:space="preserve"> </w:t>
            </w:r>
            <w:r>
              <w:rPr>
                <w:rFonts w:eastAsia="仿宋_GB2312"/>
                <w:color w:val="000000"/>
                <w:kern w:val="0"/>
                <w:sz w:val="21"/>
                <w:szCs w:val="21"/>
                <w:lang w:val="en-US" w:eastAsia="zh-CN" w:bidi="ar-SA"/>
              </w:rPr>
              <w:t>22）</w:t>
            </w:r>
          </w:p>
        </w:tc>
        <w:tc>
          <w:tcPr>
            <w:tcW w:w="915" w:type="dxa"/>
            <w:noWrap w:val="0"/>
            <w:vAlign w:val="center"/>
          </w:tcPr>
          <w:p w14:paraId="6EBE3154">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tcMar>
              <w:top w:w="12" w:type="dxa"/>
              <w:left w:w="12" w:type="dxa"/>
              <w:right w:w="12" w:type="dxa"/>
            </w:tcMar>
            <w:vAlign w:val="center"/>
          </w:tcPr>
          <w:p w14:paraId="32AEC699">
            <w:pPr>
              <w:widowControl w:val="0"/>
              <w:adjustRightInd w:val="0"/>
              <w:snapToGrid w:val="0"/>
              <w:jc w:val="center"/>
              <w:rPr>
                <w:rFonts w:eastAsia="仿宋_GB2312"/>
                <w:color w:val="000000"/>
                <w:kern w:val="0"/>
                <w:sz w:val="21"/>
                <w:szCs w:val="21"/>
                <w:lang w:val="en-US" w:eastAsia="zh-CN" w:bidi="ar-SA"/>
              </w:rPr>
            </w:pPr>
          </w:p>
        </w:tc>
        <w:tc>
          <w:tcPr>
            <w:tcW w:w="501" w:type="dxa"/>
            <w:noWrap w:val="0"/>
            <w:tcMar>
              <w:top w:w="12" w:type="dxa"/>
              <w:left w:w="12" w:type="dxa"/>
              <w:right w:w="12" w:type="dxa"/>
            </w:tcMar>
            <w:vAlign w:val="center"/>
          </w:tcPr>
          <w:p w14:paraId="7EA0F83B">
            <w:pPr>
              <w:widowControl w:val="0"/>
              <w:adjustRightInd w:val="0"/>
              <w:snapToGrid w:val="0"/>
              <w:jc w:val="center"/>
              <w:rPr>
                <w:rFonts w:eastAsia="仿宋_GB2312"/>
                <w:color w:val="000000"/>
                <w:kern w:val="0"/>
                <w:sz w:val="18"/>
                <w:szCs w:val="18"/>
                <w:lang w:val="en-US" w:eastAsia="zh-CN" w:bidi="ar-SA"/>
              </w:rPr>
            </w:pPr>
          </w:p>
        </w:tc>
      </w:tr>
      <w:tr w14:paraId="0F9D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4" w:type="dxa"/>
            <w:vMerge w:val="continue"/>
            <w:noWrap w:val="0"/>
            <w:tcMar>
              <w:top w:w="12" w:type="dxa"/>
              <w:left w:w="12" w:type="dxa"/>
              <w:right w:w="12" w:type="dxa"/>
            </w:tcMar>
            <w:vAlign w:val="center"/>
          </w:tcPr>
          <w:p w14:paraId="6875ADB9">
            <w:pPr>
              <w:widowControl w:val="0"/>
              <w:adjustRightInd w:val="0"/>
              <w:snapToGrid w:val="0"/>
              <w:jc w:val="center"/>
              <w:rPr>
                <w:rFonts w:eastAsia="仿宋_GB2312"/>
                <w:color w:val="000000"/>
                <w:kern w:val="0"/>
                <w:sz w:val="21"/>
                <w:szCs w:val="21"/>
                <w:lang w:val="en-US" w:eastAsia="zh-CN" w:bidi="ar-SA"/>
              </w:rPr>
            </w:pPr>
          </w:p>
        </w:tc>
        <w:tc>
          <w:tcPr>
            <w:tcW w:w="1050" w:type="dxa"/>
            <w:vMerge w:val="restart"/>
            <w:noWrap w:val="0"/>
            <w:tcMar>
              <w:top w:w="12" w:type="dxa"/>
              <w:left w:w="12" w:type="dxa"/>
              <w:right w:w="12" w:type="dxa"/>
            </w:tcMar>
            <w:vAlign w:val="center"/>
          </w:tcPr>
          <w:p w14:paraId="75C3370E">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2矿区绿化美化（</w:t>
            </w:r>
            <w:r>
              <w:rPr>
                <w:rFonts w:hint="eastAsia" w:eastAsia="仿宋_GB2312"/>
                <w:color w:val="000000"/>
                <w:kern w:val="0"/>
                <w:sz w:val="21"/>
                <w:szCs w:val="21"/>
                <w:lang w:val="en-US" w:eastAsia="zh-CN" w:bidi="ar"/>
              </w:rPr>
              <w:t>3</w:t>
            </w:r>
            <w:r>
              <w:rPr>
                <w:rFonts w:eastAsia="仿宋_GB2312"/>
                <w:color w:val="000000"/>
                <w:kern w:val="0"/>
                <w:sz w:val="21"/>
                <w:szCs w:val="21"/>
                <w:lang w:val="en-US" w:eastAsia="zh-CN" w:bidi="ar"/>
              </w:rPr>
              <w:t>分）</w:t>
            </w:r>
          </w:p>
        </w:tc>
        <w:tc>
          <w:tcPr>
            <w:tcW w:w="771" w:type="dxa"/>
            <w:gridSpan w:val="2"/>
            <w:noWrap w:val="0"/>
            <w:tcMar>
              <w:top w:w="12" w:type="dxa"/>
              <w:left w:w="12" w:type="dxa"/>
              <w:right w:w="12" w:type="dxa"/>
            </w:tcMar>
            <w:vAlign w:val="center"/>
          </w:tcPr>
          <w:p w14:paraId="3ACBD09F">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6矿区绿化</w:t>
            </w:r>
          </w:p>
        </w:tc>
        <w:tc>
          <w:tcPr>
            <w:tcW w:w="694" w:type="dxa"/>
            <w:noWrap w:val="0"/>
            <w:tcMar>
              <w:top w:w="12" w:type="dxa"/>
              <w:left w:w="12" w:type="dxa"/>
              <w:right w:w="12" w:type="dxa"/>
            </w:tcMar>
            <w:vAlign w:val="center"/>
          </w:tcPr>
          <w:p w14:paraId="0C37F234">
            <w:pPr>
              <w:widowControl/>
              <w:adjustRightInd w:val="0"/>
              <w:snapToGrid w:val="0"/>
              <w:jc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65641010">
            <w:pPr>
              <w:widowControl/>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矿区可绿化区域实现全覆盖，且无大面积表土裸露。符合要求得</w:t>
            </w:r>
            <w:r>
              <w:rPr>
                <w:rFonts w:hint="eastAsia" w:eastAsia="仿宋_GB2312"/>
                <w:color w:val="000000"/>
                <w:kern w:val="0"/>
                <w:sz w:val="21"/>
                <w:szCs w:val="21"/>
                <w:lang w:val="en-US" w:eastAsia="zh-CN" w:bidi="ar-SA"/>
              </w:rPr>
              <w:t>2</w:t>
            </w:r>
            <w:r>
              <w:rPr>
                <w:rFonts w:eastAsia="仿宋_GB2312"/>
                <w:color w:val="000000"/>
                <w:kern w:val="0"/>
                <w:sz w:val="21"/>
                <w:szCs w:val="21"/>
                <w:lang w:val="en-US" w:eastAsia="zh-CN" w:bidi="ar-SA"/>
              </w:rPr>
              <w:t>分，发现一处不符合扣</w:t>
            </w:r>
            <w:r>
              <w:rPr>
                <w:rFonts w:hint="eastAsia" w:eastAsia="仿宋_GB2312"/>
                <w:color w:val="000000"/>
                <w:kern w:val="0"/>
                <w:sz w:val="21"/>
                <w:szCs w:val="21"/>
                <w:lang w:val="en-US" w:eastAsia="zh-CN" w:bidi="ar-SA"/>
              </w:rPr>
              <w:t>0.5</w:t>
            </w:r>
            <w:r>
              <w:rPr>
                <w:rFonts w:eastAsia="仿宋_GB2312"/>
                <w:color w:val="000000"/>
                <w:kern w:val="0"/>
                <w:sz w:val="21"/>
                <w:szCs w:val="21"/>
                <w:lang w:val="en-US" w:eastAsia="zh-CN" w:bidi="ar-SA"/>
              </w:rPr>
              <w:t>分。</w:t>
            </w:r>
          </w:p>
        </w:tc>
        <w:tc>
          <w:tcPr>
            <w:tcW w:w="866" w:type="dxa"/>
            <w:noWrap w:val="0"/>
            <w:tcMar>
              <w:top w:w="12" w:type="dxa"/>
              <w:left w:w="12" w:type="dxa"/>
              <w:right w:w="12" w:type="dxa"/>
            </w:tcMar>
            <w:vAlign w:val="center"/>
          </w:tcPr>
          <w:p w14:paraId="6DFB4A17">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查现场</w:t>
            </w:r>
          </w:p>
        </w:tc>
        <w:tc>
          <w:tcPr>
            <w:tcW w:w="2640" w:type="dxa"/>
            <w:noWrap w:val="0"/>
            <w:tcMar>
              <w:top w:w="12" w:type="dxa"/>
              <w:left w:w="12" w:type="dxa"/>
              <w:right w:w="12" w:type="dxa"/>
            </w:tcMar>
            <w:vAlign w:val="center"/>
          </w:tcPr>
          <w:p w14:paraId="796C1DDA">
            <w:pPr>
              <w:widowControl w:val="0"/>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可绿化</w:t>
            </w:r>
            <w:r>
              <w:rPr>
                <w:rFonts w:hint="eastAsia" w:eastAsia="仿宋_GB2312"/>
                <w:color w:val="000000"/>
                <w:kern w:val="0"/>
                <w:sz w:val="21"/>
                <w:szCs w:val="21"/>
                <w:lang w:val="en-US" w:eastAsia="zh-CN" w:bidi="ar-SA"/>
              </w:rPr>
              <w:t>区域</w:t>
            </w:r>
            <w:r>
              <w:rPr>
                <w:rFonts w:eastAsia="仿宋_GB2312"/>
                <w:color w:val="000000"/>
                <w:kern w:val="0"/>
                <w:sz w:val="21"/>
                <w:szCs w:val="21"/>
                <w:lang w:val="en-US" w:eastAsia="zh-CN" w:bidi="ar-SA"/>
              </w:rPr>
              <w:t>是指除采场、建筑覆盖区、硬化地面</w:t>
            </w:r>
            <w:r>
              <w:rPr>
                <w:rFonts w:hint="eastAsia" w:eastAsia="仿宋_GB2312"/>
                <w:color w:val="000000"/>
                <w:kern w:val="0"/>
                <w:sz w:val="21"/>
                <w:szCs w:val="21"/>
                <w:lang w:val="en-US" w:eastAsia="zh-CN" w:bidi="ar-SA"/>
              </w:rPr>
              <w:t>等</w:t>
            </w:r>
            <w:r>
              <w:rPr>
                <w:rFonts w:eastAsia="仿宋_GB2312"/>
                <w:color w:val="000000"/>
                <w:kern w:val="0"/>
                <w:sz w:val="21"/>
                <w:szCs w:val="21"/>
                <w:lang w:val="en-US" w:eastAsia="zh-CN" w:bidi="ar-SA"/>
              </w:rPr>
              <w:t>不宜进行绿化区域以外的区域</w:t>
            </w:r>
          </w:p>
        </w:tc>
        <w:tc>
          <w:tcPr>
            <w:tcW w:w="915" w:type="dxa"/>
            <w:noWrap w:val="0"/>
            <w:vAlign w:val="center"/>
          </w:tcPr>
          <w:p w14:paraId="1F4548B3">
            <w:pPr>
              <w:widowControl w:val="0"/>
              <w:adjustRightInd w:val="0"/>
              <w:snapToGrid w:val="0"/>
              <w:jc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提升</w:t>
            </w:r>
            <w:r>
              <w:rPr>
                <w:rFonts w:eastAsia="仿宋_GB2312"/>
                <w:color w:val="000000"/>
                <w:kern w:val="0"/>
                <w:sz w:val="21"/>
                <w:szCs w:val="21"/>
                <w:lang w:val="en-US" w:eastAsia="zh-CN" w:bidi="ar-SA"/>
              </w:rPr>
              <w:t>性</w:t>
            </w:r>
          </w:p>
        </w:tc>
        <w:tc>
          <w:tcPr>
            <w:tcW w:w="915" w:type="dxa"/>
            <w:noWrap w:val="0"/>
            <w:tcMar>
              <w:top w:w="12" w:type="dxa"/>
              <w:left w:w="12" w:type="dxa"/>
              <w:right w:w="12" w:type="dxa"/>
            </w:tcMar>
            <w:vAlign w:val="center"/>
          </w:tcPr>
          <w:p w14:paraId="53415172">
            <w:pPr>
              <w:widowControl w:val="0"/>
              <w:adjustRightInd w:val="0"/>
              <w:snapToGrid w:val="0"/>
              <w:jc w:val="center"/>
              <w:rPr>
                <w:rFonts w:eastAsia="仿宋_GB2312"/>
                <w:color w:val="000000"/>
                <w:kern w:val="0"/>
                <w:sz w:val="21"/>
                <w:szCs w:val="21"/>
                <w:lang w:val="en-US" w:eastAsia="zh-CN" w:bidi="ar-SA"/>
              </w:rPr>
            </w:pPr>
          </w:p>
        </w:tc>
        <w:tc>
          <w:tcPr>
            <w:tcW w:w="501" w:type="dxa"/>
            <w:noWrap w:val="0"/>
            <w:tcMar>
              <w:top w:w="12" w:type="dxa"/>
              <w:left w:w="12" w:type="dxa"/>
              <w:right w:w="12" w:type="dxa"/>
            </w:tcMar>
            <w:vAlign w:val="center"/>
          </w:tcPr>
          <w:p w14:paraId="5B0178E4">
            <w:pPr>
              <w:widowControl w:val="0"/>
              <w:adjustRightInd w:val="0"/>
              <w:snapToGrid w:val="0"/>
              <w:jc w:val="center"/>
              <w:rPr>
                <w:rFonts w:eastAsia="仿宋_GB2312"/>
                <w:color w:val="000000"/>
                <w:kern w:val="0"/>
                <w:sz w:val="18"/>
                <w:szCs w:val="18"/>
                <w:lang w:val="en-US" w:eastAsia="zh-CN" w:bidi="ar-SA"/>
              </w:rPr>
            </w:pPr>
          </w:p>
        </w:tc>
      </w:tr>
      <w:tr w14:paraId="5647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074" w:type="dxa"/>
            <w:vMerge w:val="continue"/>
            <w:noWrap w:val="0"/>
            <w:tcMar>
              <w:top w:w="12" w:type="dxa"/>
              <w:left w:w="12" w:type="dxa"/>
              <w:right w:w="12" w:type="dxa"/>
            </w:tcMar>
            <w:vAlign w:val="center"/>
          </w:tcPr>
          <w:p w14:paraId="6A133132">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7F4511D0">
            <w:pPr>
              <w:widowControl w:val="0"/>
              <w:adjustRightInd w:val="0"/>
              <w:snapToGrid w:val="0"/>
              <w:jc w:val="center"/>
              <w:rPr>
                <w:rFonts w:eastAsia="仿宋_GB2312"/>
                <w:color w:val="000000"/>
                <w:kern w:val="0"/>
                <w:sz w:val="21"/>
                <w:szCs w:val="21"/>
                <w:lang w:val="en-US" w:eastAsia="zh-CN" w:bidi="ar-SA"/>
              </w:rPr>
            </w:pPr>
          </w:p>
        </w:tc>
        <w:tc>
          <w:tcPr>
            <w:tcW w:w="771" w:type="dxa"/>
            <w:gridSpan w:val="2"/>
            <w:noWrap w:val="0"/>
            <w:tcMar>
              <w:top w:w="12" w:type="dxa"/>
              <w:left w:w="12" w:type="dxa"/>
              <w:right w:w="12" w:type="dxa"/>
            </w:tcMar>
            <w:vAlign w:val="center"/>
          </w:tcPr>
          <w:p w14:paraId="358FAA8E">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7绿化效果</w:t>
            </w:r>
          </w:p>
        </w:tc>
        <w:tc>
          <w:tcPr>
            <w:tcW w:w="694" w:type="dxa"/>
            <w:noWrap w:val="0"/>
            <w:tcMar>
              <w:top w:w="12" w:type="dxa"/>
              <w:left w:w="12" w:type="dxa"/>
              <w:right w:w="12" w:type="dxa"/>
            </w:tcMar>
            <w:vAlign w:val="center"/>
          </w:tcPr>
          <w:p w14:paraId="2FD6C70F">
            <w:pPr>
              <w:widowControl/>
              <w:adjustRightInd w:val="0"/>
              <w:snapToGrid w:val="0"/>
              <w:jc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1</w:t>
            </w:r>
          </w:p>
        </w:tc>
        <w:tc>
          <w:tcPr>
            <w:tcW w:w="5646" w:type="dxa"/>
            <w:noWrap w:val="0"/>
            <w:tcMar>
              <w:top w:w="12" w:type="dxa"/>
              <w:left w:w="12" w:type="dxa"/>
              <w:right w:w="12" w:type="dxa"/>
            </w:tcMar>
            <w:vAlign w:val="center"/>
          </w:tcPr>
          <w:p w14:paraId="5CAB9CB1">
            <w:pPr>
              <w:widowControl/>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绿化植物以本土物种为主，搭配合理，与周边</w:t>
            </w:r>
            <w:r>
              <w:rPr>
                <w:rFonts w:hint="eastAsia" w:eastAsia="仿宋_GB2312"/>
                <w:color w:val="000000"/>
                <w:kern w:val="0"/>
                <w:sz w:val="21"/>
                <w:szCs w:val="21"/>
                <w:lang w:val="en-US" w:eastAsia="zh-CN" w:bidi="ar-SA"/>
              </w:rPr>
              <w:t>环境协调</w:t>
            </w:r>
            <w:r>
              <w:rPr>
                <w:rFonts w:eastAsia="仿宋_GB2312"/>
                <w:color w:val="000000"/>
                <w:kern w:val="0"/>
                <w:sz w:val="21"/>
                <w:szCs w:val="21"/>
                <w:lang w:val="en-US" w:eastAsia="zh-CN" w:bidi="ar-SA"/>
              </w:rPr>
              <w:t>一致</w:t>
            </w:r>
            <w:r>
              <w:rPr>
                <w:rFonts w:hint="eastAsia" w:eastAsia="仿宋_GB2312"/>
                <w:color w:val="000000"/>
                <w:kern w:val="0"/>
                <w:sz w:val="21"/>
                <w:szCs w:val="21"/>
                <w:lang w:val="en-US" w:eastAsia="zh-CN" w:bidi="ar-SA"/>
              </w:rPr>
              <w:t>，</w:t>
            </w:r>
            <w:r>
              <w:rPr>
                <w:rFonts w:eastAsia="仿宋_GB2312"/>
                <w:color w:val="000000"/>
                <w:spacing w:val="-6"/>
                <w:kern w:val="0"/>
                <w:sz w:val="21"/>
                <w:szCs w:val="21"/>
                <w:lang w:val="en-US" w:eastAsia="zh-CN" w:bidi="ar-SA"/>
              </w:rPr>
              <w:t>符合当地气候条件</w:t>
            </w:r>
            <w:r>
              <w:rPr>
                <w:rFonts w:hint="eastAsia" w:eastAsia="仿宋_GB2312"/>
                <w:color w:val="000000"/>
                <w:spacing w:val="-6"/>
                <w:kern w:val="0"/>
                <w:sz w:val="21"/>
                <w:szCs w:val="21"/>
                <w:lang w:val="en-US" w:eastAsia="zh-CN" w:bidi="ar-SA"/>
              </w:rPr>
              <w:t>。</w:t>
            </w:r>
            <w:r>
              <w:rPr>
                <w:rFonts w:eastAsia="仿宋_GB2312"/>
                <w:color w:val="000000"/>
                <w:spacing w:val="-6"/>
                <w:kern w:val="0"/>
                <w:sz w:val="21"/>
                <w:szCs w:val="21"/>
                <w:lang w:val="en-US" w:eastAsia="zh-CN" w:bidi="ar-SA"/>
              </w:rPr>
              <w:t>符合要求得</w:t>
            </w:r>
            <w:r>
              <w:rPr>
                <w:rFonts w:hint="eastAsia" w:eastAsia="仿宋_GB2312"/>
                <w:color w:val="000000"/>
                <w:spacing w:val="-6"/>
                <w:kern w:val="0"/>
                <w:sz w:val="21"/>
                <w:szCs w:val="21"/>
                <w:lang w:val="en-US" w:eastAsia="zh-CN" w:bidi="ar-SA"/>
              </w:rPr>
              <w:t>1</w:t>
            </w:r>
            <w:r>
              <w:rPr>
                <w:rFonts w:eastAsia="仿宋_GB2312"/>
                <w:color w:val="000000"/>
                <w:spacing w:val="-6"/>
                <w:kern w:val="0"/>
                <w:sz w:val="21"/>
                <w:szCs w:val="21"/>
                <w:lang w:val="en-US" w:eastAsia="zh-CN" w:bidi="ar-SA"/>
              </w:rPr>
              <w:t>分，发现一处不符合扣</w:t>
            </w:r>
            <w:r>
              <w:rPr>
                <w:rFonts w:hint="eastAsia" w:eastAsia="仿宋_GB2312"/>
                <w:color w:val="000000"/>
                <w:spacing w:val="-6"/>
                <w:kern w:val="0"/>
                <w:sz w:val="21"/>
                <w:szCs w:val="21"/>
                <w:lang w:val="en-US" w:eastAsia="zh-CN" w:bidi="ar-SA"/>
              </w:rPr>
              <w:t>0.5</w:t>
            </w:r>
            <w:r>
              <w:rPr>
                <w:rFonts w:eastAsia="仿宋_GB2312"/>
                <w:color w:val="000000"/>
                <w:spacing w:val="-6"/>
                <w:kern w:val="0"/>
                <w:sz w:val="21"/>
                <w:szCs w:val="21"/>
                <w:lang w:val="en-US" w:eastAsia="zh-CN" w:bidi="ar-SA"/>
              </w:rPr>
              <w:t>分。</w:t>
            </w:r>
          </w:p>
        </w:tc>
        <w:tc>
          <w:tcPr>
            <w:tcW w:w="866" w:type="dxa"/>
            <w:noWrap w:val="0"/>
            <w:tcMar>
              <w:top w:w="12" w:type="dxa"/>
              <w:left w:w="12" w:type="dxa"/>
              <w:right w:w="12" w:type="dxa"/>
            </w:tcMar>
            <w:vAlign w:val="center"/>
          </w:tcPr>
          <w:p w14:paraId="7D1F6730">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查现场</w:t>
            </w:r>
          </w:p>
        </w:tc>
        <w:tc>
          <w:tcPr>
            <w:tcW w:w="2640" w:type="dxa"/>
            <w:noWrap w:val="0"/>
            <w:tcMar>
              <w:top w:w="12" w:type="dxa"/>
              <w:left w:w="12" w:type="dxa"/>
              <w:right w:w="12" w:type="dxa"/>
            </w:tcMar>
            <w:vAlign w:val="center"/>
          </w:tcPr>
          <w:p w14:paraId="19B6B16B">
            <w:pPr>
              <w:widowControl w:val="0"/>
              <w:adjustRightInd w:val="0"/>
              <w:snapToGrid w:val="0"/>
              <w:jc w:val="left"/>
              <w:rPr>
                <w:rFonts w:eastAsia="仿宋_GB2312"/>
                <w:color w:val="000000"/>
                <w:kern w:val="0"/>
                <w:sz w:val="21"/>
                <w:szCs w:val="21"/>
                <w:lang w:val="en-US" w:eastAsia="zh-CN" w:bidi="ar-SA"/>
              </w:rPr>
            </w:pPr>
          </w:p>
        </w:tc>
        <w:tc>
          <w:tcPr>
            <w:tcW w:w="915" w:type="dxa"/>
            <w:noWrap w:val="0"/>
            <w:vAlign w:val="center"/>
          </w:tcPr>
          <w:p w14:paraId="01499809">
            <w:pPr>
              <w:widowControl w:val="0"/>
              <w:adjustRightInd w:val="0"/>
              <w:snapToGrid w:val="0"/>
              <w:jc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提升</w:t>
            </w:r>
            <w:r>
              <w:rPr>
                <w:rFonts w:eastAsia="仿宋_GB2312"/>
                <w:color w:val="000000"/>
                <w:kern w:val="0"/>
                <w:sz w:val="21"/>
                <w:szCs w:val="21"/>
                <w:lang w:val="en-US" w:eastAsia="zh-CN" w:bidi="ar-SA"/>
              </w:rPr>
              <w:t>性</w:t>
            </w:r>
          </w:p>
        </w:tc>
        <w:tc>
          <w:tcPr>
            <w:tcW w:w="915" w:type="dxa"/>
            <w:noWrap w:val="0"/>
            <w:tcMar>
              <w:top w:w="12" w:type="dxa"/>
              <w:left w:w="12" w:type="dxa"/>
              <w:right w:w="12" w:type="dxa"/>
            </w:tcMar>
            <w:vAlign w:val="center"/>
          </w:tcPr>
          <w:p w14:paraId="21288926">
            <w:pPr>
              <w:widowControl w:val="0"/>
              <w:adjustRightInd w:val="0"/>
              <w:snapToGrid w:val="0"/>
              <w:jc w:val="center"/>
              <w:rPr>
                <w:rFonts w:eastAsia="仿宋_GB2312"/>
                <w:color w:val="000000"/>
                <w:kern w:val="0"/>
                <w:sz w:val="21"/>
                <w:szCs w:val="21"/>
                <w:lang w:val="en-US" w:eastAsia="zh-CN" w:bidi="ar-SA"/>
              </w:rPr>
            </w:pPr>
          </w:p>
        </w:tc>
        <w:tc>
          <w:tcPr>
            <w:tcW w:w="501" w:type="dxa"/>
            <w:noWrap w:val="0"/>
            <w:tcMar>
              <w:top w:w="12" w:type="dxa"/>
              <w:left w:w="12" w:type="dxa"/>
              <w:right w:w="12" w:type="dxa"/>
            </w:tcMar>
            <w:vAlign w:val="center"/>
          </w:tcPr>
          <w:p w14:paraId="4D1C7393">
            <w:pPr>
              <w:widowControl w:val="0"/>
              <w:adjustRightInd w:val="0"/>
              <w:snapToGrid w:val="0"/>
              <w:jc w:val="center"/>
              <w:rPr>
                <w:rFonts w:eastAsia="仿宋_GB2312"/>
                <w:color w:val="000000"/>
                <w:kern w:val="0"/>
                <w:sz w:val="18"/>
                <w:szCs w:val="18"/>
                <w:lang w:val="en-US" w:eastAsia="zh-CN" w:bidi="ar-SA"/>
              </w:rPr>
            </w:pPr>
          </w:p>
        </w:tc>
      </w:tr>
      <w:tr w14:paraId="31C0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4" w:type="dxa"/>
            <w:vMerge w:val="restart"/>
            <w:noWrap w:val="0"/>
            <w:tcMar>
              <w:top w:w="12" w:type="dxa"/>
              <w:left w:w="12" w:type="dxa"/>
              <w:right w:w="12" w:type="dxa"/>
            </w:tcMar>
            <w:vAlign w:val="center"/>
          </w:tcPr>
          <w:p w14:paraId="0311088A">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二、资源开采（4项，20分）</w:t>
            </w:r>
          </w:p>
        </w:tc>
        <w:tc>
          <w:tcPr>
            <w:tcW w:w="1050" w:type="dxa"/>
            <w:vMerge w:val="restart"/>
            <w:noWrap w:val="0"/>
            <w:tcMar>
              <w:top w:w="12" w:type="dxa"/>
              <w:left w:w="12" w:type="dxa"/>
              <w:right w:w="12" w:type="dxa"/>
            </w:tcMar>
            <w:vAlign w:val="center"/>
          </w:tcPr>
          <w:p w14:paraId="32503D9B">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1开采活动（15分）</w:t>
            </w:r>
          </w:p>
        </w:tc>
        <w:tc>
          <w:tcPr>
            <w:tcW w:w="771" w:type="dxa"/>
            <w:gridSpan w:val="2"/>
            <w:noWrap w:val="0"/>
            <w:tcMar>
              <w:top w:w="12" w:type="dxa"/>
              <w:left w:w="12" w:type="dxa"/>
              <w:right w:w="12" w:type="dxa"/>
            </w:tcMar>
            <w:vAlign w:val="center"/>
          </w:tcPr>
          <w:p w14:paraId="7AD264EF">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8开采方式</w:t>
            </w:r>
          </w:p>
        </w:tc>
        <w:tc>
          <w:tcPr>
            <w:tcW w:w="694" w:type="dxa"/>
            <w:noWrap w:val="0"/>
            <w:tcMar>
              <w:top w:w="12" w:type="dxa"/>
              <w:left w:w="12" w:type="dxa"/>
              <w:right w:w="12" w:type="dxa"/>
            </w:tcMar>
            <w:vAlign w:val="center"/>
          </w:tcPr>
          <w:p w14:paraId="09A84B21">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5</w:t>
            </w:r>
          </w:p>
        </w:tc>
        <w:tc>
          <w:tcPr>
            <w:tcW w:w="5646" w:type="dxa"/>
            <w:noWrap w:val="0"/>
            <w:tcMar>
              <w:top w:w="12" w:type="dxa"/>
              <w:left w:w="12" w:type="dxa"/>
              <w:right w:w="12" w:type="dxa"/>
            </w:tcMar>
            <w:vAlign w:val="center"/>
          </w:tcPr>
          <w:p w14:paraId="0A5A5D63">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
              </w:rPr>
              <w:t>★</w:t>
            </w:r>
            <w:r>
              <w:rPr>
                <w:rFonts w:eastAsia="仿宋_GB2312"/>
                <w:color w:val="000000"/>
                <w:kern w:val="0"/>
                <w:sz w:val="21"/>
                <w:szCs w:val="21"/>
                <w:lang w:val="en-US" w:eastAsia="zh-CN" w:bidi="ar-SA"/>
              </w:rPr>
              <w:t>露天开采：</w:t>
            </w:r>
          </w:p>
          <w:p w14:paraId="22E665A8">
            <w:pPr>
              <w:widowControl w:val="0"/>
              <w:adjustRightInd w:val="0"/>
              <w:snapToGrid w:val="0"/>
              <w:jc w:val="both"/>
              <w:rPr>
                <w:rFonts w:hint="eastAsia" w:eastAsia="仿宋_GB2312"/>
                <w:color w:val="000000"/>
                <w:kern w:val="0"/>
                <w:sz w:val="21"/>
                <w:szCs w:val="21"/>
                <w:lang w:val="en-US" w:eastAsia="zh-CN" w:bidi="ar-SA"/>
              </w:rPr>
            </w:pPr>
            <w:r>
              <w:rPr>
                <w:rFonts w:eastAsia="仿宋_GB2312"/>
                <w:color w:val="000000"/>
                <w:kern w:val="0"/>
                <w:sz w:val="21"/>
                <w:szCs w:val="21"/>
                <w:lang w:val="en-US" w:eastAsia="zh-CN" w:bidi="ar-SA"/>
              </w:rPr>
              <w:t>露天开采采用自上而下分台阶开采，符合开采设计要求。</w:t>
            </w:r>
            <w:r>
              <w:rPr>
                <w:rFonts w:hint="eastAsia" w:eastAsia="仿宋_GB2312"/>
                <w:color w:val="000000"/>
                <w:kern w:val="0"/>
                <w:sz w:val="21"/>
                <w:szCs w:val="21"/>
                <w:lang w:val="en-US" w:eastAsia="zh-CN" w:bidi="ar-SA"/>
              </w:rPr>
              <w:t>坚持采剥并举、剥离先行的原则，优化开采布局，选择合理工艺，科学制定</w:t>
            </w:r>
            <w:r>
              <w:rPr>
                <w:rFonts w:eastAsia="仿宋_GB2312"/>
                <w:color w:val="000000"/>
                <w:kern w:val="0"/>
                <w:sz w:val="21"/>
                <w:szCs w:val="21"/>
                <w:lang w:val="en-US" w:eastAsia="zh-CN" w:bidi="ar-SA"/>
              </w:rPr>
              <w:t>采排</w:t>
            </w:r>
            <w:r>
              <w:rPr>
                <w:rFonts w:hint="eastAsia" w:eastAsia="仿宋_GB2312"/>
                <w:color w:val="000000"/>
                <w:kern w:val="0"/>
                <w:sz w:val="21"/>
                <w:szCs w:val="21"/>
                <w:lang w:val="en-US" w:eastAsia="zh-CN" w:bidi="ar-SA"/>
              </w:rPr>
              <w:t>计划，尽量减少对地表的破坏。</w:t>
            </w:r>
          </w:p>
          <w:p w14:paraId="1275459A">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
              </w:rPr>
              <w:t>★</w:t>
            </w:r>
            <w:r>
              <w:rPr>
                <w:rFonts w:eastAsia="仿宋_GB2312"/>
                <w:color w:val="000000"/>
                <w:kern w:val="0"/>
                <w:sz w:val="21"/>
                <w:szCs w:val="21"/>
                <w:lang w:val="en-US" w:eastAsia="zh-CN" w:bidi="ar-SA"/>
              </w:rPr>
              <w:t>地下开采：</w:t>
            </w:r>
          </w:p>
          <w:p w14:paraId="4C079602">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地下开采方法和顺序合理，符合开采设计要求</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开采技术</w:t>
            </w:r>
            <w:r>
              <w:rPr>
                <w:rFonts w:hint="eastAsia" w:eastAsia="仿宋_GB2312"/>
                <w:color w:val="000000"/>
                <w:kern w:val="0"/>
                <w:sz w:val="21"/>
                <w:szCs w:val="21"/>
                <w:lang w:val="en-US" w:eastAsia="zh-CN" w:bidi="ar-SA"/>
              </w:rPr>
              <w:t>符合</w:t>
            </w:r>
            <w:r>
              <w:rPr>
                <w:rFonts w:eastAsia="仿宋_GB2312"/>
                <w:color w:val="000000"/>
                <w:kern w:val="0"/>
                <w:sz w:val="21"/>
                <w:szCs w:val="21"/>
                <w:lang w:val="en-US" w:eastAsia="zh-CN" w:bidi="ar-SA"/>
              </w:rPr>
              <w:t>生态环境保护要求。</w:t>
            </w:r>
          </w:p>
          <w:p w14:paraId="542EB7E9">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符合要求得5分，不符合得0分。</w:t>
            </w:r>
          </w:p>
        </w:tc>
        <w:tc>
          <w:tcPr>
            <w:tcW w:w="866" w:type="dxa"/>
            <w:noWrap w:val="0"/>
            <w:tcMar>
              <w:top w:w="12" w:type="dxa"/>
              <w:left w:w="12" w:type="dxa"/>
              <w:right w:w="12" w:type="dxa"/>
            </w:tcMar>
            <w:vAlign w:val="center"/>
          </w:tcPr>
          <w:p w14:paraId="45A59B2F">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查现场</w:t>
            </w:r>
          </w:p>
        </w:tc>
        <w:tc>
          <w:tcPr>
            <w:tcW w:w="2640" w:type="dxa"/>
            <w:noWrap w:val="0"/>
            <w:tcMar>
              <w:top w:w="12" w:type="dxa"/>
              <w:left w:w="12" w:type="dxa"/>
              <w:right w:w="12" w:type="dxa"/>
            </w:tcMar>
            <w:vAlign w:val="center"/>
          </w:tcPr>
          <w:p w14:paraId="6ABEE7A2">
            <w:pPr>
              <w:widowControl w:val="0"/>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开采设计</w:t>
            </w:r>
          </w:p>
        </w:tc>
        <w:tc>
          <w:tcPr>
            <w:tcW w:w="915" w:type="dxa"/>
            <w:noWrap w:val="0"/>
            <w:vAlign w:val="center"/>
          </w:tcPr>
          <w:p w14:paraId="0FF74CAA">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约束性</w:t>
            </w:r>
          </w:p>
        </w:tc>
        <w:tc>
          <w:tcPr>
            <w:tcW w:w="915" w:type="dxa"/>
            <w:noWrap w:val="0"/>
            <w:tcMar>
              <w:top w:w="12" w:type="dxa"/>
              <w:left w:w="12" w:type="dxa"/>
              <w:right w:w="12" w:type="dxa"/>
            </w:tcMar>
            <w:vAlign w:val="center"/>
          </w:tcPr>
          <w:p w14:paraId="5ECCF4D1">
            <w:pPr>
              <w:widowControl w:val="0"/>
              <w:adjustRightInd w:val="0"/>
              <w:snapToGrid w:val="0"/>
              <w:jc w:val="center"/>
              <w:rPr>
                <w:rFonts w:eastAsia="仿宋_GB2312"/>
                <w:color w:val="000000"/>
                <w:kern w:val="0"/>
                <w:sz w:val="21"/>
                <w:szCs w:val="21"/>
                <w:lang w:val="en-US" w:eastAsia="zh-CN" w:bidi="ar-SA"/>
              </w:rPr>
            </w:pPr>
          </w:p>
        </w:tc>
        <w:tc>
          <w:tcPr>
            <w:tcW w:w="501" w:type="dxa"/>
            <w:noWrap w:val="0"/>
            <w:tcMar>
              <w:top w:w="12" w:type="dxa"/>
              <w:left w:w="12" w:type="dxa"/>
              <w:right w:w="12" w:type="dxa"/>
            </w:tcMar>
            <w:vAlign w:val="center"/>
          </w:tcPr>
          <w:p w14:paraId="53E23A98">
            <w:pPr>
              <w:widowControl w:val="0"/>
              <w:adjustRightInd w:val="0"/>
              <w:snapToGrid w:val="0"/>
              <w:jc w:val="center"/>
              <w:rPr>
                <w:rFonts w:eastAsia="仿宋_GB2312"/>
                <w:color w:val="000000"/>
                <w:kern w:val="0"/>
                <w:sz w:val="18"/>
                <w:szCs w:val="18"/>
                <w:lang w:val="en-US" w:eastAsia="zh-CN" w:bidi="ar-SA"/>
              </w:rPr>
            </w:pPr>
          </w:p>
        </w:tc>
      </w:tr>
      <w:tr w14:paraId="1124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074" w:type="dxa"/>
            <w:vMerge w:val="continue"/>
            <w:noWrap w:val="0"/>
            <w:tcMar>
              <w:top w:w="12" w:type="dxa"/>
              <w:left w:w="12" w:type="dxa"/>
              <w:right w:w="12" w:type="dxa"/>
            </w:tcMar>
            <w:vAlign w:val="center"/>
          </w:tcPr>
          <w:p w14:paraId="651117CD">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370D4301">
            <w:pPr>
              <w:widowControl w:val="0"/>
              <w:adjustRightInd w:val="0"/>
              <w:snapToGrid w:val="0"/>
              <w:jc w:val="center"/>
              <w:rPr>
                <w:rFonts w:eastAsia="仿宋_GB2312"/>
                <w:color w:val="000000"/>
                <w:kern w:val="0"/>
                <w:sz w:val="21"/>
                <w:szCs w:val="21"/>
                <w:lang w:val="en-US" w:eastAsia="zh-CN" w:bidi="ar-SA"/>
              </w:rPr>
            </w:pPr>
          </w:p>
        </w:tc>
        <w:tc>
          <w:tcPr>
            <w:tcW w:w="771" w:type="dxa"/>
            <w:gridSpan w:val="2"/>
            <w:noWrap w:val="0"/>
            <w:tcMar>
              <w:top w:w="12" w:type="dxa"/>
              <w:left w:w="12" w:type="dxa"/>
              <w:right w:w="12" w:type="dxa"/>
            </w:tcMar>
            <w:vAlign w:val="center"/>
          </w:tcPr>
          <w:p w14:paraId="3740C0FD">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9开采技术</w:t>
            </w:r>
          </w:p>
        </w:tc>
        <w:tc>
          <w:tcPr>
            <w:tcW w:w="694" w:type="dxa"/>
            <w:noWrap w:val="0"/>
            <w:tcMar>
              <w:top w:w="12" w:type="dxa"/>
              <w:left w:w="12" w:type="dxa"/>
              <w:right w:w="12" w:type="dxa"/>
            </w:tcMar>
            <w:vAlign w:val="center"/>
          </w:tcPr>
          <w:p w14:paraId="69D14BFD">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8</w:t>
            </w:r>
          </w:p>
        </w:tc>
        <w:tc>
          <w:tcPr>
            <w:tcW w:w="5646" w:type="dxa"/>
            <w:noWrap w:val="0"/>
            <w:tcMar>
              <w:top w:w="12" w:type="dxa"/>
              <w:left w:w="12" w:type="dxa"/>
              <w:right w:w="12" w:type="dxa"/>
            </w:tcMar>
            <w:vAlign w:val="center"/>
          </w:tcPr>
          <w:p w14:paraId="2DE1FA03">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
              </w:rPr>
              <w:t>★</w:t>
            </w:r>
            <w:r>
              <w:rPr>
                <w:rFonts w:eastAsia="仿宋_GB2312"/>
                <w:color w:val="000000"/>
                <w:kern w:val="0"/>
                <w:sz w:val="21"/>
                <w:szCs w:val="21"/>
                <w:lang w:val="en-US" w:eastAsia="zh-CN" w:bidi="ar-SA"/>
              </w:rPr>
              <w:t>露天开采：</w:t>
            </w:r>
          </w:p>
          <w:p w14:paraId="66BADED6">
            <w:pPr>
              <w:widowControl/>
              <w:adjustRightInd w:val="0"/>
              <w:snapToGrid w:val="0"/>
              <w:jc w:val="both"/>
              <w:textAlignment w:val="auto"/>
              <w:rPr>
                <w:rFonts w:eastAsia="仿宋_GB2312"/>
                <w:color w:val="000000"/>
                <w:kern w:val="0"/>
                <w:sz w:val="21"/>
                <w:szCs w:val="21"/>
                <w:lang w:val="en-US" w:eastAsia="zh-CN" w:bidi="ar"/>
              </w:rPr>
            </w:pPr>
            <w:r>
              <w:rPr>
                <w:rFonts w:eastAsia="仿宋_GB2312"/>
                <w:color w:val="000000"/>
                <w:kern w:val="0"/>
                <w:sz w:val="21"/>
                <w:szCs w:val="21"/>
                <w:lang w:val="en-US" w:eastAsia="zh-CN" w:bidi="ar"/>
              </w:rPr>
              <w:t>①钻孔：采用湿式、干式（带收尘）等凿岩作业</w:t>
            </w:r>
            <w:r>
              <w:rPr>
                <w:rFonts w:eastAsia="仿宋_GB2312"/>
                <w:color w:val="000000"/>
                <w:kern w:val="0"/>
                <w:sz w:val="21"/>
                <w:szCs w:val="21"/>
                <w:lang w:val="en-US" w:eastAsia="zh-CN" w:bidi="ar-SA"/>
              </w:rPr>
              <w:t>，得2分</w:t>
            </w:r>
            <w:r>
              <w:rPr>
                <w:rFonts w:eastAsia="仿宋_GB2312"/>
                <w:color w:val="000000"/>
                <w:kern w:val="0"/>
                <w:sz w:val="21"/>
                <w:szCs w:val="21"/>
                <w:lang w:val="en-US" w:eastAsia="zh-CN" w:bidi="ar"/>
              </w:rPr>
              <w:t>；</w:t>
            </w:r>
          </w:p>
          <w:p w14:paraId="4BB6FC8D">
            <w:pPr>
              <w:widowControl/>
              <w:adjustRightInd w:val="0"/>
              <w:snapToGrid w:val="0"/>
              <w:jc w:val="both"/>
              <w:textAlignment w:val="auto"/>
              <w:rPr>
                <w:rFonts w:eastAsia="仿宋_GB2312"/>
                <w:color w:val="000000"/>
                <w:kern w:val="0"/>
                <w:sz w:val="21"/>
                <w:szCs w:val="21"/>
                <w:lang w:val="en-US" w:eastAsia="zh-CN" w:bidi="ar"/>
              </w:rPr>
            </w:pPr>
            <w:r>
              <w:rPr>
                <w:rFonts w:eastAsia="仿宋_GB2312"/>
                <w:color w:val="000000"/>
                <w:kern w:val="0"/>
                <w:sz w:val="21"/>
                <w:szCs w:val="21"/>
                <w:lang w:val="en-US" w:eastAsia="zh-CN" w:bidi="ar"/>
              </w:rPr>
              <w:t>②爆破：采用微差爆破、预裂爆破、光面爆破等爆破作业</w:t>
            </w:r>
            <w:r>
              <w:rPr>
                <w:rFonts w:eastAsia="仿宋_GB2312"/>
                <w:color w:val="000000"/>
                <w:kern w:val="0"/>
                <w:sz w:val="21"/>
                <w:szCs w:val="21"/>
                <w:lang w:val="en-US" w:eastAsia="zh-CN" w:bidi="ar-SA"/>
              </w:rPr>
              <w:t>，得2分</w:t>
            </w:r>
            <w:r>
              <w:rPr>
                <w:rFonts w:eastAsia="仿宋_GB2312"/>
                <w:color w:val="000000"/>
                <w:kern w:val="0"/>
                <w:sz w:val="21"/>
                <w:szCs w:val="21"/>
                <w:lang w:val="en-US" w:eastAsia="zh-CN" w:bidi="ar"/>
              </w:rPr>
              <w:t>；</w:t>
            </w:r>
          </w:p>
          <w:p w14:paraId="5D057DBC">
            <w:pPr>
              <w:widowControl/>
              <w:adjustRightInd w:val="0"/>
              <w:snapToGrid w:val="0"/>
              <w:jc w:val="both"/>
              <w:textAlignment w:val="auto"/>
              <w:rPr>
                <w:rFonts w:eastAsia="仿宋_GB2312"/>
                <w:color w:val="000000"/>
                <w:kern w:val="0"/>
                <w:sz w:val="21"/>
                <w:szCs w:val="21"/>
                <w:lang w:val="en-US" w:eastAsia="zh-CN" w:bidi="ar"/>
              </w:rPr>
            </w:pPr>
            <w:r>
              <w:rPr>
                <w:rFonts w:eastAsia="仿宋_GB2312"/>
                <w:color w:val="000000"/>
                <w:kern w:val="0"/>
                <w:sz w:val="21"/>
                <w:szCs w:val="21"/>
                <w:lang w:val="en-US" w:eastAsia="zh-CN" w:bidi="ar"/>
              </w:rPr>
              <w:t>③铲装：采用大型化自动化液压铲装设备、液压挖掘机或装载机、自卸式矿车、大型自移式破碎机等先进设备进行铲装作业</w:t>
            </w:r>
            <w:r>
              <w:rPr>
                <w:rFonts w:eastAsia="仿宋_GB2312"/>
                <w:color w:val="000000"/>
                <w:kern w:val="0"/>
                <w:sz w:val="21"/>
                <w:szCs w:val="21"/>
                <w:lang w:val="en-US" w:eastAsia="zh-CN" w:bidi="ar-SA"/>
              </w:rPr>
              <w:t>，得2分</w:t>
            </w:r>
            <w:r>
              <w:rPr>
                <w:rFonts w:eastAsia="仿宋_GB2312"/>
                <w:color w:val="000000"/>
                <w:kern w:val="0"/>
                <w:sz w:val="21"/>
                <w:szCs w:val="21"/>
                <w:lang w:val="en-US" w:eastAsia="zh-CN" w:bidi="ar"/>
              </w:rPr>
              <w:t>；</w:t>
            </w:r>
          </w:p>
          <w:p w14:paraId="62F6A84C">
            <w:pPr>
              <w:widowControl/>
              <w:adjustRightInd w:val="0"/>
              <w:snapToGrid w:val="0"/>
              <w:jc w:val="both"/>
              <w:textAlignment w:val="auto"/>
              <w:rPr>
                <w:rFonts w:eastAsia="仿宋_GB2312"/>
                <w:color w:val="000000"/>
                <w:kern w:val="0"/>
                <w:sz w:val="21"/>
                <w:szCs w:val="21"/>
                <w:lang w:val="en-US" w:eastAsia="zh-CN" w:bidi="ar"/>
              </w:rPr>
            </w:pPr>
            <w:r>
              <w:rPr>
                <w:rFonts w:eastAsia="仿宋_GB2312"/>
                <w:color w:val="000000"/>
                <w:kern w:val="0"/>
                <w:sz w:val="21"/>
                <w:szCs w:val="21"/>
                <w:lang w:val="en-US" w:eastAsia="zh-CN" w:bidi="ar"/>
              </w:rPr>
              <w:t>④排土：生产期采用分期内排技术，最大化利用内排土场排土，减少外部土地占用</w:t>
            </w:r>
            <w:r>
              <w:rPr>
                <w:rFonts w:eastAsia="仿宋_GB2312"/>
                <w:color w:val="000000"/>
                <w:kern w:val="0"/>
                <w:sz w:val="21"/>
                <w:szCs w:val="21"/>
                <w:lang w:val="en-US" w:eastAsia="zh-CN" w:bidi="ar-SA"/>
              </w:rPr>
              <w:t>，得2分</w:t>
            </w:r>
            <w:r>
              <w:rPr>
                <w:rFonts w:eastAsia="仿宋_GB2312"/>
                <w:color w:val="000000"/>
                <w:kern w:val="0"/>
                <w:sz w:val="21"/>
                <w:szCs w:val="21"/>
                <w:lang w:val="en-US" w:eastAsia="zh-CN" w:bidi="ar"/>
              </w:rPr>
              <w:t>。</w:t>
            </w:r>
          </w:p>
          <w:p w14:paraId="4F11E68F">
            <w:pPr>
              <w:widowControl/>
              <w:adjustRightInd w:val="0"/>
              <w:snapToGrid w:val="0"/>
              <w:jc w:val="both"/>
              <w:textAlignment w:val="auto"/>
              <w:rPr>
                <w:rFonts w:eastAsia="仿宋_GB2312"/>
                <w:color w:val="000000"/>
                <w:kern w:val="0"/>
                <w:sz w:val="21"/>
                <w:szCs w:val="21"/>
                <w:lang w:val="en-US" w:eastAsia="zh-CN" w:bidi="ar-SA"/>
              </w:rPr>
            </w:pPr>
            <w:r>
              <w:rPr>
                <w:rFonts w:eastAsia="仿宋_GB2312"/>
                <w:color w:val="000000"/>
                <w:kern w:val="0"/>
                <w:sz w:val="21"/>
                <w:szCs w:val="21"/>
                <w:lang w:val="en-US" w:eastAsia="zh-CN" w:bidi="ar"/>
              </w:rPr>
              <w:t>（兼备地下和露天开采的，以现阶段主要开采方式选择其一进行评分，分数不可累加）</w:t>
            </w:r>
          </w:p>
          <w:p w14:paraId="4CCFE290">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
              </w:rPr>
              <w:t>★</w:t>
            </w:r>
            <w:r>
              <w:rPr>
                <w:rFonts w:eastAsia="仿宋_GB2312"/>
                <w:color w:val="000000"/>
                <w:kern w:val="0"/>
                <w:sz w:val="21"/>
                <w:szCs w:val="21"/>
                <w:lang w:val="en-US" w:eastAsia="zh-CN" w:bidi="ar-SA"/>
              </w:rPr>
              <w:t>地下开采：</w:t>
            </w:r>
          </w:p>
          <w:p w14:paraId="3EF9FBAE">
            <w:pPr>
              <w:widowControl/>
              <w:adjustRightInd w:val="0"/>
              <w:snapToGrid w:val="0"/>
              <w:jc w:val="both"/>
              <w:textAlignment w:val="auto"/>
              <w:rPr>
                <w:rFonts w:eastAsia="仿宋_GB2312"/>
                <w:color w:val="000000"/>
                <w:kern w:val="0"/>
                <w:sz w:val="21"/>
                <w:szCs w:val="21"/>
                <w:lang w:val="en-US" w:eastAsia="zh-CN" w:bidi="ar"/>
              </w:rPr>
            </w:pPr>
            <w:r>
              <w:rPr>
                <w:rFonts w:eastAsia="仿宋_GB2312"/>
                <w:color w:val="000000"/>
                <w:kern w:val="0"/>
                <w:sz w:val="21"/>
                <w:szCs w:val="21"/>
                <w:lang w:val="en-US" w:eastAsia="zh-CN" w:bidi="ar"/>
              </w:rPr>
              <w:t>①采用减轻地表沉陷变形、减少对土壤和地下水污染的开采方式</w:t>
            </w:r>
            <w:r>
              <w:rPr>
                <w:rFonts w:hint="eastAsia" w:eastAsia="仿宋_GB2312"/>
                <w:color w:val="000000"/>
                <w:kern w:val="0"/>
                <w:sz w:val="21"/>
                <w:szCs w:val="21"/>
                <w:lang w:val="en-US" w:eastAsia="zh-CN" w:bidi="ar"/>
              </w:rPr>
              <w:t>，如</w:t>
            </w:r>
            <w:r>
              <w:rPr>
                <w:rFonts w:eastAsia="仿宋_GB2312"/>
                <w:color w:val="000000"/>
                <w:kern w:val="0"/>
                <w:sz w:val="21"/>
                <w:szCs w:val="21"/>
                <w:lang w:val="en-US" w:eastAsia="zh-CN" w:bidi="ar"/>
              </w:rPr>
              <w:t>充填法、保水开采等技术进行地下开采，</w:t>
            </w:r>
            <w:r>
              <w:rPr>
                <w:rFonts w:eastAsia="仿宋_GB2312"/>
                <w:color w:val="000000"/>
                <w:kern w:val="0"/>
                <w:sz w:val="21"/>
                <w:szCs w:val="21"/>
                <w:lang w:val="en-US" w:eastAsia="zh-CN" w:bidi="ar-SA"/>
              </w:rPr>
              <w:t>得3分</w:t>
            </w:r>
            <w:r>
              <w:rPr>
                <w:rFonts w:eastAsia="仿宋_GB2312"/>
                <w:color w:val="000000"/>
                <w:kern w:val="0"/>
                <w:sz w:val="21"/>
                <w:szCs w:val="21"/>
                <w:lang w:val="en-US" w:eastAsia="zh-CN" w:bidi="ar"/>
              </w:rPr>
              <w:t>；</w:t>
            </w:r>
          </w:p>
          <w:p w14:paraId="2784C237">
            <w:pPr>
              <w:widowControl/>
              <w:adjustRightInd w:val="0"/>
              <w:snapToGrid w:val="0"/>
              <w:jc w:val="both"/>
              <w:textAlignment w:val="auto"/>
              <w:rPr>
                <w:rFonts w:eastAsia="仿宋_GB2312"/>
                <w:color w:val="000000"/>
                <w:kern w:val="0"/>
                <w:sz w:val="21"/>
                <w:szCs w:val="21"/>
                <w:lang w:val="en-US" w:eastAsia="zh-CN" w:bidi="ar"/>
              </w:rPr>
            </w:pPr>
            <w:r>
              <w:rPr>
                <w:rFonts w:eastAsia="仿宋_GB2312"/>
                <w:color w:val="000000"/>
                <w:kern w:val="0"/>
                <w:sz w:val="21"/>
                <w:szCs w:val="21"/>
                <w:lang w:val="en-US" w:eastAsia="zh-CN" w:bidi="ar-SA"/>
              </w:rPr>
              <w:t>②</w:t>
            </w:r>
            <w:r>
              <w:rPr>
                <w:rFonts w:eastAsia="仿宋_GB2312"/>
                <w:color w:val="000000"/>
                <w:kern w:val="0"/>
                <w:sz w:val="21"/>
                <w:szCs w:val="21"/>
                <w:lang w:val="en-US" w:eastAsia="zh-CN" w:bidi="ar"/>
              </w:rPr>
              <w:t>利用采空区规模化</w:t>
            </w:r>
            <w:r>
              <w:rPr>
                <w:rFonts w:hint="eastAsia" w:eastAsia="仿宋_GB2312"/>
                <w:color w:val="000000"/>
                <w:kern w:val="0"/>
                <w:sz w:val="21"/>
                <w:szCs w:val="21"/>
                <w:lang w:val="en-US" w:eastAsia="zh-CN" w:bidi="ar"/>
              </w:rPr>
              <w:t>环保化</w:t>
            </w:r>
            <w:r>
              <w:rPr>
                <w:rFonts w:eastAsia="仿宋_GB2312"/>
                <w:color w:val="000000"/>
                <w:kern w:val="0"/>
                <w:sz w:val="21"/>
                <w:szCs w:val="21"/>
                <w:lang w:val="en-US" w:eastAsia="zh-CN" w:bidi="ar"/>
              </w:rPr>
              <w:t>处置尾矿、废石、煤矸石等，</w:t>
            </w:r>
            <w:r>
              <w:rPr>
                <w:rFonts w:eastAsia="仿宋_GB2312"/>
                <w:color w:val="000000"/>
                <w:kern w:val="0"/>
                <w:sz w:val="21"/>
                <w:szCs w:val="21"/>
                <w:lang w:val="en-US" w:eastAsia="zh-CN" w:bidi="ar-SA"/>
              </w:rPr>
              <w:t>得3分</w:t>
            </w:r>
            <w:r>
              <w:rPr>
                <w:rFonts w:eastAsia="仿宋_GB2312"/>
                <w:color w:val="000000"/>
                <w:kern w:val="0"/>
                <w:sz w:val="21"/>
                <w:szCs w:val="21"/>
                <w:lang w:val="en-US" w:eastAsia="zh-CN" w:bidi="ar"/>
              </w:rPr>
              <w:t>；</w:t>
            </w:r>
          </w:p>
          <w:p w14:paraId="23CAB2CD">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③应用</w:t>
            </w:r>
            <w:r>
              <w:rPr>
                <w:rFonts w:hint="eastAsia" w:eastAsia="仿宋_GB2312"/>
                <w:color w:val="000000"/>
                <w:kern w:val="0"/>
                <w:sz w:val="21"/>
                <w:szCs w:val="21"/>
                <w:lang w:val="en-US" w:eastAsia="zh-CN" w:bidi="ar-SA"/>
              </w:rPr>
              <w:t>其他</w:t>
            </w:r>
            <w:r>
              <w:rPr>
                <w:rFonts w:eastAsia="仿宋_GB2312"/>
                <w:color w:val="000000"/>
                <w:kern w:val="0"/>
                <w:sz w:val="21"/>
                <w:szCs w:val="21"/>
                <w:lang w:val="en-US" w:eastAsia="zh-CN" w:bidi="ar-SA"/>
              </w:rPr>
              <w:t>无废开采、深部开采等先进开采技术，得2分。</w:t>
            </w:r>
          </w:p>
          <w:p w14:paraId="67DC1651">
            <w:pPr>
              <w:widowControl w:val="0"/>
              <w:adjustRightInd w:val="0"/>
              <w:snapToGrid w:val="0"/>
              <w:jc w:val="both"/>
              <w:rPr>
                <w:rFonts w:eastAsia="仿宋_GB2312"/>
                <w:color w:val="000000"/>
                <w:kern w:val="0"/>
                <w:sz w:val="21"/>
                <w:szCs w:val="21"/>
                <w:lang w:val="en-US" w:eastAsia="zh-CN" w:bidi="ar"/>
              </w:rPr>
            </w:pPr>
            <w:r>
              <w:rPr>
                <w:rFonts w:eastAsia="仿宋_GB2312"/>
                <w:color w:val="000000"/>
                <w:kern w:val="0"/>
                <w:sz w:val="21"/>
                <w:szCs w:val="21"/>
                <w:lang w:val="en-US" w:eastAsia="zh-CN" w:bidi="ar"/>
              </w:rPr>
              <w:t>（兼备地下和露天开采的，以现阶段主要开采方式选择其一进行评分，分数不可累加）</w:t>
            </w:r>
          </w:p>
          <w:p w14:paraId="548E021C">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
              </w:rPr>
              <w:t>★适用于</w:t>
            </w:r>
            <w:r>
              <w:rPr>
                <w:rFonts w:eastAsia="仿宋_GB2312"/>
                <w:color w:val="000000"/>
                <w:kern w:val="0"/>
                <w:sz w:val="21"/>
                <w:szCs w:val="21"/>
                <w:lang w:val="en-US" w:eastAsia="zh-CN" w:bidi="ar-SA"/>
              </w:rPr>
              <w:t>石油天然气</w:t>
            </w:r>
            <w:r>
              <w:rPr>
                <w:rFonts w:hint="eastAsia" w:eastAsia="仿宋_GB2312"/>
                <w:color w:val="000000"/>
                <w:kern w:val="0"/>
                <w:sz w:val="21"/>
                <w:szCs w:val="21"/>
                <w:lang w:val="en-US" w:eastAsia="zh-CN" w:bidi="ar-SA"/>
              </w:rPr>
              <w:t>、地热</w:t>
            </w:r>
            <w:r>
              <w:rPr>
                <w:rFonts w:eastAsia="仿宋_GB2312"/>
                <w:color w:val="000000"/>
                <w:kern w:val="0"/>
                <w:sz w:val="21"/>
                <w:szCs w:val="21"/>
                <w:lang w:val="en-US" w:eastAsia="zh-CN" w:bidi="ar-SA"/>
              </w:rPr>
              <w:t>矿泉水等：</w:t>
            </w:r>
          </w:p>
          <w:p w14:paraId="77FD7CA7">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①采用电动钻机及顶驱</w:t>
            </w:r>
            <w:r>
              <w:rPr>
                <w:rFonts w:hint="eastAsia" w:eastAsia="仿宋_GB2312"/>
                <w:color w:val="000000"/>
                <w:kern w:val="0"/>
                <w:sz w:val="21"/>
                <w:szCs w:val="21"/>
                <w:lang w:val="en-US" w:eastAsia="zh-CN" w:bidi="ar-SA"/>
              </w:rPr>
              <w:t>等钻井</w:t>
            </w:r>
            <w:r>
              <w:rPr>
                <w:rFonts w:eastAsia="仿宋_GB2312"/>
                <w:color w:val="000000"/>
                <w:kern w:val="0"/>
                <w:sz w:val="21"/>
                <w:szCs w:val="21"/>
                <w:lang w:val="en-US" w:eastAsia="zh-CN" w:bidi="ar-SA"/>
              </w:rPr>
              <w:t>装置</w:t>
            </w:r>
            <w:r>
              <w:rPr>
                <w:rFonts w:eastAsia="仿宋_GB2312"/>
                <w:color w:val="000000"/>
                <w:kern w:val="0"/>
                <w:sz w:val="21"/>
                <w:szCs w:val="21"/>
                <w:lang w:val="en-US" w:eastAsia="zh-CN" w:bidi="ar"/>
              </w:rPr>
              <w:t>，</w:t>
            </w:r>
            <w:r>
              <w:rPr>
                <w:rFonts w:eastAsia="仿宋_GB2312"/>
                <w:color w:val="000000"/>
                <w:kern w:val="0"/>
                <w:sz w:val="21"/>
                <w:szCs w:val="21"/>
                <w:lang w:val="en-US" w:eastAsia="zh-CN" w:bidi="ar-SA"/>
              </w:rPr>
              <w:t>得2分；</w:t>
            </w:r>
          </w:p>
          <w:p w14:paraId="0791DC4B">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②采用优快、控压等钻井技术</w:t>
            </w:r>
            <w:r>
              <w:rPr>
                <w:rFonts w:eastAsia="仿宋_GB2312"/>
                <w:color w:val="000000"/>
                <w:kern w:val="0"/>
                <w:sz w:val="21"/>
                <w:szCs w:val="21"/>
                <w:lang w:val="en-US" w:eastAsia="zh-CN" w:bidi="ar"/>
              </w:rPr>
              <w:t>，</w:t>
            </w:r>
            <w:r>
              <w:rPr>
                <w:rFonts w:eastAsia="仿宋_GB2312"/>
                <w:color w:val="000000"/>
                <w:kern w:val="0"/>
                <w:sz w:val="21"/>
                <w:szCs w:val="21"/>
                <w:lang w:val="en-US" w:eastAsia="zh-CN" w:bidi="ar-SA"/>
              </w:rPr>
              <w:t>得2分；</w:t>
            </w:r>
          </w:p>
          <w:p w14:paraId="01CD2A02">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③采用环保型钻井液及循环利用技术</w:t>
            </w:r>
            <w:r>
              <w:rPr>
                <w:rFonts w:eastAsia="仿宋_GB2312"/>
                <w:color w:val="000000"/>
                <w:kern w:val="0"/>
                <w:sz w:val="21"/>
                <w:szCs w:val="21"/>
                <w:lang w:val="en-US" w:eastAsia="zh-CN" w:bidi="ar"/>
              </w:rPr>
              <w:t>，</w:t>
            </w:r>
            <w:r>
              <w:rPr>
                <w:rFonts w:eastAsia="仿宋_GB2312"/>
                <w:color w:val="000000"/>
                <w:kern w:val="0"/>
                <w:sz w:val="21"/>
                <w:szCs w:val="21"/>
                <w:lang w:val="en-US" w:eastAsia="zh-CN" w:bidi="ar-SA"/>
              </w:rPr>
              <w:t>得2分；</w:t>
            </w:r>
          </w:p>
          <w:p w14:paraId="755D166D">
            <w:pPr>
              <w:widowControl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④及时无害化处置钻井泥浆等钻井废弃物</w:t>
            </w:r>
            <w:r>
              <w:rPr>
                <w:rFonts w:eastAsia="仿宋_GB2312"/>
                <w:color w:val="000000"/>
                <w:kern w:val="0"/>
                <w:sz w:val="21"/>
                <w:szCs w:val="21"/>
                <w:lang w:val="en-US" w:eastAsia="zh-CN" w:bidi="ar"/>
              </w:rPr>
              <w:t>，</w:t>
            </w:r>
            <w:r>
              <w:rPr>
                <w:rFonts w:eastAsia="仿宋_GB2312"/>
                <w:color w:val="000000"/>
                <w:kern w:val="0"/>
                <w:sz w:val="21"/>
                <w:szCs w:val="21"/>
                <w:lang w:val="en-US" w:eastAsia="zh-CN" w:bidi="ar-SA"/>
              </w:rPr>
              <w:t>得2分。</w:t>
            </w:r>
          </w:p>
        </w:tc>
        <w:tc>
          <w:tcPr>
            <w:tcW w:w="866" w:type="dxa"/>
            <w:noWrap w:val="0"/>
            <w:tcMar>
              <w:top w:w="12" w:type="dxa"/>
              <w:left w:w="12" w:type="dxa"/>
              <w:right w:w="12" w:type="dxa"/>
            </w:tcMar>
            <w:vAlign w:val="center"/>
          </w:tcPr>
          <w:p w14:paraId="0AF1B16A">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查现场</w:t>
            </w:r>
          </w:p>
        </w:tc>
        <w:tc>
          <w:tcPr>
            <w:tcW w:w="2640" w:type="dxa"/>
            <w:noWrap w:val="0"/>
            <w:tcMar>
              <w:top w:w="12" w:type="dxa"/>
              <w:left w:w="12" w:type="dxa"/>
              <w:right w:w="12" w:type="dxa"/>
            </w:tcMar>
            <w:vAlign w:val="center"/>
          </w:tcPr>
          <w:p w14:paraId="61EAA605">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工艺技术装备资料</w:t>
            </w:r>
          </w:p>
        </w:tc>
        <w:tc>
          <w:tcPr>
            <w:tcW w:w="915" w:type="dxa"/>
            <w:noWrap w:val="0"/>
            <w:vAlign w:val="center"/>
          </w:tcPr>
          <w:p w14:paraId="5C963065">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tcMar>
              <w:top w:w="12" w:type="dxa"/>
              <w:left w:w="12" w:type="dxa"/>
              <w:right w:w="12" w:type="dxa"/>
            </w:tcMar>
            <w:vAlign w:val="center"/>
          </w:tcPr>
          <w:p w14:paraId="31BE0584">
            <w:pPr>
              <w:widowControl w:val="0"/>
              <w:adjustRightInd w:val="0"/>
              <w:snapToGrid w:val="0"/>
              <w:jc w:val="center"/>
              <w:rPr>
                <w:rFonts w:eastAsia="仿宋_GB2312"/>
                <w:color w:val="000000"/>
                <w:kern w:val="0"/>
                <w:sz w:val="21"/>
                <w:szCs w:val="21"/>
                <w:lang w:val="en-US" w:eastAsia="zh-CN" w:bidi="ar-SA"/>
              </w:rPr>
            </w:pPr>
          </w:p>
        </w:tc>
        <w:tc>
          <w:tcPr>
            <w:tcW w:w="501" w:type="dxa"/>
            <w:noWrap w:val="0"/>
            <w:tcMar>
              <w:top w:w="12" w:type="dxa"/>
              <w:left w:w="12" w:type="dxa"/>
              <w:right w:w="12" w:type="dxa"/>
            </w:tcMar>
            <w:vAlign w:val="center"/>
          </w:tcPr>
          <w:p w14:paraId="4A89E14E">
            <w:pPr>
              <w:widowControl w:val="0"/>
              <w:adjustRightInd w:val="0"/>
              <w:snapToGrid w:val="0"/>
              <w:jc w:val="center"/>
              <w:rPr>
                <w:rFonts w:eastAsia="仿宋_GB2312"/>
                <w:color w:val="000000"/>
                <w:kern w:val="0"/>
                <w:sz w:val="18"/>
                <w:szCs w:val="18"/>
                <w:lang w:val="en-US" w:eastAsia="zh-CN" w:bidi="ar-SA"/>
              </w:rPr>
            </w:pPr>
          </w:p>
        </w:tc>
      </w:tr>
      <w:tr w14:paraId="5922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1074" w:type="dxa"/>
            <w:vMerge w:val="continue"/>
            <w:noWrap w:val="0"/>
            <w:tcMar>
              <w:top w:w="12" w:type="dxa"/>
              <w:left w:w="12" w:type="dxa"/>
              <w:right w:w="12" w:type="dxa"/>
            </w:tcMar>
            <w:vAlign w:val="center"/>
          </w:tcPr>
          <w:p w14:paraId="02E7AFB8">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36263573">
            <w:pPr>
              <w:widowControl w:val="0"/>
              <w:adjustRightInd w:val="0"/>
              <w:snapToGrid w:val="0"/>
              <w:jc w:val="center"/>
              <w:rPr>
                <w:rFonts w:eastAsia="仿宋_GB2312"/>
                <w:color w:val="000000"/>
                <w:kern w:val="0"/>
                <w:sz w:val="21"/>
                <w:szCs w:val="21"/>
                <w:lang w:val="en-US" w:eastAsia="zh-CN" w:bidi="ar-SA"/>
              </w:rPr>
            </w:pPr>
          </w:p>
        </w:tc>
        <w:tc>
          <w:tcPr>
            <w:tcW w:w="771" w:type="dxa"/>
            <w:gridSpan w:val="2"/>
            <w:noWrap w:val="0"/>
            <w:tcMar>
              <w:top w:w="12" w:type="dxa"/>
              <w:left w:w="12" w:type="dxa"/>
              <w:right w:w="12" w:type="dxa"/>
            </w:tcMar>
            <w:vAlign w:val="center"/>
          </w:tcPr>
          <w:p w14:paraId="1A1BA712">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10开采回采率</w:t>
            </w:r>
          </w:p>
        </w:tc>
        <w:tc>
          <w:tcPr>
            <w:tcW w:w="694" w:type="dxa"/>
            <w:noWrap w:val="0"/>
            <w:tcMar>
              <w:top w:w="12" w:type="dxa"/>
              <w:left w:w="12" w:type="dxa"/>
              <w:right w:w="12" w:type="dxa"/>
            </w:tcMar>
            <w:vAlign w:val="center"/>
          </w:tcPr>
          <w:p w14:paraId="2101BF20">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641A93B4">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开采回采率符合矿产资源合理开发利用“三率”指标</w:t>
            </w:r>
            <w:r>
              <w:rPr>
                <w:rFonts w:hint="eastAsia" w:eastAsia="仿宋_GB2312"/>
                <w:color w:val="000000"/>
                <w:kern w:val="0"/>
                <w:sz w:val="21"/>
                <w:szCs w:val="21"/>
                <w:lang w:val="en-US" w:eastAsia="zh-CN" w:bidi="ar-SA"/>
              </w:rPr>
              <w:t>一般</w:t>
            </w:r>
            <w:r>
              <w:rPr>
                <w:rFonts w:eastAsia="仿宋_GB2312"/>
                <w:color w:val="000000"/>
                <w:kern w:val="0"/>
                <w:sz w:val="21"/>
                <w:szCs w:val="21"/>
                <w:lang w:val="en-US" w:eastAsia="zh-CN" w:bidi="ar-SA"/>
              </w:rPr>
              <w:t>要求</w:t>
            </w:r>
            <w:r>
              <w:rPr>
                <w:rFonts w:hint="eastAsia" w:eastAsia="仿宋_GB2312"/>
                <w:color w:val="000000"/>
                <w:kern w:val="0"/>
                <w:sz w:val="21"/>
                <w:szCs w:val="21"/>
                <w:lang w:val="en-US" w:eastAsia="zh-CN" w:bidi="ar-SA"/>
              </w:rPr>
              <w:t>及以上</w:t>
            </w:r>
            <w:r>
              <w:rPr>
                <w:rFonts w:eastAsia="仿宋_GB2312"/>
                <w:color w:val="000000"/>
                <w:kern w:val="0"/>
                <w:sz w:val="21"/>
                <w:szCs w:val="21"/>
                <w:lang w:val="en-US" w:eastAsia="zh-CN" w:bidi="ar-SA"/>
              </w:rPr>
              <w:t>。符合</w:t>
            </w:r>
            <w:r>
              <w:rPr>
                <w:rFonts w:hint="eastAsia" w:eastAsia="仿宋_GB2312"/>
                <w:color w:val="000000"/>
                <w:kern w:val="0"/>
                <w:sz w:val="21"/>
                <w:szCs w:val="21"/>
                <w:lang w:val="en-US" w:eastAsia="zh-CN" w:bidi="ar-SA"/>
              </w:rPr>
              <w:t>要求</w:t>
            </w:r>
            <w:r>
              <w:rPr>
                <w:rFonts w:eastAsia="仿宋_GB2312"/>
                <w:color w:val="000000"/>
                <w:kern w:val="0"/>
                <w:sz w:val="21"/>
                <w:szCs w:val="21"/>
                <w:lang w:val="en-US" w:eastAsia="zh-CN" w:bidi="ar-SA"/>
              </w:rPr>
              <w:t>得2分，不符合得0分。</w:t>
            </w:r>
          </w:p>
        </w:tc>
        <w:tc>
          <w:tcPr>
            <w:tcW w:w="866" w:type="dxa"/>
            <w:noWrap w:val="0"/>
            <w:tcMar>
              <w:top w:w="12" w:type="dxa"/>
              <w:left w:w="12" w:type="dxa"/>
              <w:right w:w="12" w:type="dxa"/>
            </w:tcMar>
            <w:vAlign w:val="center"/>
          </w:tcPr>
          <w:p w14:paraId="76CCAF6C">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w:t>
            </w:r>
          </w:p>
        </w:tc>
        <w:tc>
          <w:tcPr>
            <w:tcW w:w="2640" w:type="dxa"/>
            <w:noWrap w:val="0"/>
            <w:tcMar>
              <w:top w:w="12" w:type="dxa"/>
              <w:left w:w="12" w:type="dxa"/>
              <w:right w:w="12" w:type="dxa"/>
            </w:tcMar>
            <w:vAlign w:val="center"/>
          </w:tcPr>
          <w:p w14:paraId="1F9580E2">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自然资源部发布</w:t>
            </w:r>
            <w:r>
              <w:rPr>
                <w:rFonts w:hint="eastAsia" w:eastAsia="仿宋_GB2312"/>
                <w:color w:val="000000"/>
                <w:kern w:val="0"/>
                <w:sz w:val="21"/>
                <w:szCs w:val="21"/>
                <w:lang w:val="en-US" w:eastAsia="zh-CN" w:bidi="ar-SA"/>
              </w:rPr>
              <w:t>的</w:t>
            </w:r>
            <w:r>
              <w:rPr>
                <w:rFonts w:eastAsia="仿宋_GB2312"/>
                <w:color w:val="000000"/>
                <w:kern w:val="0"/>
                <w:sz w:val="21"/>
                <w:szCs w:val="21"/>
                <w:lang w:val="en-US" w:eastAsia="zh-CN" w:bidi="ar-SA"/>
              </w:rPr>
              <w:t>“三率”指标要求</w:t>
            </w:r>
          </w:p>
        </w:tc>
        <w:tc>
          <w:tcPr>
            <w:tcW w:w="915" w:type="dxa"/>
            <w:noWrap w:val="0"/>
            <w:vAlign w:val="center"/>
          </w:tcPr>
          <w:p w14:paraId="66E0CDF0">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约束性</w:t>
            </w:r>
          </w:p>
        </w:tc>
        <w:tc>
          <w:tcPr>
            <w:tcW w:w="915" w:type="dxa"/>
            <w:noWrap w:val="0"/>
            <w:tcMar>
              <w:top w:w="12" w:type="dxa"/>
              <w:left w:w="12" w:type="dxa"/>
              <w:right w:w="12" w:type="dxa"/>
            </w:tcMar>
            <w:vAlign w:val="center"/>
          </w:tcPr>
          <w:p w14:paraId="7A101C62">
            <w:pPr>
              <w:widowControl w:val="0"/>
              <w:adjustRightInd w:val="0"/>
              <w:snapToGrid w:val="0"/>
              <w:jc w:val="center"/>
              <w:rPr>
                <w:rFonts w:eastAsia="仿宋_GB2312"/>
                <w:color w:val="000000"/>
                <w:kern w:val="0"/>
                <w:sz w:val="21"/>
                <w:szCs w:val="21"/>
                <w:lang w:val="en-US" w:eastAsia="zh-CN" w:bidi="ar-SA"/>
              </w:rPr>
            </w:pPr>
          </w:p>
        </w:tc>
        <w:tc>
          <w:tcPr>
            <w:tcW w:w="501" w:type="dxa"/>
            <w:noWrap w:val="0"/>
            <w:tcMar>
              <w:top w:w="12" w:type="dxa"/>
              <w:left w:w="12" w:type="dxa"/>
              <w:right w:w="12" w:type="dxa"/>
            </w:tcMar>
            <w:vAlign w:val="center"/>
          </w:tcPr>
          <w:p w14:paraId="4532D765">
            <w:pPr>
              <w:widowControl w:val="0"/>
              <w:adjustRightInd w:val="0"/>
              <w:snapToGrid w:val="0"/>
              <w:jc w:val="center"/>
              <w:rPr>
                <w:rFonts w:eastAsia="仿宋_GB2312"/>
                <w:color w:val="000000"/>
                <w:kern w:val="0"/>
                <w:sz w:val="18"/>
                <w:szCs w:val="18"/>
                <w:lang w:val="en-US" w:eastAsia="zh-CN" w:bidi="ar-SA"/>
              </w:rPr>
            </w:pPr>
          </w:p>
        </w:tc>
      </w:tr>
      <w:tr w14:paraId="3534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1074" w:type="dxa"/>
            <w:vMerge w:val="continue"/>
            <w:noWrap w:val="0"/>
            <w:tcMar>
              <w:top w:w="12" w:type="dxa"/>
              <w:left w:w="12" w:type="dxa"/>
              <w:right w:w="12" w:type="dxa"/>
            </w:tcMar>
            <w:vAlign w:val="center"/>
          </w:tcPr>
          <w:p w14:paraId="00115640">
            <w:pPr>
              <w:widowControl w:val="0"/>
              <w:adjustRightInd w:val="0"/>
              <w:snapToGrid w:val="0"/>
              <w:jc w:val="center"/>
              <w:rPr>
                <w:rFonts w:eastAsia="仿宋_GB2312"/>
                <w:color w:val="000000"/>
                <w:kern w:val="0"/>
                <w:sz w:val="21"/>
                <w:szCs w:val="21"/>
                <w:lang w:val="en-US" w:eastAsia="zh-CN" w:bidi="ar-SA"/>
              </w:rPr>
            </w:pPr>
          </w:p>
        </w:tc>
        <w:tc>
          <w:tcPr>
            <w:tcW w:w="1050" w:type="dxa"/>
            <w:noWrap w:val="0"/>
            <w:tcMar>
              <w:top w:w="12" w:type="dxa"/>
              <w:left w:w="12" w:type="dxa"/>
              <w:right w:w="12" w:type="dxa"/>
            </w:tcMar>
            <w:vAlign w:val="center"/>
          </w:tcPr>
          <w:p w14:paraId="74AFB7D8">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2开采工作面（5分）</w:t>
            </w:r>
          </w:p>
        </w:tc>
        <w:tc>
          <w:tcPr>
            <w:tcW w:w="771" w:type="dxa"/>
            <w:gridSpan w:val="2"/>
            <w:noWrap w:val="0"/>
            <w:tcMar>
              <w:top w:w="12" w:type="dxa"/>
              <w:left w:w="12" w:type="dxa"/>
              <w:right w:w="12" w:type="dxa"/>
            </w:tcMar>
            <w:vAlign w:val="center"/>
          </w:tcPr>
          <w:p w14:paraId="369482F8">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11质量要求</w:t>
            </w:r>
          </w:p>
        </w:tc>
        <w:tc>
          <w:tcPr>
            <w:tcW w:w="694" w:type="dxa"/>
            <w:noWrap w:val="0"/>
            <w:tcMar>
              <w:top w:w="12" w:type="dxa"/>
              <w:left w:w="12" w:type="dxa"/>
              <w:right w:w="12" w:type="dxa"/>
            </w:tcMar>
            <w:vAlign w:val="center"/>
          </w:tcPr>
          <w:p w14:paraId="0A2D5132">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5</w:t>
            </w:r>
          </w:p>
        </w:tc>
        <w:tc>
          <w:tcPr>
            <w:tcW w:w="5646" w:type="dxa"/>
            <w:noWrap w:val="0"/>
            <w:tcMar>
              <w:top w:w="12" w:type="dxa"/>
              <w:left w:w="12" w:type="dxa"/>
              <w:right w:w="12" w:type="dxa"/>
            </w:tcMar>
            <w:vAlign w:val="center"/>
          </w:tcPr>
          <w:p w14:paraId="5446B1B6">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
              </w:rPr>
              <w:t>★</w:t>
            </w:r>
            <w:r>
              <w:rPr>
                <w:rFonts w:eastAsia="仿宋_GB2312"/>
                <w:color w:val="000000"/>
                <w:kern w:val="0"/>
                <w:sz w:val="21"/>
                <w:szCs w:val="21"/>
                <w:lang w:val="en-US" w:eastAsia="zh-CN" w:bidi="ar-SA"/>
              </w:rPr>
              <w:t>露天开采：</w:t>
            </w:r>
          </w:p>
          <w:p w14:paraId="1023F904">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作业平台干净，保持平整、通畅，无杂物、无积水，工作台阶与非工作台阶坡面无危石，非工作台阶滚落物及时清理</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符合要求得5分</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发现一处不符合扣1分。</w:t>
            </w:r>
          </w:p>
          <w:p w14:paraId="3C6B2677">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
              </w:rPr>
              <w:t>★</w:t>
            </w:r>
            <w:r>
              <w:rPr>
                <w:rFonts w:eastAsia="仿宋_GB2312"/>
                <w:color w:val="000000"/>
                <w:kern w:val="0"/>
                <w:sz w:val="21"/>
                <w:szCs w:val="21"/>
                <w:lang w:val="en-US" w:eastAsia="zh-CN" w:bidi="ar-SA"/>
              </w:rPr>
              <w:t>地下开采：</w:t>
            </w:r>
          </w:p>
          <w:p w14:paraId="69F441C7">
            <w:pPr>
              <w:widowControl/>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工作面满足通风、运输、行人、设备安装、检修的需要，支护完好；无较大面积积水、无浮碴、无杂物，材料堆放整齐</w:t>
            </w:r>
            <w:r>
              <w:rPr>
                <w:rFonts w:eastAsia="仿宋_GB2312"/>
                <w:color w:val="000000"/>
                <w:kern w:val="0"/>
                <w:sz w:val="21"/>
                <w:szCs w:val="21"/>
                <w:lang w:val="en-US" w:eastAsia="zh-CN" w:bidi="ar-SA"/>
              </w:rPr>
              <w:t>。符合要求得5分</w:t>
            </w:r>
            <w:r>
              <w:rPr>
                <w:rFonts w:eastAsia="仿宋_GB2312"/>
                <w:color w:val="000000"/>
                <w:kern w:val="0"/>
                <w:sz w:val="21"/>
                <w:szCs w:val="21"/>
                <w:lang w:val="en-US" w:eastAsia="zh-CN" w:bidi="ar"/>
              </w:rPr>
              <w:t>，</w:t>
            </w:r>
            <w:r>
              <w:rPr>
                <w:rFonts w:eastAsia="仿宋_GB2312"/>
                <w:color w:val="000000"/>
                <w:kern w:val="0"/>
                <w:sz w:val="21"/>
                <w:szCs w:val="21"/>
                <w:lang w:val="en-US" w:eastAsia="zh-CN" w:bidi="ar-SA"/>
              </w:rPr>
              <w:t>发现一处不符合扣1分。</w:t>
            </w:r>
          </w:p>
          <w:p w14:paraId="56A99D51">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
              </w:rPr>
              <w:t>★适用于</w:t>
            </w:r>
            <w:r>
              <w:rPr>
                <w:rFonts w:eastAsia="仿宋_GB2312"/>
                <w:color w:val="000000"/>
                <w:kern w:val="0"/>
                <w:sz w:val="21"/>
                <w:szCs w:val="21"/>
                <w:lang w:val="en-US" w:eastAsia="zh-CN" w:bidi="ar-SA"/>
              </w:rPr>
              <w:t>石油天然气等：</w:t>
            </w:r>
          </w:p>
          <w:p w14:paraId="768E14D9">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生产作业场地无明显油污，无“跑冒滴漏”及对井场表层土壤造成污染；钻井废弃物不落地，进行集中无害化处理。符合要求得5分，发现一处不符合扣1分。</w:t>
            </w:r>
          </w:p>
          <w:p w14:paraId="55212640">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
              </w:rPr>
              <w:t>★适用于</w:t>
            </w:r>
            <w:r>
              <w:rPr>
                <w:rFonts w:hint="eastAsia" w:eastAsia="仿宋_GB2312"/>
                <w:color w:val="000000"/>
                <w:kern w:val="0"/>
                <w:sz w:val="21"/>
                <w:szCs w:val="21"/>
                <w:lang w:val="en-US" w:eastAsia="zh-CN" w:bidi="ar-SA"/>
              </w:rPr>
              <w:t>地热矿泉水</w:t>
            </w:r>
            <w:r>
              <w:rPr>
                <w:rFonts w:eastAsia="仿宋_GB2312"/>
                <w:color w:val="000000"/>
                <w:kern w:val="0"/>
                <w:sz w:val="21"/>
                <w:szCs w:val="21"/>
                <w:lang w:val="en-US" w:eastAsia="zh-CN" w:bidi="ar-SA"/>
              </w:rPr>
              <w:t>等：</w:t>
            </w:r>
          </w:p>
          <w:p w14:paraId="37007790">
            <w:pPr>
              <w:widowControl w:val="0"/>
              <w:adjustRightInd w:val="0"/>
              <w:snapToGrid w:val="0"/>
              <w:jc w:val="both"/>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生产作业场所应干净整洁、无污渍；井（泉）及其附属设施保持完好并正常运行，无堵塞或泄露；应建有规范完备的污废水处理设施，正常运行合理处置污水、废水</w:t>
            </w:r>
            <w:r>
              <w:rPr>
                <w:rFonts w:eastAsia="仿宋_GB2312"/>
                <w:color w:val="000000"/>
                <w:kern w:val="0"/>
                <w:sz w:val="21"/>
                <w:szCs w:val="21"/>
                <w:lang w:val="en-US" w:eastAsia="zh-CN" w:bidi="ar-SA"/>
              </w:rPr>
              <w:t>。符合要求得5分，发现一处不符合扣1分。</w:t>
            </w:r>
          </w:p>
        </w:tc>
        <w:tc>
          <w:tcPr>
            <w:tcW w:w="866" w:type="dxa"/>
            <w:noWrap w:val="0"/>
            <w:tcMar>
              <w:top w:w="12" w:type="dxa"/>
              <w:left w:w="12" w:type="dxa"/>
              <w:right w:w="12" w:type="dxa"/>
            </w:tcMar>
            <w:vAlign w:val="center"/>
          </w:tcPr>
          <w:p w14:paraId="33F78E32">
            <w:pPr>
              <w:widowControl w:val="0"/>
              <w:adjustRightInd w:val="0"/>
              <w:snapToGrid w:val="0"/>
              <w:jc w:val="center"/>
              <w:rPr>
                <w:rFonts w:eastAsia="仿宋_GB2312"/>
                <w:color w:val="000000"/>
                <w:kern w:val="0"/>
                <w:sz w:val="21"/>
                <w:szCs w:val="21"/>
                <w:lang w:val="en-US" w:eastAsia="zh-CN" w:bidi="ar"/>
              </w:rPr>
            </w:pPr>
            <w:r>
              <w:rPr>
                <w:rFonts w:eastAsia="仿宋_GB2312"/>
                <w:color w:val="000000"/>
                <w:kern w:val="0"/>
                <w:sz w:val="21"/>
                <w:szCs w:val="21"/>
                <w:lang w:val="en-US" w:eastAsia="zh-CN" w:bidi="ar-SA"/>
              </w:rPr>
              <w:t>查资料</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查现场</w:t>
            </w:r>
          </w:p>
        </w:tc>
        <w:tc>
          <w:tcPr>
            <w:tcW w:w="2640" w:type="dxa"/>
            <w:noWrap w:val="0"/>
            <w:tcMar>
              <w:top w:w="12" w:type="dxa"/>
              <w:left w:w="12" w:type="dxa"/>
              <w:right w:w="12" w:type="dxa"/>
            </w:tcMar>
            <w:vAlign w:val="center"/>
          </w:tcPr>
          <w:p w14:paraId="40DD4D88">
            <w:pPr>
              <w:widowControl w:val="0"/>
              <w:adjustRightInd w:val="0"/>
              <w:snapToGrid w:val="0"/>
              <w:jc w:val="both"/>
              <w:rPr>
                <w:rFonts w:eastAsia="仿宋_GB2312"/>
                <w:color w:val="000000"/>
                <w:kern w:val="0"/>
                <w:sz w:val="21"/>
                <w:szCs w:val="21"/>
                <w:lang w:val="en-US" w:eastAsia="zh-CN" w:bidi="ar-SA"/>
              </w:rPr>
            </w:pPr>
          </w:p>
        </w:tc>
        <w:tc>
          <w:tcPr>
            <w:tcW w:w="915" w:type="dxa"/>
            <w:noWrap w:val="0"/>
            <w:vAlign w:val="center"/>
          </w:tcPr>
          <w:p w14:paraId="36971C30">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tcMar>
              <w:top w:w="12" w:type="dxa"/>
              <w:left w:w="12" w:type="dxa"/>
              <w:right w:w="12" w:type="dxa"/>
            </w:tcMar>
            <w:vAlign w:val="center"/>
          </w:tcPr>
          <w:p w14:paraId="2047A336">
            <w:pPr>
              <w:widowControl w:val="0"/>
              <w:adjustRightInd w:val="0"/>
              <w:snapToGrid w:val="0"/>
              <w:jc w:val="center"/>
              <w:rPr>
                <w:rFonts w:eastAsia="仿宋_GB2312"/>
                <w:color w:val="000000"/>
                <w:kern w:val="0"/>
                <w:sz w:val="21"/>
                <w:szCs w:val="21"/>
                <w:lang w:val="en-US" w:eastAsia="zh-CN" w:bidi="ar-SA"/>
              </w:rPr>
            </w:pPr>
          </w:p>
        </w:tc>
        <w:tc>
          <w:tcPr>
            <w:tcW w:w="501" w:type="dxa"/>
            <w:noWrap w:val="0"/>
            <w:tcMar>
              <w:top w:w="12" w:type="dxa"/>
              <w:left w:w="12" w:type="dxa"/>
              <w:right w:w="12" w:type="dxa"/>
            </w:tcMar>
            <w:vAlign w:val="center"/>
          </w:tcPr>
          <w:p w14:paraId="60995D05">
            <w:pPr>
              <w:widowControl w:val="0"/>
              <w:adjustRightInd w:val="0"/>
              <w:snapToGrid w:val="0"/>
              <w:jc w:val="center"/>
              <w:rPr>
                <w:rFonts w:eastAsia="仿宋_GB2312"/>
                <w:color w:val="000000"/>
                <w:kern w:val="0"/>
                <w:sz w:val="18"/>
                <w:szCs w:val="18"/>
                <w:lang w:val="en-US" w:eastAsia="zh-CN" w:bidi="ar-SA"/>
              </w:rPr>
            </w:pPr>
          </w:p>
        </w:tc>
      </w:tr>
      <w:tr w14:paraId="3400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1074" w:type="dxa"/>
            <w:vMerge w:val="restart"/>
            <w:noWrap w:val="0"/>
            <w:tcMar>
              <w:top w:w="12" w:type="dxa"/>
              <w:left w:w="12" w:type="dxa"/>
              <w:right w:w="12" w:type="dxa"/>
            </w:tcMar>
            <w:vAlign w:val="center"/>
          </w:tcPr>
          <w:p w14:paraId="54A4254E">
            <w:pPr>
              <w:widowControl w:val="0"/>
              <w:adjustRightInd w:val="0"/>
              <w:snapToGrid w:val="0"/>
              <w:jc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三、资源综合利用（9项18分；4项18分）</w:t>
            </w:r>
          </w:p>
        </w:tc>
        <w:tc>
          <w:tcPr>
            <w:tcW w:w="13998" w:type="dxa"/>
            <w:gridSpan w:val="10"/>
            <w:noWrap w:val="0"/>
            <w:tcMar>
              <w:top w:w="12" w:type="dxa"/>
              <w:left w:w="12" w:type="dxa"/>
              <w:right w:w="12" w:type="dxa"/>
            </w:tcMar>
            <w:vAlign w:val="center"/>
          </w:tcPr>
          <w:p w14:paraId="26D57FB8">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（1）非金属、化工、黄金、冶金、有色、油气、煤炭</w:t>
            </w:r>
            <w:r>
              <w:rPr>
                <w:rFonts w:hint="eastAsia" w:eastAsia="仿宋_GB2312"/>
                <w:color w:val="000000"/>
                <w:kern w:val="0"/>
                <w:sz w:val="21"/>
                <w:szCs w:val="21"/>
                <w:lang w:val="en-US" w:eastAsia="zh-CN" w:bidi="ar-SA"/>
              </w:rPr>
              <w:t>、地热、矿泉水</w:t>
            </w:r>
            <w:r>
              <w:rPr>
                <w:rFonts w:eastAsia="仿宋_GB2312"/>
                <w:color w:val="000000"/>
                <w:kern w:val="0"/>
                <w:sz w:val="21"/>
                <w:szCs w:val="21"/>
                <w:lang w:val="en-US" w:eastAsia="zh-CN" w:bidi="ar-SA"/>
              </w:rPr>
              <w:t>等行业</w:t>
            </w:r>
          </w:p>
        </w:tc>
      </w:tr>
      <w:tr w14:paraId="360A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1074" w:type="dxa"/>
            <w:vMerge w:val="continue"/>
            <w:noWrap w:val="0"/>
            <w:tcMar>
              <w:top w:w="12" w:type="dxa"/>
              <w:left w:w="12" w:type="dxa"/>
              <w:right w:w="12" w:type="dxa"/>
            </w:tcMar>
            <w:vAlign w:val="center"/>
          </w:tcPr>
          <w:p w14:paraId="6468C29B">
            <w:pPr>
              <w:widowControl w:val="0"/>
              <w:adjustRightInd w:val="0"/>
              <w:snapToGrid w:val="0"/>
              <w:jc w:val="center"/>
              <w:rPr>
                <w:rFonts w:eastAsia="仿宋_GB2312"/>
                <w:color w:val="000000"/>
                <w:kern w:val="0"/>
                <w:sz w:val="21"/>
                <w:szCs w:val="21"/>
                <w:lang w:val="en-US" w:eastAsia="zh-CN" w:bidi="ar-SA"/>
              </w:rPr>
            </w:pPr>
          </w:p>
        </w:tc>
        <w:tc>
          <w:tcPr>
            <w:tcW w:w="1050" w:type="dxa"/>
            <w:vMerge w:val="restart"/>
            <w:noWrap w:val="0"/>
            <w:tcMar>
              <w:top w:w="12" w:type="dxa"/>
              <w:left w:w="12" w:type="dxa"/>
              <w:right w:w="12" w:type="dxa"/>
            </w:tcMar>
            <w:vAlign w:val="center"/>
          </w:tcPr>
          <w:p w14:paraId="47B09DC8">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1选矿回收（5分）</w:t>
            </w:r>
          </w:p>
        </w:tc>
        <w:tc>
          <w:tcPr>
            <w:tcW w:w="771" w:type="dxa"/>
            <w:gridSpan w:val="2"/>
            <w:noWrap w:val="0"/>
            <w:tcMar>
              <w:top w:w="12" w:type="dxa"/>
              <w:left w:w="12" w:type="dxa"/>
              <w:right w:w="12" w:type="dxa"/>
            </w:tcMar>
            <w:vAlign w:val="center"/>
          </w:tcPr>
          <w:p w14:paraId="7042C70D">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12选矿加工工艺</w:t>
            </w:r>
          </w:p>
        </w:tc>
        <w:tc>
          <w:tcPr>
            <w:tcW w:w="694" w:type="dxa"/>
            <w:noWrap w:val="0"/>
            <w:tcMar>
              <w:top w:w="12" w:type="dxa"/>
              <w:left w:w="12" w:type="dxa"/>
              <w:right w:w="12" w:type="dxa"/>
            </w:tcMar>
            <w:vAlign w:val="center"/>
          </w:tcPr>
          <w:p w14:paraId="617CD686">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3</w:t>
            </w:r>
          </w:p>
        </w:tc>
        <w:tc>
          <w:tcPr>
            <w:tcW w:w="5646" w:type="dxa"/>
            <w:noWrap w:val="0"/>
            <w:tcMar>
              <w:top w:w="12" w:type="dxa"/>
              <w:left w:w="12" w:type="dxa"/>
              <w:right w:w="12" w:type="dxa"/>
            </w:tcMar>
            <w:vAlign w:val="center"/>
          </w:tcPr>
          <w:p w14:paraId="782D4FFB">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选矿工艺符合设计规范，不得使用国家规定的限制类和淘汰类技术、工艺和装备。</w:t>
            </w:r>
            <w:r>
              <w:rPr>
                <w:rFonts w:hint="eastAsia" w:eastAsia="仿宋_GB2312"/>
                <w:color w:val="000000"/>
                <w:kern w:val="0"/>
                <w:sz w:val="21"/>
                <w:szCs w:val="21"/>
                <w:lang w:val="en-US" w:eastAsia="zh-CN" w:bidi="ar-SA"/>
              </w:rPr>
              <w:t>地热、矿泉水的利用做到资源分级利用、优质优用。</w:t>
            </w:r>
            <w:r>
              <w:rPr>
                <w:rFonts w:eastAsia="仿宋_GB2312"/>
                <w:color w:val="000000"/>
                <w:kern w:val="0"/>
                <w:sz w:val="21"/>
                <w:szCs w:val="21"/>
                <w:lang w:val="en-US" w:eastAsia="zh-CN" w:bidi="ar-SA"/>
              </w:rPr>
              <w:t>符合要求得3分，不符合得0分。</w:t>
            </w:r>
          </w:p>
        </w:tc>
        <w:tc>
          <w:tcPr>
            <w:tcW w:w="866" w:type="dxa"/>
            <w:noWrap w:val="0"/>
            <w:tcMar>
              <w:top w:w="12" w:type="dxa"/>
              <w:left w:w="12" w:type="dxa"/>
              <w:right w:w="12" w:type="dxa"/>
            </w:tcMar>
            <w:vAlign w:val="center"/>
          </w:tcPr>
          <w:p w14:paraId="18C32736">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查现场</w:t>
            </w:r>
          </w:p>
        </w:tc>
        <w:tc>
          <w:tcPr>
            <w:tcW w:w="2640" w:type="dxa"/>
            <w:noWrap w:val="0"/>
            <w:tcMar>
              <w:top w:w="12" w:type="dxa"/>
              <w:left w:w="12" w:type="dxa"/>
              <w:right w:w="12" w:type="dxa"/>
            </w:tcMar>
            <w:vAlign w:val="center"/>
          </w:tcPr>
          <w:p w14:paraId="504C4B06">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《煤炭洗选工程设计规范》（GB 50359-2016）等矿山选矿工艺设计规范</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 xml:space="preserve">符合环评批复相关要求 </w:t>
            </w:r>
          </w:p>
        </w:tc>
        <w:tc>
          <w:tcPr>
            <w:tcW w:w="915" w:type="dxa"/>
            <w:noWrap w:val="0"/>
            <w:tcMar>
              <w:top w:w="12" w:type="dxa"/>
              <w:left w:w="12" w:type="dxa"/>
              <w:right w:w="12" w:type="dxa"/>
            </w:tcMar>
            <w:vAlign w:val="center"/>
          </w:tcPr>
          <w:p w14:paraId="7886BA32">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约束性</w:t>
            </w:r>
          </w:p>
        </w:tc>
        <w:tc>
          <w:tcPr>
            <w:tcW w:w="915" w:type="dxa"/>
            <w:noWrap w:val="0"/>
            <w:vAlign w:val="center"/>
          </w:tcPr>
          <w:p w14:paraId="4AC0C606">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30A78471">
            <w:pPr>
              <w:widowControl w:val="0"/>
              <w:adjustRightInd w:val="0"/>
              <w:snapToGrid w:val="0"/>
              <w:jc w:val="center"/>
              <w:rPr>
                <w:rFonts w:eastAsia="仿宋_GB2312"/>
                <w:color w:val="000000"/>
                <w:kern w:val="0"/>
                <w:sz w:val="18"/>
                <w:szCs w:val="18"/>
                <w:lang w:val="en-US" w:eastAsia="zh-CN" w:bidi="ar-SA"/>
              </w:rPr>
            </w:pPr>
          </w:p>
        </w:tc>
      </w:tr>
      <w:tr w14:paraId="763C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074" w:type="dxa"/>
            <w:vMerge w:val="continue"/>
            <w:noWrap w:val="0"/>
            <w:tcMar>
              <w:top w:w="12" w:type="dxa"/>
              <w:left w:w="12" w:type="dxa"/>
              <w:right w:w="12" w:type="dxa"/>
            </w:tcMar>
            <w:vAlign w:val="center"/>
          </w:tcPr>
          <w:p w14:paraId="51116FA8">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3564C255">
            <w:pPr>
              <w:widowControl/>
              <w:adjustRightInd w:val="0"/>
              <w:snapToGrid w:val="0"/>
              <w:jc w:val="center"/>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6D42142C">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13选矿回收率</w:t>
            </w:r>
          </w:p>
        </w:tc>
        <w:tc>
          <w:tcPr>
            <w:tcW w:w="694" w:type="dxa"/>
            <w:noWrap w:val="0"/>
            <w:tcMar>
              <w:top w:w="12" w:type="dxa"/>
              <w:left w:w="12" w:type="dxa"/>
              <w:right w:w="12" w:type="dxa"/>
            </w:tcMar>
            <w:vAlign w:val="center"/>
          </w:tcPr>
          <w:p w14:paraId="692C9EA7">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6ED9F95B">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选矿回收率符合矿产资源合理开发利用“三率”指标</w:t>
            </w:r>
            <w:r>
              <w:rPr>
                <w:rFonts w:hint="eastAsia" w:eastAsia="仿宋_GB2312"/>
                <w:color w:val="000000"/>
                <w:kern w:val="0"/>
                <w:sz w:val="21"/>
                <w:szCs w:val="21"/>
                <w:lang w:val="en-US" w:eastAsia="zh-CN" w:bidi="ar-SA"/>
              </w:rPr>
              <w:t>一般</w:t>
            </w:r>
            <w:r>
              <w:rPr>
                <w:rFonts w:eastAsia="仿宋_GB2312"/>
                <w:color w:val="000000"/>
                <w:kern w:val="0"/>
                <w:sz w:val="21"/>
                <w:szCs w:val="21"/>
                <w:lang w:val="en-US" w:eastAsia="zh-CN" w:bidi="ar-SA"/>
              </w:rPr>
              <w:t>要求</w:t>
            </w:r>
            <w:r>
              <w:rPr>
                <w:rFonts w:hint="eastAsia" w:eastAsia="仿宋_GB2312"/>
                <w:color w:val="000000"/>
                <w:kern w:val="0"/>
                <w:sz w:val="21"/>
                <w:szCs w:val="21"/>
                <w:lang w:val="en-US" w:eastAsia="zh-CN" w:bidi="ar-SA"/>
              </w:rPr>
              <w:t>及以上</w:t>
            </w:r>
            <w:r>
              <w:rPr>
                <w:rFonts w:eastAsia="仿宋_GB2312"/>
                <w:color w:val="000000"/>
                <w:kern w:val="0"/>
                <w:sz w:val="21"/>
                <w:szCs w:val="21"/>
                <w:lang w:val="en-US" w:eastAsia="zh-CN" w:bidi="ar-SA"/>
              </w:rPr>
              <w:t>。符合要求得2分，不符合得0分。</w:t>
            </w:r>
          </w:p>
        </w:tc>
        <w:tc>
          <w:tcPr>
            <w:tcW w:w="866" w:type="dxa"/>
            <w:noWrap w:val="0"/>
            <w:tcMar>
              <w:top w:w="12" w:type="dxa"/>
              <w:left w:w="12" w:type="dxa"/>
              <w:right w:w="12" w:type="dxa"/>
            </w:tcMar>
            <w:vAlign w:val="center"/>
          </w:tcPr>
          <w:p w14:paraId="7984895F">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w:t>
            </w:r>
          </w:p>
        </w:tc>
        <w:tc>
          <w:tcPr>
            <w:tcW w:w="2640" w:type="dxa"/>
            <w:noWrap w:val="0"/>
            <w:tcMar>
              <w:top w:w="12" w:type="dxa"/>
              <w:left w:w="12" w:type="dxa"/>
              <w:right w:w="12" w:type="dxa"/>
            </w:tcMar>
            <w:vAlign w:val="center"/>
          </w:tcPr>
          <w:p w14:paraId="2660E7A4">
            <w:pPr>
              <w:widowControl/>
              <w:adjustRightInd w:val="0"/>
              <w:snapToGrid w:val="0"/>
              <w:jc w:val="left"/>
              <w:textAlignment w:val="center"/>
              <w:rPr>
                <w:rFonts w:hint="eastAsia" w:eastAsia="仿宋_GB2312"/>
                <w:color w:val="000000"/>
                <w:kern w:val="0"/>
                <w:sz w:val="21"/>
                <w:szCs w:val="21"/>
                <w:lang w:val="en-US" w:eastAsia="zh-CN" w:bidi="ar-SA"/>
              </w:rPr>
            </w:pPr>
            <w:r>
              <w:rPr>
                <w:rFonts w:eastAsia="仿宋_GB2312"/>
                <w:color w:val="000000"/>
                <w:kern w:val="0"/>
                <w:sz w:val="21"/>
                <w:szCs w:val="21"/>
                <w:lang w:val="en-US" w:eastAsia="zh-CN" w:bidi="ar-SA"/>
              </w:rPr>
              <w:t>自然资源部发布的“三率”指标要求，符合环评批复相关要求</w:t>
            </w:r>
          </w:p>
        </w:tc>
        <w:tc>
          <w:tcPr>
            <w:tcW w:w="915" w:type="dxa"/>
            <w:noWrap w:val="0"/>
            <w:tcMar>
              <w:top w:w="12" w:type="dxa"/>
              <w:left w:w="12" w:type="dxa"/>
              <w:right w:w="12" w:type="dxa"/>
            </w:tcMar>
            <w:vAlign w:val="center"/>
          </w:tcPr>
          <w:p w14:paraId="5333AC8D">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约束性</w:t>
            </w:r>
          </w:p>
        </w:tc>
        <w:tc>
          <w:tcPr>
            <w:tcW w:w="915" w:type="dxa"/>
            <w:noWrap w:val="0"/>
            <w:vAlign w:val="center"/>
          </w:tcPr>
          <w:p w14:paraId="2BE65845">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4C3921DB">
            <w:pPr>
              <w:widowControl w:val="0"/>
              <w:adjustRightInd w:val="0"/>
              <w:snapToGrid w:val="0"/>
              <w:jc w:val="center"/>
              <w:rPr>
                <w:rFonts w:eastAsia="仿宋_GB2312"/>
                <w:color w:val="000000"/>
                <w:kern w:val="0"/>
                <w:sz w:val="18"/>
                <w:szCs w:val="18"/>
                <w:lang w:val="en-US" w:eastAsia="zh-CN" w:bidi="ar-SA"/>
              </w:rPr>
            </w:pPr>
          </w:p>
        </w:tc>
      </w:tr>
      <w:tr w14:paraId="4B8F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1074" w:type="dxa"/>
            <w:vMerge w:val="continue"/>
            <w:noWrap w:val="0"/>
            <w:tcMar>
              <w:top w:w="12" w:type="dxa"/>
              <w:left w:w="12" w:type="dxa"/>
              <w:right w:w="12" w:type="dxa"/>
            </w:tcMar>
            <w:vAlign w:val="center"/>
          </w:tcPr>
          <w:p w14:paraId="588C20EE">
            <w:pPr>
              <w:widowControl w:val="0"/>
              <w:adjustRightInd w:val="0"/>
              <w:snapToGrid w:val="0"/>
              <w:jc w:val="center"/>
              <w:rPr>
                <w:rFonts w:eastAsia="仿宋_GB2312"/>
                <w:color w:val="000000"/>
                <w:kern w:val="0"/>
                <w:sz w:val="21"/>
                <w:szCs w:val="21"/>
                <w:lang w:val="en-US" w:eastAsia="zh-CN" w:bidi="ar-SA"/>
              </w:rPr>
            </w:pPr>
          </w:p>
        </w:tc>
        <w:tc>
          <w:tcPr>
            <w:tcW w:w="1050" w:type="dxa"/>
            <w:vMerge w:val="restart"/>
            <w:noWrap w:val="0"/>
            <w:tcMar>
              <w:top w:w="12" w:type="dxa"/>
              <w:left w:w="12" w:type="dxa"/>
              <w:right w:w="12" w:type="dxa"/>
            </w:tcMar>
            <w:vAlign w:val="center"/>
          </w:tcPr>
          <w:p w14:paraId="505A10B5">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2综合利用（5分）</w:t>
            </w:r>
          </w:p>
        </w:tc>
        <w:tc>
          <w:tcPr>
            <w:tcW w:w="771" w:type="dxa"/>
            <w:gridSpan w:val="2"/>
            <w:noWrap w:val="0"/>
            <w:tcMar>
              <w:top w:w="12" w:type="dxa"/>
              <w:left w:w="12" w:type="dxa"/>
              <w:right w:w="12" w:type="dxa"/>
            </w:tcMar>
            <w:vAlign w:val="center"/>
          </w:tcPr>
          <w:p w14:paraId="0303E9A9">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14共伴生资源综合勘查与评价</w:t>
            </w:r>
          </w:p>
        </w:tc>
        <w:tc>
          <w:tcPr>
            <w:tcW w:w="694" w:type="dxa"/>
            <w:noWrap w:val="0"/>
            <w:tcMar>
              <w:top w:w="12" w:type="dxa"/>
              <w:left w:w="12" w:type="dxa"/>
              <w:right w:w="12" w:type="dxa"/>
            </w:tcMar>
            <w:vAlign w:val="center"/>
          </w:tcPr>
          <w:p w14:paraId="43762BC4">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5252D9B8">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按</w:t>
            </w:r>
            <w:r>
              <w:rPr>
                <w:rFonts w:hint="eastAsia" w:eastAsia="仿宋_GB2312"/>
                <w:color w:val="000000"/>
                <w:kern w:val="0"/>
                <w:sz w:val="21"/>
                <w:szCs w:val="21"/>
                <w:lang w:val="en-US" w:eastAsia="zh-CN" w:bidi="ar-SA"/>
              </w:rPr>
              <w:t>矿产资源综合勘查评价规范</w:t>
            </w:r>
            <w:r>
              <w:rPr>
                <w:rFonts w:eastAsia="仿宋_GB2312"/>
                <w:color w:val="000000"/>
                <w:kern w:val="0"/>
                <w:sz w:val="21"/>
                <w:szCs w:val="21"/>
                <w:lang w:val="en-US" w:eastAsia="zh-CN" w:bidi="ar-SA"/>
              </w:rPr>
              <w:t>进行综合勘查、综合评价。符合要求得2分，不符合得0分。</w:t>
            </w:r>
          </w:p>
        </w:tc>
        <w:tc>
          <w:tcPr>
            <w:tcW w:w="866" w:type="dxa"/>
            <w:noWrap w:val="0"/>
            <w:tcMar>
              <w:top w:w="12" w:type="dxa"/>
              <w:left w:w="12" w:type="dxa"/>
              <w:right w:w="12" w:type="dxa"/>
            </w:tcMar>
            <w:vAlign w:val="center"/>
          </w:tcPr>
          <w:p w14:paraId="1CF94A96">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查现场</w:t>
            </w:r>
          </w:p>
        </w:tc>
        <w:tc>
          <w:tcPr>
            <w:tcW w:w="2640" w:type="dxa"/>
            <w:noWrap w:val="0"/>
            <w:tcMar>
              <w:top w:w="12" w:type="dxa"/>
              <w:left w:w="12" w:type="dxa"/>
              <w:right w:w="12" w:type="dxa"/>
            </w:tcMar>
            <w:vAlign w:val="center"/>
          </w:tcPr>
          <w:p w14:paraId="16B6E4B6">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《矿产资源综合勘查评价规范》（GB/T 25283）</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符合环评批复相关要求</w:t>
            </w:r>
          </w:p>
        </w:tc>
        <w:tc>
          <w:tcPr>
            <w:tcW w:w="915" w:type="dxa"/>
            <w:noWrap w:val="0"/>
            <w:tcMar>
              <w:top w:w="12" w:type="dxa"/>
              <w:left w:w="12" w:type="dxa"/>
              <w:right w:w="12" w:type="dxa"/>
            </w:tcMar>
            <w:vAlign w:val="center"/>
          </w:tcPr>
          <w:p w14:paraId="2E882E80">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4BBD81FB">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3456BC0F">
            <w:pPr>
              <w:widowControl w:val="0"/>
              <w:adjustRightInd w:val="0"/>
              <w:snapToGrid w:val="0"/>
              <w:jc w:val="center"/>
              <w:rPr>
                <w:rFonts w:eastAsia="仿宋_GB2312"/>
                <w:color w:val="000000"/>
                <w:kern w:val="0"/>
                <w:sz w:val="18"/>
                <w:szCs w:val="18"/>
                <w:lang w:val="en-US" w:eastAsia="zh-CN" w:bidi="ar-SA"/>
              </w:rPr>
            </w:pPr>
          </w:p>
        </w:tc>
      </w:tr>
      <w:tr w14:paraId="62E9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1074" w:type="dxa"/>
            <w:vMerge w:val="continue"/>
            <w:noWrap w:val="0"/>
            <w:tcMar>
              <w:top w:w="12" w:type="dxa"/>
              <w:left w:w="12" w:type="dxa"/>
              <w:right w:w="12" w:type="dxa"/>
            </w:tcMar>
            <w:vAlign w:val="center"/>
          </w:tcPr>
          <w:p w14:paraId="6E99A923">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36A947DF">
            <w:pPr>
              <w:widowControl/>
              <w:adjustRightInd w:val="0"/>
              <w:snapToGrid w:val="0"/>
              <w:jc w:val="center"/>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6A5B492E">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15共伴生</w:t>
            </w:r>
            <w:r>
              <w:rPr>
                <w:rFonts w:eastAsia="仿宋_GB2312"/>
                <w:color w:val="000000"/>
                <w:kern w:val="0"/>
                <w:sz w:val="21"/>
                <w:szCs w:val="21"/>
                <w:lang w:val="en-US" w:eastAsia="zh-CN" w:bidi="ar-SA"/>
              </w:rPr>
              <w:t>矿产资源综合利用率</w:t>
            </w:r>
          </w:p>
        </w:tc>
        <w:tc>
          <w:tcPr>
            <w:tcW w:w="694" w:type="dxa"/>
            <w:noWrap w:val="0"/>
            <w:tcMar>
              <w:top w:w="12" w:type="dxa"/>
              <w:left w:w="12" w:type="dxa"/>
              <w:right w:w="12" w:type="dxa"/>
            </w:tcMar>
            <w:vAlign w:val="center"/>
          </w:tcPr>
          <w:p w14:paraId="1FFEE0F0">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4E374CEC">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共伴生矿产综合利用率达到国家发布的矿产资源合理开发利用“三率”指标</w:t>
            </w:r>
            <w:r>
              <w:rPr>
                <w:rFonts w:hint="eastAsia" w:eastAsia="仿宋_GB2312"/>
                <w:color w:val="000000"/>
                <w:kern w:val="0"/>
                <w:sz w:val="21"/>
                <w:szCs w:val="21"/>
                <w:lang w:val="en-US" w:eastAsia="zh-CN" w:bidi="ar-SA"/>
              </w:rPr>
              <w:t>一般</w:t>
            </w:r>
            <w:r>
              <w:rPr>
                <w:rFonts w:eastAsia="仿宋_GB2312"/>
                <w:color w:val="000000"/>
                <w:kern w:val="0"/>
                <w:sz w:val="21"/>
                <w:szCs w:val="21"/>
                <w:lang w:val="en-US" w:eastAsia="zh-CN" w:bidi="ar-SA"/>
              </w:rPr>
              <w:t>要求</w:t>
            </w:r>
            <w:r>
              <w:rPr>
                <w:rFonts w:hint="eastAsia" w:eastAsia="仿宋_GB2312"/>
                <w:color w:val="000000"/>
                <w:kern w:val="0"/>
                <w:sz w:val="21"/>
                <w:szCs w:val="21"/>
                <w:lang w:val="en-US" w:eastAsia="zh-CN" w:bidi="ar-SA"/>
              </w:rPr>
              <w:t>及以上</w:t>
            </w:r>
            <w:r>
              <w:rPr>
                <w:rFonts w:eastAsia="仿宋_GB2312"/>
                <w:color w:val="000000"/>
                <w:kern w:val="0"/>
                <w:sz w:val="21"/>
                <w:szCs w:val="21"/>
                <w:lang w:val="en-US" w:eastAsia="zh-CN" w:bidi="ar-SA"/>
              </w:rPr>
              <w:t>。符合</w:t>
            </w:r>
            <w:r>
              <w:rPr>
                <w:rFonts w:hint="eastAsia" w:eastAsia="仿宋_GB2312"/>
                <w:color w:val="000000"/>
                <w:kern w:val="0"/>
                <w:sz w:val="21"/>
                <w:szCs w:val="21"/>
                <w:lang w:val="en-US" w:eastAsia="zh-CN" w:bidi="ar-SA"/>
              </w:rPr>
              <w:t>要求</w:t>
            </w:r>
            <w:r>
              <w:rPr>
                <w:rFonts w:eastAsia="仿宋_GB2312"/>
                <w:color w:val="000000"/>
                <w:kern w:val="0"/>
                <w:sz w:val="21"/>
                <w:szCs w:val="21"/>
                <w:lang w:val="en-US" w:eastAsia="zh-CN" w:bidi="ar-SA"/>
              </w:rPr>
              <w:t>得2分，不符合得0分。</w:t>
            </w:r>
          </w:p>
        </w:tc>
        <w:tc>
          <w:tcPr>
            <w:tcW w:w="866" w:type="dxa"/>
            <w:noWrap w:val="0"/>
            <w:tcMar>
              <w:top w:w="12" w:type="dxa"/>
              <w:left w:w="12" w:type="dxa"/>
              <w:right w:w="12" w:type="dxa"/>
            </w:tcMar>
            <w:vAlign w:val="center"/>
          </w:tcPr>
          <w:p w14:paraId="5AB3C6D1">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w:t>
            </w:r>
          </w:p>
        </w:tc>
        <w:tc>
          <w:tcPr>
            <w:tcW w:w="2640" w:type="dxa"/>
            <w:noWrap w:val="0"/>
            <w:tcMar>
              <w:top w:w="12" w:type="dxa"/>
              <w:left w:w="12" w:type="dxa"/>
              <w:right w:w="12" w:type="dxa"/>
            </w:tcMar>
            <w:vAlign w:val="center"/>
          </w:tcPr>
          <w:p w14:paraId="05021B66">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自然资源部发布的“三率”指标要求，符合环评批复相关要求</w:t>
            </w:r>
          </w:p>
        </w:tc>
        <w:tc>
          <w:tcPr>
            <w:tcW w:w="915" w:type="dxa"/>
            <w:noWrap w:val="0"/>
            <w:tcMar>
              <w:top w:w="12" w:type="dxa"/>
              <w:left w:w="12" w:type="dxa"/>
              <w:right w:w="12" w:type="dxa"/>
            </w:tcMar>
            <w:vAlign w:val="center"/>
          </w:tcPr>
          <w:p w14:paraId="2E449E12">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约束性</w:t>
            </w:r>
          </w:p>
        </w:tc>
        <w:tc>
          <w:tcPr>
            <w:tcW w:w="915" w:type="dxa"/>
            <w:noWrap w:val="0"/>
            <w:vAlign w:val="center"/>
          </w:tcPr>
          <w:p w14:paraId="5E51FBF9">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33FB8A84">
            <w:pPr>
              <w:widowControl w:val="0"/>
              <w:adjustRightInd w:val="0"/>
              <w:snapToGrid w:val="0"/>
              <w:jc w:val="center"/>
              <w:rPr>
                <w:rFonts w:eastAsia="仿宋_GB2312"/>
                <w:color w:val="000000"/>
                <w:kern w:val="0"/>
                <w:sz w:val="18"/>
                <w:szCs w:val="18"/>
                <w:lang w:val="en-US" w:eastAsia="zh-CN" w:bidi="ar-SA"/>
              </w:rPr>
            </w:pPr>
          </w:p>
        </w:tc>
      </w:tr>
      <w:tr w14:paraId="1E72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074" w:type="dxa"/>
            <w:vMerge w:val="continue"/>
            <w:noWrap w:val="0"/>
            <w:tcMar>
              <w:top w:w="12" w:type="dxa"/>
              <w:left w:w="12" w:type="dxa"/>
              <w:right w:w="12" w:type="dxa"/>
            </w:tcMar>
            <w:vAlign w:val="center"/>
          </w:tcPr>
          <w:p w14:paraId="2C757959">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46953E41">
            <w:pPr>
              <w:widowControl/>
              <w:adjustRightInd w:val="0"/>
              <w:snapToGrid w:val="0"/>
              <w:jc w:val="center"/>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3852D0D3">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16对暂不能开采利用的矿产</w:t>
            </w:r>
          </w:p>
        </w:tc>
        <w:tc>
          <w:tcPr>
            <w:tcW w:w="694" w:type="dxa"/>
            <w:noWrap w:val="0"/>
            <w:tcMar>
              <w:top w:w="12" w:type="dxa"/>
              <w:left w:w="12" w:type="dxa"/>
              <w:right w:w="12" w:type="dxa"/>
            </w:tcMar>
            <w:vAlign w:val="center"/>
          </w:tcPr>
          <w:p w14:paraId="6A718C51">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1</w:t>
            </w:r>
          </w:p>
        </w:tc>
        <w:tc>
          <w:tcPr>
            <w:tcW w:w="5646" w:type="dxa"/>
            <w:noWrap w:val="0"/>
            <w:tcMar>
              <w:top w:w="12" w:type="dxa"/>
              <w:left w:w="12" w:type="dxa"/>
              <w:right w:w="12" w:type="dxa"/>
            </w:tcMar>
            <w:vAlign w:val="center"/>
          </w:tcPr>
          <w:p w14:paraId="1177F5D6">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对暂不能开采利用的共伴生矿产采取保护措施。</w:t>
            </w:r>
            <w:r>
              <w:rPr>
                <w:rFonts w:eastAsia="仿宋_GB2312"/>
                <w:color w:val="000000"/>
                <w:kern w:val="0"/>
                <w:sz w:val="21"/>
                <w:szCs w:val="21"/>
                <w:lang w:val="en-US" w:eastAsia="zh-CN" w:bidi="ar-SA"/>
              </w:rPr>
              <w:t>符合</w:t>
            </w:r>
            <w:r>
              <w:rPr>
                <w:rFonts w:hint="eastAsia" w:eastAsia="仿宋_GB2312"/>
                <w:color w:val="000000"/>
                <w:kern w:val="0"/>
                <w:sz w:val="21"/>
                <w:szCs w:val="21"/>
                <w:lang w:val="en-US" w:eastAsia="zh-CN" w:bidi="ar-SA"/>
              </w:rPr>
              <w:t>要求</w:t>
            </w:r>
            <w:r>
              <w:rPr>
                <w:rFonts w:eastAsia="仿宋_GB2312"/>
                <w:color w:val="000000"/>
                <w:kern w:val="0"/>
                <w:sz w:val="21"/>
                <w:szCs w:val="21"/>
                <w:lang w:val="en-US" w:eastAsia="zh-CN" w:bidi="ar-SA"/>
              </w:rPr>
              <w:t>得1分，不符合得0分。</w:t>
            </w:r>
          </w:p>
        </w:tc>
        <w:tc>
          <w:tcPr>
            <w:tcW w:w="866" w:type="dxa"/>
            <w:noWrap w:val="0"/>
            <w:tcMar>
              <w:top w:w="12" w:type="dxa"/>
              <w:left w:w="12" w:type="dxa"/>
              <w:right w:w="12" w:type="dxa"/>
            </w:tcMar>
            <w:vAlign w:val="center"/>
          </w:tcPr>
          <w:p w14:paraId="4885E6BB">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查现场</w:t>
            </w:r>
          </w:p>
        </w:tc>
        <w:tc>
          <w:tcPr>
            <w:tcW w:w="2640" w:type="dxa"/>
            <w:noWrap w:val="0"/>
            <w:tcMar>
              <w:top w:w="12" w:type="dxa"/>
              <w:left w:w="12" w:type="dxa"/>
              <w:right w:w="12" w:type="dxa"/>
            </w:tcMar>
            <w:vAlign w:val="center"/>
          </w:tcPr>
          <w:p w14:paraId="483460F3">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《矿产资源开发利用方案》，矿山设计，</w:t>
            </w:r>
            <w:r>
              <w:rPr>
                <w:rFonts w:eastAsia="仿宋_GB2312"/>
                <w:color w:val="000000"/>
                <w:kern w:val="0"/>
                <w:sz w:val="21"/>
                <w:szCs w:val="21"/>
                <w:lang w:val="en-US" w:eastAsia="zh-CN" w:bidi="ar-SA"/>
              </w:rPr>
              <w:t>符合环评批复相关要求</w:t>
            </w:r>
          </w:p>
        </w:tc>
        <w:tc>
          <w:tcPr>
            <w:tcW w:w="915" w:type="dxa"/>
            <w:noWrap w:val="0"/>
            <w:tcMar>
              <w:top w:w="12" w:type="dxa"/>
              <w:left w:w="12" w:type="dxa"/>
              <w:right w:w="12" w:type="dxa"/>
            </w:tcMar>
            <w:vAlign w:val="center"/>
          </w:tcPr>
          <w:p w14:paraId="73207C61">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2D6F2972">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4FE2B578">
            <w:pPr>
              <w:widowControl w:val="0"/>
              <w:adjustRightInd w:val="0"/>
              <w:snapToGrid w:val="0"/>
              <w:jc w:val="center"/>
              <w:rPr>
                <w:rFonts w:eastAsia="仿宋_GB2312"/>
                <w:color w:val="000000"/>
                <w:kern w:val="0"/>
                <w:sz w:val="18"/>
                <w:szCs w:val="18"/>
                <w:lang w:val="en-US" w:eastAsia="zh-CN" w:bidi="ar-SA"/>
              </w:rPr>
            </w:pPr>
          </w:p>
        </w:tc>
      </w:tr>
      <w:tr w14:paraId="5E3D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074" w:type="dxa"/>
            <w:vMerge w:val="continue"/>
            <w:noWrap w:val="0"/>
            <w:tcMar>
              <w:top w:w="12" w:type="dxa"/>
              <w:left w:w="12" w:type="dxa"/>
              <w:right w:w="12" w:type="dxa"/>
            </w:tcMar>
            <w:vAlign w:val="center"/>
          </w:tcPr>
          <w:p w14:paraId="131352B3">
            <w:pPr>
              <w:widowControl w:val="0"/>
              <w:adjustRightInd w:val="0"/>
              <w:snapToGrid w:val="0"/>
              <w:jc w:val="center"/>
              <w:rPr>
                <w:rFonts w:eastAsia="仿宋_GB2312"/>
                <w:color w:val="000000"/>
                <w:kern w:val="0"/>
                <w:sz w:val="21"/>
                <w:szCs w:val="21"/>
                <w:lang w:val="en-US" w:eastAsia="zh-CN" w:bidi="ar-SA"/>
              </w:rPr>
            </w:pPr>
          </w:p>
        </w:tc>
        <w:tc>
          <w:tcPr>
            <w:tcW w:w="1050" w:type="dxa"/>
            <w:vMerge w:val="restart"/>
            <w:noWrap w:val="0"/>
            <w:tcMar>
              <w:top w:w="12" w:type="dxa"/>
              <w:left w:w="12" w:type="dxa"/>
              <w:right w:w="12" w:type="dxa"/>
            </w:tcMar>
            <w:vAlign w:val="center"/>
          </w:tcPr>
          <w:p w14:paraId="314522C1">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3固废综合利用（3分）</w:t>
            </w:r>
          </w:p>
        </w:tc>
        <w:tc>
          <w:tcPr>
            <w:tcW w:w="771" w:type="dxa"/>
            <w:gridSpan w:val="2"/>
            <w:noWrap w:val="0"/>
            <w:tcMar>
              <w:top w:w="12" w:type="dxa"/>
              <w:left w:w="12" w:type="dxa"/>
              <w:right w:w="12" w:type="dxa"/>
            </w:tcMar>
            <w:vAlign w:val="center"/>
          </w:tcPr>
          <w:p w14:paraId="449B8A77">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17工业固废处置与利用</w:t>
            </w:r>
          </w:p>
        </w:tc>
        <w:tc>
          <w:tcPr>
            <w:tcW w:w="694" w:type="dxa"/>
            <w:noWrap w:val="0"/>
            <w:tcMar>
              <w:top w:w="12" w:type="dxa"/>
              <w:left w:w="12" w:type="dxa"/>
              <w:right w:w="12" w:type="dxa"/>
            </w:tcMar>
            <w:vAlign w:val="center"/>
          </w:tcPr>
          <w:p w14:paraId="19566C71">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766FABD1">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通过回填、铺路、</w:t>
            </w:r>
            <w:r>
              <w:rPr>
                <w:rFonts w:hint="eastAsia" w:eastAsia="仿宋_GB2312"/>
                <w:color w:val="000000"/>
                <w:kern w:val="0"/>
                <w:sz w:val="21"/>
                <w:szCs w:val="21"/>
                <w:lang w:val="en-US" w:eastAsia="zh-CN" w:bidi="ar"/>
              </w:rPr>
              <w:t>工程建设</w:t>
            </w:r>
            <w:r>
              <w:rPr>
                <w:rFonts w:eastAsia="仿宋_GB2312"/>
                <w:color w:val="000000"/>
                <w:kern w:val="0"/>
                <w:sz w:val="21"/>
                <w:szCs w:val="21"/>
                <w:lang w:val="en-US" w:eastAsia="zh-CN" w:bidi="ar"/>
              </w:rPr>
              <w:t>等方式充分利用固体废弃物，得</w:t>
            </w:r>
            <w:r>
              <w:rPr>
                <w:rFonts w:hint="eastAsia" w:eastAsia="仿宋_GB2312"/>
                <w:color w:val="000000"/>
                <w:kern w:val="0"/>
                <w:sz w:val="21"/>
                <w:szCs w:val="21"/>
                <w:lang w:val="en-US" w:eastAsia="zh-CN" w:bidi="ar"/>
              </w:rPr>
              <w:t>0.5</w:t>
            </w:r>
            <w:r>
              <w:rPr>
                <w:rFonts w:eastAsia="仿宋_GB2312"/>
                <w:color w:val="000000"/>
                <w:kern w:val="0"/>
                <w:sz w:val="21"/>
                <w:szCs w:val="21"/>
                <w:lang w:val="en-US" w:eastAsia="zh-CN" w:bidi="ar"/>
              </w:rPr>
              <w:t>分；剥离表土用于土地复垦、生态修复</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得1分（无表土的</w:t>
            </w:r>
            <w:r>
              <w:rPr>
                <w:rFonts w:hint="eastAsia" w:eastAsia="仿宋_GB2312"/>
                <w:color w:val="000000"/>
                <w:kern w:val="0"/>
                <w:sz w:val="21"/>
                <w:szCs w:val="21"/>
                <w:lang w:val="en-US" w:eastAsia="zh-CN" w:bidi="ar"/>
              </w:rPr>
              <w:t>，直接得1分</w:t>
            </w:r>
            <w:r>
              <w:rPr>
                <w:rFonts w:eastAsia="仿宋_GB2312"/>
                <w:color w:val="000000"/>
                <w:kern w:val="0"/>
                <w:sz w:val="21"/>
                <w:szCs w:val="21"/>
                <w:lang w:val="en-US" w:eastAsia="zh-CN" w:bidi="ar"/>
              </w:rPr>
              <w:t>）</w:t>
            </w:r>
            <w:r>
              <w:rPr>
                <w:rFonts w:hint="eastAsia" w:eastAsia="仿宋_GB2312"/>
                <w:color w:val="000000"/>
                <w:kern w:val="0"/>
                <w:sz w:val="21"/>
                <w:szCs w:val="21"/>
                <w:lang w:val="en-US" w:eastAsia="zh-CN" w:bidi="ar"/>
              </w:rPr>
              <w:t>；渗滤液收集、废水处理、地下水环境监测等尾矿库污染防治设施符合相关法规标准要求，得0.5分</w:t>
            </w:r>
            <w:r>
              <w:rPr>
                <w:rFonts w:eastAsia="仿宋_GB2312"/>
                <w:color w:val="000000"/>
                <w:kern w:val="0"/>
                <w:sz w:val="21"/>
                <w:szCs w:val="21"/>
                <w:lang w:val="en-US" w:eastAsia="zh-CN" w:bidi="ar"/>
              </w:rPr>
              <w:t>。</w:t>
            </w:r>
          </w:p>
        </w:tc>
        <w:tc>
          <w:tcPr>
            <w:tcW w:w="866" w:type="dxa"/>
            <w:noWrap w:val="0"/>
            <w:tcMar>
              <w:top w:w="12" w:type="dxa"/>
              <w:left w:w="12" w:type="dxa"/>
              <w:right w:w="12" w:type="dxa"/>
            </w:tcMar>
            <w:vAlign w:val="center"/>
          </w:tcPr>
          <w:p w14:paraId="57DA585B">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查现场</w:t>
            </w:r>
          </w:p>
        </w:tc>
        <w:tc>
          <w:tcPr>
            <w:tcW w:w="2640" w:type="dxa"/>
            <w:noWrap w:val="0"/>
            <w:tcMar>
              <w:top w:w="12" w:type="dxa"/>
              <w:left w:w="12" w:type="dxa"/>
              <w:right w:w="12" w:type="dxa"/>
            </w:tcMar>
            <w:vAlign w:val="center"/>
          </w:tcPr>
          <w:p w14:paraId="090BF590">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《矿产资源开发利用方案</w:t>
            </w:r>
            <w:r>
              <w:rPr>
                <w:rFonts w:hint="eastAsia" w:ascii="Calibri" w:hAnsi="Calibri" w:eastAsia="仿宋_GB2312"/>
                <w:color w:val="000000"/>
                <w:kern w:val="0"/>
                <w:sz w:val="21"/>
                <w:szCs w:val="21"/>
                <w:lang w:val="en-US" w:eastAsia="zh-CN" w:bidi="ar"/>
              </w:rPr>
              <w:t>》《</w:t>
            </w:r>
            <w:r>
              <w:rPr>
                <w:rFonts w:eastAsia="仿宋_GB2312"/>
                <w:color w:val="000000"/>
                <w:kern w:val="0"/>
                <w:sz w:val="21"/>
                <w:szCs w:val="21"/>
                <w:lang w:val="en-US" w:eastAsia="zh-CN" w:bidi="ar"/>
              </w:rPr>
              <w:t>一般工业固体废物贮存和填埋污染控制标准》（GB</w:t>
            </w:r>
            <w:r>
              <w:rPr>
                <w:rFonts w:hint="eastAsia" w:eastAsia="仿宋_GB2312"/>
                <w:color w:val="000000"/>
                <w:kern w:val="0"/>
                <w:sz w:val="21"/>
                <w:szCs w:val="21"/>
                <w:lang w:val="en-US" w:eastAsia="zh-CN" w:bidi="ar"/>
              </w:rPr>
              <w:t xml:space="preserve"> </w:t>
            </w:r>
            <w:r>
              <w:rPr>
                <w:rFonts w:eastAsia="仿宋_GB2312"/>
                <w:color w:val="000000"/>
                <w:kern w:val="0"/>
                <w:sz w:val="21"/>
                <w:szCs w:val="21"/>
                <w:lang w:val="en-US" w:eastAsia="zh-CN" w:bidi="ar"/>
              </w:rPr>
              <w:t>18599）《尾矿污染环境防治管理办法》</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SA"/>
              </w:rPr>
              <w:t>符合环评批复相关要求</w:t>
            </w:r>
          </w:p>
        </w:tc>
        <w:tc>
          <w:tcPr>
            <w:tcW w:w="915" w:type="dxa"/>
            <w:noWrap w:val="0"/>
            <w:tcMar>
              <w:top w:w="12" w:type="dxa"/>
              <w:left w:w="12" w:type="dxa"/>
              <w:right w:w="12" w:type="dxa"/>
            </w:tcMar>
            <w:vAlign w:val="center"/>
          </w:tcPr>
          <w:p w14:paraId="6B37F922">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42AABD92">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6C0BD6B4">
            <w:pPr>
              <w:widowControl w:val="0"/>
              <w:adjustRightInd w:val="0"/>
              <w:snapToGrid w:val="0"/>
              <w:jc w:val="center"/>
              <w:rPr>
                <w:rFonts w:eastAsia="仿宋_GB2312"/>
                <w:color w:val="000000"/>
                <w:kern w:val="0"/>
                <w:sz w:val="18"/>
                <w:szCs w:val="18"/>
                <w:lang w:val="en-US" w:eastAsia="zh-CN" w:bidi="ar-SA"/>
              </w:rPr>
            </w:pPr>
          </w:p>
        </w:tc>
      </w:tr>
      <w:tr w14:paraId="645A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074" w:type="dxa"/>
            <w:vMerge w:val="continue"/>
            <w:noWrap w:val="0"/>
            <w:tcMar>
              <w:top w:w="12" w:type="dxa"/>
              <w:left w:w="12" w:type="dxa"/>
              <w:right w:w="12" w:type="dxa"/>
            </w:tcMar>
            <w:vAlign w:val="center"/>
          </w:tcPr>
          <w:p w14:paraId="4801728E">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00B6DB55">
            <w:pPr>
              <w:widowControl/>
              <w:adjustRightInd w:val="0"/>
              <w:snapToGrid w:val="0"/>
              <w:jc w:val="center"/>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07D1B586">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18回收提取有价元素/有用矿物</w:t>
            </w:r>
          </w:p>
        </w:tc>
        <w:tc>
          <w:tcPr>
            <w:tcW w:w="694" w:type="dxa"/>
            <w:noWrap w:val="0"/>
            <w:tcMar>
              <w:top w:w="12" w:type="dxa"/>
              <w:left w:w="12" w:type="dxa"/>
              <w:right w:w="12" w:type="dxa"/>
            </w:tcMar>
            <w:vAlign w:val="center"/>
          </w:tcPr>
          <w:p w14:paraId="53BC5EF5">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1</w:t>
            </w:r>
          </w:p>
        </w:tc>
        <w:tc>
          <w:tcPr>
            <w:tcW w:w="5646" w:type="dxa"/>
            <w:noWrap w:val="0"/>
            <w:tcMar>
              <w:top w:w="12" w:type="dxa"/>
              <w:left w:w="12" w:type="dxa"/>
              <w:right w:w="12" w:type="dxa"/>
            </w:tcMar>
            <w:vAlign w:val="center"/>
          </w:tcPr>
          <w:p w14:paraId="76980DB8">
            <w:pPr>
              <w:widowControl/>
              <w:adjustRightInd w:val="0"/>
              <w:snapToGrid w:val="0"/>
              <w:jc w:val="left"/>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
              </w:rPr>
              <w:t>鼓励</w:t>
            </w:r>
            <w:r>
              <w:rPr>
                <w:rFonts w:eastAsia="仿宋_GB2312"/>
                <w:color w:val="000000"/>
                <w:kern w:val="0"/>
                <w:sz w:val="21"/>
                <w:szCs w:val="21"/>
                <w:lang w:val="en-US" w:eastAsia="zh-CN" w:bidi="ar"/>
              </w:rPr>
              <w:t>从</w:t>
            </w:r>
            <w:r>
              <w:rPr>
                <w:rFonts w:hint="eastAsia" w:eastAsia="仿宋_GB2312"/>
                <w:color w:val="000000"/>
                <w:kern w:val="0"/>
                <w:sz w:val="21"/>
                <w:szCs w:val="21"/>
                <w:lang w:val="en-US" w:eastAsia="zh-CN" w:bidi="ar"/>
              </w:rPr>
              <w:t>已有</w:t>
            </w:r>
            <w:r>
              <w:rPr>
                <w:rFonts w:eastAsia="仿宋_GB2312"/>
                <w:color w:val="000000"/>
                <w:kern w:val="0"/>
                <w:sz w:val="21"/>
                <w:szCs w:val="21"/>
                <w:lang w:val="en-US" w:eastAsia="zh-CN" w:bidi="ar"/>
              </w:rPr>
              <w:t>尾矿、煤矸石、废石等固体废弃物中提取有价元素或有用矿物。符合要求得1分，不符合得0分。</w:t>
            </w:r>
          </w:p>
        </w:tc>
        <w:tc>
          <w:tcPr>
            <w:tcW w:w="866" w:type="dxa"/>
            <w:noWrap w:val="0"/>
            <w:tcMar>
              <w:top w:w="12" w:type="dxa"/>
              <w:left w:w="12" w:type="dxa"/>
              <w:right w:w="12" w:type="dxa"/>
            </w:tcMar>
            <w:vAlign w:val="center"/>
          </w:tcPr>
          <w:p w14:paraId="14DF5D9D">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查现场</w:t>
            </w:r>
          </w:p>
        </w:tc>
        <w:tc>
          <w:tcPr>
            <w:tcW w:w="2640" w:type="dxa"/>
            <w:noWrap w:val="0"/>
            <w:tcMar>
              <w:top w:w="12" w:type="dxa"/>
              <w:left w:w="12" w:type="dxa"/>
              <w:right w:w="12" w:type="dxa"/>
            </w:tcMar>
            <w:vAlign w:val="center"/>
          </w:tcPr>
          <w:p w14:paraId="7CB3445C">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生产报表、销售报表、财务报表等，</w:t>
            </w:r>
            <w:r>
              <w:rPr>
                <w:rFonts w:eastAsia="仿宋_GB2312"/>
                <w:color w:val="000000"/>
                <w:kern w:val="0"/>
                <w:sz w:val="21"/>
                <w:szCs w:val="21"/>
                <w:lang w:val="en-US" w:eastAsia="zh-CN" w:bidi="ar-SA"/>
              </w:rPr>
              <w:t>符合环评批复相关要求</w:t>
            </w:r>
          </w:p>
        </w:tc>
        <w:tc>
          <w:tcPr>
            <w:tcW w:w="915" w:type="dxa"/>
            <w:noWrap w:val="0"/>
            <w:tcMar>
              <w:top w:w="12" w:type="dxa"/>
              <w:left w:w="12" w:type="dxa"/>
              <w:right w:w="12" w:type="dxa"/>
            </w:tcMar>
            <w:vAlign w:val="center"/>
          </w:tcPr>
          <w:p w14:paraId="552DC632">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1A2D64A8">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5F7B3DD9">
            <w:pPr>
              <w:widowControl w:val="0"/>
              <w:adjustRightInd w:val="0"/>
              <w:snapToGrid w:val="0"/>
              <w:jc w:val="center"/>
              <w:rPr>
                <w:rFonts w:eastAsia="仿宋_GB2312"/>
                <w:color w:val="000000"/>
                <w:kern w:val="0"/>
                <w:sz w:val="18"/>
                <w:szCs w:val="18"/>
                <w:lang w:val="en-US" w:eastAsia="zh-CN" w:bidi="ar-SA"/>
              </w:rPr>
            </w:pPr>
          </w:p>
        </w:tc>
      </w:tr>
      <w:tr w14:paraId="3D9C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074" w:type="dxa"/>
            <w:vMerge w:val="continue"/>
            <w:noWrap w:val="0"/>
            <w:tcMar>
              <w:top w:w="12" w:type="dxa"/>
              <w:left w:w="12" w:type="dxa"/>
              <w:right w:w="12" w:type="dxa"/>
            </w:tcMar>
            <w:vAlign w:val="center"/>
          </w:tcPr>
          <w:p w14:paraId="3410F03D">
            <w:pPr>
              <w:widowControl w:val="0"/>
              <w:adjustRightInd w:val="0"/>
              <w:snapToGrid w:val="0"/>
              <w:jc w:val="center"/>
              <w:rPr>
                <w:rFonts w:eastAsia="仿宋_GB2312"/>
                <w:color w:val="000000"/>
                <w:kern w:val="0"/>
                <w:sz w:val="21"/>
                <w:szCs w:val="21"/>
                <w:lang w:val="en-US" w:eastAsia="zh-CN" w:bidi="ar-SA"/>
              </w:rPr>
            </w:pPr>
          </w:p>
        </w:tc>
        <w:tc>
          <w:tcPr>
            <w:tcW w:w="1050" w:type="dxa"/>
            <w:vMerge w:val="restart"/>
            <w:noWrap w:val="0"/>
            <w:tcMar>
              <w:top w:w="12" w:type="dxa"/>
              <w:left w:w="12" w:type="dxa"/>
              <w:right w:w="12" w:type="dxa"/>
            </w:tcMar>
            <w:vAlign w:val="center"/>
          </w:tcPr>
          <w:p w14:paraId="2DF27135">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4废水综合利用（5分）</w:t>
            </w:r>
          </w:p>
        </w:tc>
        <w:tc>
          <w:tcPr>
            <w:tcW w:w="771" w:type="dxa"/>
            <w:gridSpan w:val="2"/>
            <w:noWrap w:val="0"/>
            <w:tcMar>
              <w:top w:w="12" w:type="dxa"/>
              <w:left w:w="12" w:type="dxa"/>
              <w:right w:w="12" w:type="dxa"/>
            </w:tcMar>
            <w:vAlign w:val="center"/>
          </w:tcPr>
          <w:p w14:paraId="0AE477D8">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19生产废水综合利用</w:t>
            </w:r>
          </w:p>
        </w:tc>
        <w:tc>
          <w:tcPr>
            <w:tcW w:w="694" w:type="dxa"/>
            <w:noWrap w:val="0"/>
            <w:tcMar>
              <w:top w:w="12" w:type="dxa"/>
              <w:left w:w="12" w:type="dxa"/>
              <w:right w:w="12" w:type="dxa"/>
            </w:tcMar>
            <w:vAlign w:val="center"/>
          </w:tcPr>
          <w:p w14:paraId="187E1F69">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3</w:t>
            </w:r>
          </w:p>
        </w:tc>
        <w:tc>
          <w:tcPr>
            <w:tcW w:w="5646" w:type="dxa"/>
            <w:noWrap w:val="0"/>
            <w:tcMar>
              <w:top w:w="12" w:type="dxa"/>
              <w:left w:w="12" w:type="dxa"/>
              <w:right w:w="12" w:type="dxa"/>
            </w:tcMar>
            <w:vAlign w:val="center"/>
          </w:tcPr>
          <w:p w14:paraId="3CD20CF2">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①配备完备的废水处理设施</w:t>
            </w:r>
            <w:r>
              <w:rPr>
                <w:rFonts w:hint="eastAsia" w:eastAsia="仿宋_GB2312"/>
                <w:color w:val="000000"/>
                <w:kern w:val="0"/>
                <w:sz w:val="21"/>
                <w:szCs w:val="21"/>
                <w:lang w:val="en-US" w:eastAsia="zh-CN" w:bidi="ar"/>
              </w:rPr>
              <w:t>，并正常运行的</w:t>
            </w:r>
            <w:r>
              <w:rPr>
                <w:rFonts w:eastAsia="仿宋_GB2312"/>
                <w:color w:val="000000"/>
                <w:kern w:val="0"/>
                <w:sz w:val="21"/>
                <w:szCs w:val="21"/>
                <w:lang w:val="en-US" w:eastAsia="zh-CN" w:bidi="ar"/>
              </w:rPr>
              <w:t>得1分。</w:t>
            </w:r>
          </w:p>
          <w:p w14:paraId="380FEF9B">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②采用洁净化、资源化技术工艺合理处置矿井水</w:t>
            </w:r>
            <w:r>
              <w:rPr>
                <w:rFonts w:hint="eastAsia" w:eastAsia="仿宋_GB2312"/>
                <w:color w:val="000000"/>
                <w:kern w:val="0"/>
                <w:sz w:val="21"/>
                <w:szCs w:val="21"/>
                <w:lang w:val="en-US" w:eastAsia="zh-CN" w:bidi="ar"/>
              </w:rPr>
              <w:t>、废水、尾水，</w:t>
            </w:r>
            <w:r>
              <w:rPr>
                <w:rFonts w:eastAsia="仿宋_GB2312"/>
                <w:color w:val="000000"/>
                <w:kern w:val="0"/>
                <w:sz w:val="21"/>
                <w:szCs w:val="21"/>
                <w:lang w:val="en-US" w:eastAsia="zh-CN" w:bidi="ar"/>
              </w:rPr>
              <w:t>得1分。煤矿、黄金等行业矿井水处置率达到100%，不达标不得分。</w:t>
            </w:r>
          </w:p>
          <w:p w14:paraId="7C09C2B5">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③选矿废水循环利用</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得1分。煤矿矿井水利用率达到相关标准，冶金选矿废水循环利用率不低于90%，非金属矿山选矿废水重复利用率不低于85%，化工行业选矿回水利用率达到100%，</w:t>
            </w:r>
            <w:r>
              <w:rPr>
                <w:rFonts w:hint="eastAsia" w:eastAsia="仿宋_GB2312"/>
                <w:color w:val="000000"/>
                <w:kern w:val="0"/>
                <w:sz w:val="21"/>
                <w:szCs w:val="21"/>
                <w:lang w:val="en-US" w:eastAsia="zh-CN" w:bidi="ar"/>
              </w:rPr>
              <w:t>地热矿泉水</w:t>
            </w:r>
            <w:r>
              <w:rPr>
                <w:rFonts w:eastAsia="仿宋_GB2312"/>
                <w:color w:val="000000"/>
                <w:kern w:val="0"/>
                <w:sz w:val="21"/>
                <w:szCs w:val="21"/>
                <w:lang w:val="en-US" w:eastAsia="zh-CN" w:bidi="ar"/>
              </w:rPr>
              <w:t>尾</w:t>
            </w:r>
            <w:r>
              <w:rPr>
                <w:rFonts w:hint="eastAsia" w:eastAsia="仿宋_GB2312"/>
                <w:color w:val="000000"/>
                <w:kern w:val="0"/>
                <w:sz w:val="21"/>
                <w:szCs w:val="21"/>
                <w:lang w:val="en-US" w:eastAsia="zh-CN" w:bidi="ar"/>
              </w:rPr>
              <w:t>废水集中处理达标后外排或回灌。</w:t>
            </w:r>
            <w:r>
              <w:rPr>
                <w:rFonts w:eastAsia="仿宋_GB2312"/>
                <w:color w:val="000000"/>
                <w:kern w:val="0"/>
                <w:sz w:val="21"/>
                <w:szCs w:val="21"/>
                <w:lang w:val="en-US" w:eastAsia="zh-CN" w:bidi="ar"/>
              </w:rPr>
              <w:t>不达标不得分。</w:t>
            </w:r>
          </w:p>
        </w:tc>
        <w:tc>
          <w:tcPr>
            <w:tcW w:w="866" w:type="dxa"/>
            <w:noWrap w:val="0"/>
            <w:tcMar>
              <w:top w:w="12" w:type="dxa"/>
              <w:left w:w="12" w:type="dxa"/>
              <w:right w:w="12" w:type="dxa"/>
            </w:tcMar>
            <w:vAlign w:val="center"/>
          </w:tcPr>
          <w:p w14:paraId="63EB2B61">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查现场</w:t>
            </w:r>
          </w:p>
        </w:tc>
        <w:tc>
          <w:tcPr>
            <w:tcW w:w="2640" w:type="dxa"/>
            <w:noWrap w:val="0"/>
            <w:tcMar>
              <w:top w:w="12" w:type="dxa"/>
              <w:left w:w="12" w:type="dxa"/>
              <w:right w:w="12" w:type="dxa"/>
            </w:tcMar>
            <w:vAlign w:val="center"/>
          </w:tcPr>
          <w:p w14:paraId="15167DED">
            <w:pPr>
              <w:widowControl w:val="0"/>
              <w:numPr>
                <w:ilvl w:val="0"/>
                <w:numId w:val="0"/>
              </w:numPr>
              <w:snapToGrid w:val="0"/>
              <w:ind w:left="-22" w:firstLine="25" w:firstLineChars="12"/>
              <w:jc w:val="left"/>
              <w:rPr>
                <w:rFonts w:eastAsia="仿宋_GB2312"/>
                <w:color w:val="000000"/>
                <w:kern w:val="2"/>
                <w:sz w:val="21"/>
                <w:szCs w:val="21"/>
                <w:lang w:val="en-US" w:eastAsia="zh-CN" w:bidi="ar-SA"/>
              </w:rPr>
            </w:pPr>
            <w:r>
              <w:rPr>
                <w:rFonts w:eastAsia="仿宋_GB2312"/>
                <w:color w:val="000000"/>
                <w:kern w:val="2"/>
                <w:sz w:val="21"/>
                <w:szCs w:val="21"/>
                <w:lang w:val="en-US" w:eastAsia="zh-CN" w:bidi="ar-SA"/>
              </w:rPr>
              <w:t>《煤炭采选业清洁生产评价指标体系》（国家发展改革委、生态环境部、工业和信息化部，2019年发布），冶金、非金属、煤炭、化工行业绿色矿山建设规范</w:t>
            </w:r>
            <w:r>
              <w:rPr>
                <w:rFonts w:hint="eastAsia" w:eastAsia="仿宋_GB2312"/>
                <w:color w:val="000000"/>
                <w:kern w:val="2"/>
                <w:sz w:val="21"/>
                <w:szCs w:val="21"/>
                <w:lang w:val="en-US" w:eastAsia="zh-CN" w:bidi="ar-SA"/>
              </w:rPr>
              <w:t>，</w:t>
            </w:r>
            <w:r>
              <w:rPr>
                <w:rFonts w:eastAsia="仿宋_GB2312"/>
                <w:color w:val="000000"/>
                <w:kern w:val="2"/>
                <w:sz w:val="21"/>
                <w:szCs w:val="21"/>
                <w:lang w:val="en-US" w:eastAsia="zh-CN" w:bidi="ar-SA"/>
              </w:rPr>
              <w:t>符合环评批复相关要求</w:t>
            </w:r>
          </w:p>
        </w:tc>
        <w:tc>
          <w:tcPr>
            <w:tcW w:w="915" w:type="dxa"/>
            <w:noWrap w:val="0"/>
            <w:tcMar>
              <w:top w:w="12" w:type="dxa"/>
              <w:left w:w="12" w:type="dxa"/>
              <w:right w:w="12" w:type="dxa"/>
            </w:tcMar>
            <w:vAlign w:val="center"/>
          </w:tcPr>
          <w:p w14:paraId="566FAC2E">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1A7A03A4">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02477B0A">
            <w:pPr>
              <w:widowControl w:val="0"/>
              <w:adjustRightInd w:val="0"/>
              <w:snapToGrid w:val="0"/>
              <w:jc w:val="center"/>
              <w:rPr>
                <w:rFonts w:eastAsia="仿宋_GB2312"/>
                <w:color w:val="000000"/>
                <w:kern w:val="0"/>
                <w:sz w:val="18"/>
                <w:szCs w:val="18"/>
                <w:lang w:val="en-US" w:eastAsia="zh-CN" w:bidi="ar-SA"/>
              </w:rPr>
            </w:pPr>
          </w:p>
        </w:tc>
      </w:tr>
      <w:tr w14:paraId="4C2F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074" w:type="dxa"/>
            <w:vMerge w:val="continue"/>
            <w:noWrap w:val="0"/>
            <w:tcMar>
              <w:top w:w="12" w:type="dxa"/>
              <w:left w:w="12" w:type="dxa"/>
              <w:right w:w="12" w:type="dxa"/>
            </w:tcMar>
            <w:vAlign w:val="center"/>
          </w:tcPr>
          <w:p w14:paraId="3472BF04">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11C10C26">
            <w:pPr>
              <w:widowControl w:val="0"/>
              <w:adjustRightInd w:val="0"/>
              <w:snapToGrid w:val="0"/>
              <w:jc w:val="center"/>
              <w:rPr>
                <w:rFonts w:eastAsia="仿宋_GB2312"/>
                <w:color w:val="000000"/>
                <w:kern w:val="0"/>
                <w:sz w:val="21"/>
                <w:szCs w:val="21"/>
                <w:lang w:val="en-US" w:eastAsia="zh-CN" w:bidi="ar-SA"/>
              </w:rPr>
            </w:pPr>
          </w:p>
        </w:tc>
        <w:tc>
          <w:tcPr>
            <w:tcW w:w="771" w:type="dxa"/>
            <w:gridSpan w:val="2"/>
            <w:noWrap w:val="0"/>
            <w:tcMar>
              <w:top w:w="12" w:type="dxa"/>
              <w:left w:w="12" w:type="dxa"/>
              <w:right w:w="12" w:type="dxa"/>
            </w:tcMar>
            <w:vAlign w:val="center"/>
          </w:tcPr>
          <w:p w14:paraId="7B2716E8">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20生活污水综合利用</w:t>
            </w:r>
          </w:p>
        </w:tc>
        <w:tc>
          <w:tcPr>
            <w:tcW w:w="694" w:type="dxa"/>
            <w:noWrap w:val="0"/>
            <w:tcMar>
              <w:top w:w="12" w:type="dxa"/>
              <w:left w:w="12" w:type="dxa"/>
              <w:right w:w="12" w:type="dxa"/>
            </w:tcMar>
            <w:vAlign w:val="center"/>
          </w:tcPr>
          <w:p w14:paraId="6BDF0020">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619BE2A0">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①配备生活污水处理系统</w:t>
            </w:r>
            <w:r>
              <w:rPr>
                <w:rFonts w:hint="eastAsia" w:eastAsia="仿宋_GB2312"/>
                <w:color w:val="000000"/>
                <w:kern w:val="0"/>
                <w:sz w:val="21"/>
                <w:szCs w:val="21"/>
                <w:lang w:val="en-US" w:eastAsia="zh-CN" w:bidi="ar"/>
              </w:rPr>
              <w:t>，并正常运行的</w:t>
            </w:r>
            <w:r>
              <w:rPr>
                <w:rFonts w:eastAsia="仿宋_GB2312"/>
                <w:color w:val="000000"/>
                <w:kern w:val="0"/>
                <w:sz w:val="21"/>
                <w:szCs w:val="21"/>
                <w:lang w:val="en-US" w:eastAsia="zh-CN" w:bidi="ar"/>
              </w:rPr>
              <w:t>得1分；生活污水处置达标后，用于工业场地浇灌绿化</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洒水降尘或其他综合利用</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得1分。</w:t>
            </w:r>
          </w:p>
          <w:p w14:paraId="7BFDDF32">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②</w:t>
            </w:r>
            <w:r>
              <w:rPr>
                <w:rFonts w:hint="eastAsia" w:eastAsia="仿宋_GB2312"/>
                <w:color w:val="000000"/>
                <w:kern w:val="0"/>
                <w:sz w:val="21"/>
                <w:szCs w:val="21"/>
                <w:lang w:val="en-US" w:eastAsia="zh-CN" w:bidi="ar"/>
              </w:rPr>
              <w:t>企业生活污水直接连入城镇污水处理管网，得2分。</w:t>
            </w:r>
          </w:p>
        </w:tc>
        <w:tc>
          <w:tcPr>
            <w:tcW w:w="866" w:type="dxa"/>
            <w:noWrap w:val="0"/>
            <w:tcMar>
              <w:top w:w="12" w:type="dxa"/>
              <w:left w:w="12" w:type="dxa"/>
              <w:right w:w="12" w:type="dxa"/>
            </w:tcMar>
            <w:vAlign w:val="center"/>
          </w:tcPr>
          <w:p w14:paraId="022C2748">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查现场</w:t>
            </w:r>
          </w:p>
        </w:tc>
        <w:tc>
          <w:tcPr>
            <w:tcW w:w="2640" w:type="dxa"/>
            <w:noWrap w:val="0"/>
            <w:tcMar>
              <w:top w:w="12" w:type="dxa"/>
              <w:left w:w="12" w:type="dxa"/>
              <w:right w:w="12" w:type="dxa"/>
            </w:tcMar>
            <w:vAlign w:val="center"/>
          </w:tcPr>
          <w:p w14:paraId="533B16CD">
            <w:pPr>
              <w:widowControl w:val="0"/>
              <w:adjustRightInd w:val="0"/>
              <w:snapToGrid w:val="0"/>
              <w:jc w:val="left"/>
              <w:rPr>
                <w:rFonts w:hint="eastAsia" w:eastAsia="仿宋_GB2312"/>
                <w:color w:val="000000"/>
                <w:kern w:val="0"/>
                <w:sz w:val="21"/>
                <w:szCs w:val="21"/>
                <w:lang w:val="en-US" w:eastAsia="zh-CN" w:bidi="ar-SA"/>
              </w:rPr>
            </w:pPr>
            <w:r>
              <w:rPr>
                <w:rFonts w:eastAsia="仿宋_GB2312"/>
                <w:color w:val="000000"/>
                <w:kern w:val="0"/>
                <w:sz w:val="21"/>
                <w:szCs w:val="21"/>
                <w:lang w:val="en-US" w:eastAsia="zh-CN" w:bidi="ar"/>
              </w:rPr>
              <w:t>生产报表（调度报表）或其他证明材料</w:t>
            </w:r>
            <w:r>
              <w:rPr>
                <w:rFonts w:hint="eastAsia" w:eastAsia="仿宋_GB2312"/>
                <w:color w:val="000000"/>
                <w:kern w:val="2"/>
                <w:sz w:val="21"/>
                <w:szCs w:val="21"/>
                <w:lang w:val="en-US" w:eastAsia="zh-CN" w:bidi="ar-SA"/>
              </w:rPr>
              <w:t>，符合环评批复相关要求</w:t>
            </w:r>
          </w:p>
        </w:tc>
        <w:tc>
          <w:tcPr>
            <w:tcW w:w="915" w:type="dxa"/>
            <w:noWrap w:val="0"/>
            <w:tcMar>
              <w:top w:w="12" w:type="dxa"/>
              <w:left w:w="12" w:type="dxa"/>
              <w:right w:w="12" w:type="dxa"/>
            </w:tcMar>
            <w:vAlign w:val="center"/>
          </w:tcPr>
          <w:p w14:paraId="5D8F8B8B">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441941D7">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457F1FF0">
            <w:pPr>
              <w:widowControl w:val="0"/>
              <w:adjustRightInd w:val="0"/>
              <w:snapToGrid w:val="0"/>
              <w:jc w:val="center"/>
              <w:rPr>
                <w:rFonts w:eastAsia="仿宋_GB2312"/>
                <w:color w:val="000000"/>
                <w:kern w:val="0"/>
                <w:sz w:val="18"/>
                <w:szCs w:val="18"/>
                <w:lang w:val="en-US" w:eastAsia="zh-CN" w:bidi="ar-SA"/>
              </w:rPr>
            </w:pPr>
          </w:p>
        </w:tc>
      </w:tr>
      <w:tr w14:paraId="7506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74" w:type="dxa"/>
            <w:vMerge w:val="continue"/>
            <w:noWrap w:val="0"/>
            <w:tcMar>
              <w:top w:w="12" w:type="dxa"/>
              <w:left w:w="12" w:type="dxa"/>
              <w:right w:w="12" w:type="dxa"/>
            </w:tcMar>
            <w:vAlign w:val="center"/>
          </w:tcPr>
          <w:p w14:paraId="12225BCE">
            <w:pPr>
              <w:widowControl w:val="0"/>
              <w:adjustRightInd w:val="0"/>
              <w:snapToGrid w:val="0"/>
              <w:jc w:val="center"/>
              <w:rPr>
                <w:rFonts w:eastAsia="仿宋_GB2312"/>
                <w:color w:val="000000"/>
                <w:kern w:val="0"/>
                <w:sz w:val="21"/>
                <w:szCs w:val="21"/>
                <w:lang w:val="en-US" w:eastAsia="zh-CN" w:bidi="ar-SA"/>
              </w:rPr>
            </w:pPr>
          </w:p>
        </w:tc>
        <w:tc>
          <w:tcPr>
            <w:tcW w:w="13998" w:type="dxa"/>
            <w:gridSpan w:val="10"/>
            <w:noWrap w:val="0"/>
            <w:tcMar>
              <w:top w:w="12" w:type="dxa"/>
              <w:left w:w="12" w:type="dxa"/>
              <w:right w:w="12" w:type="dxa"/>
            </w:tcMar>
            <w:vAlign w:val="center"/>
          </w:tcPr>
          <w:p w14:paraId="1333B5A9">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（2）砂石、水泥灰岩、建筑石材等行业</w:t>
            </w:r>
          </w:p>
        </w:tc>
      </w:tr>
      <w:tr w14:paraId="79CC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5" w:hRule="atLeast"/>
          <w:jc w:val="center"/>
        </w:trPr>
        <w:tc>
          <w:tcPr>
            <w:tcW w:w="1074" w:type="dxa"/>
            <w:vMerge w:val="continue"/>
            <w:noWrap w:val="0"/>
            <w:tcMar>
              <w:top w:w="12" w:type="dxa"/>
              <w:left w:w="12" w:type="dxa"/>
              <w:right w:w="12" w:type="dxa"/>
            </w:tcMar>
            <w:vAlign w:val="center"/>
          </w:tcPr>
          <w:p w14:paraId="2A02EA58">
            <w:pPr>
              <w:widowControl w:val="0"/>
              <w:adjustRightInd w:val="0"/>
              <w:snapToGrid w:val="0"/>
              <w:jc w:val="center"/>
              <w:rPr>
                <w:rFonts w:eastAsia="仿宋_GB2312"/>
                <w:color w:val="000000"/>
                <w:kern w:val="0"/>
                <w:sz w:val="21"/>
                <w:szCs w:val="21"/>
                <w:lang w:val="en-US" w:eastAsia="zh-CN" w:bidi="ar-SA"/>
              </w:rPr>
            </w:pPr>
          </w:p>
        </w:tc>
        <w:tc>
          <w:tcPr>
            <w:tcW w:w="1050" w:type="dxa"/>
            <w:noWrap w:val="0"/>
            <w:tcMar>
              <w:top w:w="12" w:type="dxa"/>
              <w:left w:w="12" w:type="dxa"/>
              <w:right w:w="12" w:type="dxa"/>
            </w:tcMar>
            <w:vAlign w:val="center"/>
          </w:tcPr>
          <w:p w14:paraId="77727AFB">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1综合利用（5分）</w:t>
            </w:r>
          </w:p>
        </w:tc>
        <w:tc>
          <w:tcPr>
            <w:tcW w:w="771" w:type="dxa"/>
            <w:gridSpan w:val="2"/>
            <w:noWrap w:val="0"/>
            <w:tcMar>
              <w:top w:w="12" w:type="dxa"/>
              <w:left w:w="12" w:type="dxa"/>
              <w:right w:w="12" w:type="dxa"/>
            </w:tcMar>
            <w:vAlign w:val="center"/>
          </w:tcPr>
          <w:p w14:paraId="77A45D8C">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21开采加工等相关产物综合利用</w:t>
            </w:r>
          </w:p>
        </w:tc>
        <w:tc>
          <w:tcPr>
            <w:tcW w:w="694" w:type="dxa"/>
            <w:noWrap w:val="0"/>
            <w:tcMar>
              <w:top w:w="12" w:type="dxa"/>
              <w:left w:w="12" w:type="dxa"/>
              <w:right w:w="12" w:type="dxa"/>
            </w:tcMar>
            <w:vAlign w:val="center"/>
          </w:tcPr>
          <w:p w14:paraId="5DFDD2E6">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5</w:t>
            </w:r>
          </w:p>
        </w:tc>
        <w:tc>
          <w:tcPr>
            <w:tcW w:w="5646" w:type="dxa"/>
            <w:noWrap w:val="0"/>
            <w:tcMar>
              <w:top w:w="12" w:type="dxa"/>
              <w:left w:w="12" w:type="dxa"/>
              <w:right w:w="12" w:type="dxa"/>
            </w:tcMar>
            <w:vAlign w:val="center"/>
          </w:tcPr>
          <w:p w14:paraId="6CD7B885">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★适用于砂石、建筑石材等行业：</w:t>
            </w:r>
          </w:p>
          <w:p w14:paraId="4C19ECB5">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充分利用石粉、泥粉等矿山开采或加工产物，提高资源化利用水平，如环境治理、土地复垦和土壤改良等。符合要求得5分。</w:t>
            </w:r>
          </w:p>
          <w:p w14:paraId="4BCFCC87">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★适用于水泥灰岩行业：</w:t>
            </w:r>
          </w:p>
          <w:p w14:paraId="35EA4155">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结合水泥生产线多种原料配料的特点，实现开采或加工</w:t>
            </w:r>
            <w:r>
              <w:rPr>
                <w:rFonts w:hint="eastAsia" w:eastAsia="仿宋_GB2312"/>
                <w:color w:val="000000"/>
                <w:kern w:val="0"/>
                <w:sz w:val="21"/>
                <w:szCs w:val="21"/>
                <w:lang w:val="en-US" w:eastAsia="zh-CN" w:bidi="ar"/>
              </w:rPr>
              <w:t>生</w:t>
            </w:r>
            <w:r>
              <w:rPr>
                <w:rFonts w:eastAsia="仿宋_GB2312"/>
                <w:color w:val="000000"/>
                <w:kern w:val="0"/>
                <w:sz w:val="21"/>
                <w:szCs w:val="21"/>
                <w:lang w:val="en-US" w:eastAsia="zh-CN" w:bidi="ar"/>
              </w:rPr>
              <w:t>产各类产物资源化利用，实现资源分级利用、优质优用，实现高品位矿石与低品位矿石、夹层、顶底板围岩等综合利用。符合要求得5分。</w:t>
            </w:r>
          </w:p>
        </w:tc>
        <w:tc>
          <w:tcPr>
            <w:tcW w:w="866" w:type="dxa"/>
            <w:noWrap w:val="0"/>
            <w:tcMar>
              <w:top w:w="12" w:type="dxa"/>
              <w:left w:w="12" w:type="dxa"/>
              <w:right w:w="12" w:type="dxa"/>
            </w:tcMar>
            <w:vAlign w:val="center"/>
          </w:tcPr>
          <w:p w14:paraId="66C00A95">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4C2AD05F">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生产报表（调度报表）或其他证明材料，符合环评批复相关要求</w:t>
            </w:r>
          </w:p>
          <w:p w14:paraId="0D523408">
            <w:pPr>
              <w:widowControl/>
              <w:adjustRightInd w:val="0"/>
              <w:snapToGrid w:val="0"/>
              <w:jc w:val="left"/>
              <w:textAlignment w:val="center"/>
              <w:rPr>
                <w:rFonts w:eastAsia="仿宋_GB2312"/>
                <w:color w:val="000000"/>
                <w:kern w:val="0"/>
                <w:sz w:val="21"/>
                <w:szCs w:val="21"/>
                <w:lang w:val="en-US" w:eastAsia="zh-CN" w:bidi="ar-SA"/>
              </w:rPr>
            </w:pPr>
          </w:p>
        </w:tc>
        <w:tc>
          <w:tcPr>
            <w:tcW w:w="915" w:type="dxa"/>
            <w:noWrap w:val="0"/>
            <w:tcMar>
              <w:top w:w="12" w:type="dxa"/>
              <w:left w:w="12" w:type="dxa"/>
              <w:right w:w="12" w:type="dxa"/>
            </w:tcMar>
            <w:vAlign w:val="center"/>
          </w:tcPr>
          <w:p w14:paraId="05673CCA">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3E29D601">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32C45256">
            <w:pPr>
              <w:widowControl w:val="0"/>
              <w:adjustRightInd w:val="0"/>
              <w:snapToGrid w:val="0"/>
              <w:jc w:val="center"/>
              <w:rPr>
                <w:rFonts w:eastAsia="仿宋_GB2312"/>
                <w:color w:val="000000"/>
                <w:kern w:val="0"/>
                <w:sz w:val="18"/>
                <w:szCs w:val="18"/>
                <w:lang w:val="en-US" w:eastAsia="zh-CN" w:bidi="ar-SA"/>
              </w:rPr>
            </w:pPr>
          </w:p>
        </w:tc>
      </w:tr>
      <w:tr w14:paraId="3C36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4" w:type="dxa"/>
            <w:vMerge w:val="continue"/>
            <w:noWrap w:val="0"/>
            <w:tcMar>
              <w:top w:w="12" w:type="dxa"/>
              <w:left w:w="12" w:type="dxa"/>
              <w:right w:w="12" w:type="dxa"/>
            </w:tcMar>
            <w:vAlign w:val="center"/>
          </w:tcPr>
          <w:p w14:paraId="49167471">
            <w:pPr>
              <w:widowControl w:val="0"/>
              <w:adjustRightInd w:val="0"/>
              <w:snapToGrid w:val="0"/>
              <w:jc w:val="center"/>
              <w:rPr>
                <w:rFonts w:eastAsia="仿宋_GB2312"/>
                <w:color w:val="000000"/>
                <w:kern w:val="0"/>
                <w:sz w:val="21"/>
                <w:szCs w:val="21"/>
                <w:lang w:val="en-US" w:eastAsia="zh-CN" w:bidi="ar-SA"/>
              </w:rPr>
            </w:pPr>
          </w:p>
        </w:tc>
        <w:tc>
          <w:tcPr>
            <w:tcW w:w="1050" w:type="dxa"/>
            <w:noWrap w:val="0"/>
            <w:tcMar>
              <w:top w:w="12" w:type="dxa"/>
              <w:left w:w="12" w:type="dxa"/>
              <w:right w:w="12" w:type="dxa"/>
            </w:tcMar>
            <w:vAlign w:val="center"/>
          </w:tcPr>
          <w:p w14:paraId="06FE3CA3">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2固废综合利用（5分）</w:t>
            </w:r>
          </w:p>
        </w:tc>
        <w:tc>
          <w:tcPr>
            <w:tcW w:w="771" w:type="dxa"/>
            <w:gridSpan w:val="2"/>
            <w:noWrap w:val="0"/>
            <w:tcMar>
              <w:top w:w="12" w:type="dxa"/>
              <w:left w:w="12" w:type="dxa"/>
              <w:right w:w="12" w:type="dxa"/>
            </w:tcMar>
            <w:vAlign w:val="center"/>
          </w:tcPr>
          <w:p w14:paraId="002CD102">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22土质剥离物的综合利用</w:t>
            </w:r>
          </w:p>
        </w:tc>
        <w:tc>
          <w:tcPr>
            <w:tcW w:w="694" w:type="dxa"/>
            <w:noWrap w:val="0"/>
            <w:tcMar>
              <w:top w:w="12" w:type="dxa"/>
              <w:left w:w="12" w:type="dxa"/>
              <w:right w:w="12" w:type="dxa"/>
            </w:tcMar>
            <w:vAlign w:val="center"/>
          </w:tcPr>
          <w:p w14:paraId="07886FB3">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5</w:t>
            </w:r>
          </w:p>
        </w:tc>
        <w:tc>
          <w:tcPr>
            <w:tcW w:w="5646" w:type="dxa"/>
            <w:noWrap w:val="0"/>
            <w:tcMar>
              <w:top w:w="12" w:type="dxa"/>
              <w:left w:w="12" w:type="dxa"/>
              <w:right w:w="12" w:type="dxa"/>
            </w:tcMar>
            <w:vAlign w:val="center"/>
          </w:tcPr>
          <w:p w14:paraId="27F00677">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★适用于砂石、建筑石材等行业：</w:t>
            </w:r>
          </w:p>
          <w:p w14:paraId="197C1E77">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排土场堆放的剥离表土或筛分后的碴土、废石等，用于环境治理、土地复垦、生态修复等。符合要求得5分。</w:t>
            </w:r>
          </w:p>
          <w:p w14:paraId="567EAF26">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★适用于水泥灰岩行业：</w:t>
            </w:r>
          </w:p>
          <w:p w14:paraId="71BDE1FD">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将符合要求的土质剥离物用作硅铝质原料或用于土地复垦，其他剥离物用作水泥配料、砂石骨料或其他工程用料。符合要求得5分。</w:t>
            </w:r>
          </w:p>
        </w:tc>
        <w:tc>
          <w:tcPr>
            <w:tcW w:w="866" w:type="dxa"/>
            <w:noWrap w:val="0"/>
            <w:tcMar>
              <w:top w:w="12" w:type="dxa"/>
              <w:left w:w="12" w:type="dxa"/>
              <w:right w:w="12" w:type="dxa"/>
            </w:tcMar>
            <w:vAlign w:val="center"/>
          </w:tcPr>
          <w:p w14:paraId="4AEB53ED">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1040B681">
            <w:pPr>
              <w:widowControl/>
              <w:adjustRightInd w:val="0"/>
              <w:snapToGrid w:val="0"/>
              <w:jc w:val="left"/>
              <w:textAlignment w:val="center"/>
              <w:rPr>
                <w:rFonts w:hint="eastAsia" w:eastAsia="仿宋_GB2312"/>
                <w:color w:val="000000"/>
                <w:kern w:val="0"/>
                <w:sz w:val="21"/>
                <w:szCs w:val="21"/>
                <w:lang w:val="en-US" w:eastAsia="zh-CN" w:bidi="ar-SA"/>
              </w:rPr>
            </w:pPr>
            <w:r>
              <w:rPr>
                <w:rFonts w:eastAsia="仿宋_GB2312"/>
                <w:color w:val="000000"/>
                <w:kern w:val="0"/>
                <w:sz w:val="21"/>
                <w:szCs w:val="21"/>
                <w:lang w:val="en-US" w:eastAsia="zh-CN" w:bidi="ar"/>
              </w:rPr>
              <w:t>生产报表（调度报表）或其他证明材料</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符合环评批复相关要求</w:t>
            </w:r>
          </w:p>
        </w:tc>
        <w:tc>
          <w:tcPr>
            <w:tcW w:w="915" w:type="dxa"/>
            <w:noWrap w:val="0"/>
            <w:tcMar>
              <w:top w:w="12" w:type="dxa"/>
              <w:left w:w="12" w:type="dxa"/>
              <w:right w:w="12" w:type="dxa"/>
            </w:tcMar>
            <w:vAlign w:val="center"/>
          </w:tcPr>
          <w:p w14:paraId="79F5AB0E">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1225A5A8">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2E54903C">
            <w:pPr>
              <w:widowControl w:val="0"/>
              <w:adjustRightInd w:val="0"/>
              <w:snapToGrid w:val="0"/>
              <w:jc w:val="center"/>
              <w:rPr>
                <w:rFonts w:eastAsia="仿宋_GB2312"/>
                <w:color w:val="000000"/>
                <w:kern w:val="0"/>
                <w:sz w:val="18"/>
                <w:szCs w:val="18"/>
                <w:lang w:val="en-US" w:eastAsia="zh-CN" w:bidi="ar-SA"/>
              </w:rPr>
            </w:pPr>
          </w:p>
        </w:tc>
      </w:tr>
      <w:tr w14:paraId="70DE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1074" w:type="dxa"/>
            <w:vMerge w:val="continue"/>
            <w:noWrap w:val="0"/>
            <w:tcMar>
              <w:top w:w="12" w:type="dxa"/>
              <w:left w:w="12" w:type="dxa"/>
              <w:right w:w="12" w:type="dxa"/>
            </w:tcMar>
            <w:vAlign w:val="center"/>
          </w:tcPr>
          <w:p w14:paraId="4A0F3D21">
            <w:pPr>
              <w:widowControl w:val="0"/>
              <w:adjustRightInd w:val="0"/>
              <w:snapToGrid w:val="0"/>
              <w:jc w:val="center"/>
              <w:rPr>
                <w:rFonts w:eastAsia="仿宋_GB2312"/>
                <w:color w:val="000000"/>
                <w:kern w:val="0"/>
                <w:sz w:val="21"/>
                <w:szCs w:val="21"/>
                <w:lang w:val="en-US" w:eastAsia="zh-CN" w:bidi="ar-SA"/>
              </w:rPr>
            </w:pPr>
          </w:p>
        </w:tc>
        <w:tc>
          <w:tcPr>
            <w:tcW w:w="1050" w:type="dxa"/>
            <w:vMerge w:val="restart"/>
            <w:noWrap w:val="0"/>
            <w:tcMar>
              <w:top w:w="12" w:type="dxa"/>
              <w:left w:w="12" w:type="dxa"/>
              <w:right w:w="12" w:type="dxa"/>
            </w:tcMar>
            <w:vAlign w:val="center"/>
          </w:tcPr>
          <w:p w14:paraId="3E659B30">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3废水综合利用（8分）</w:t>
            </w:r>
          </w:p>
        </w:tc>
        <w:tc>
          <w:tcPr>
            <w:tcW w:w="771" w:type="dxa"/>
            <w:gridSpan w:val="2"/>
            <w:noWrap w:val="0"/>
            <w:tcMar>
              <w:top w:w="12" w:type="dxa"/>
              <w:left w:w="12" w:type="dxa"/>
              <w:right w:w="12" w:type="dxa"/>
            </w:tcMar>
            <w:vAlign w:val="center"/>
          </w:tcPr>
          <w:p w14:paraId="38096F2C">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23生产废水处置与利用</w:t>
            </w:r>
          </w:p>
        </w:tc>
        <w:tc>
          <w:tcPr>
            <w:tcW w:w="694" w:type="dxa"/>
            <w:noWrap w:val="0"/>
            <w:tcMar>
              <w:top w:w="12" w:type="dxa"/>
              <w:left w:w="12" w:type="dxa"/>
              <w:right w:w="12" w:type="dxa"/>
            </w:tcMar>
            <w:vAlign w:val="center"/>
          </w:tcPr>
          <w:p w14:paraId="75480E2B">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4</w:t>
            </w:r>
          </w:p>
        </w:tc>
        <w:tc>
          <w:tcPr>
            <w:tcW w:w="5646" w:type="dxa"/>
            <w:noWrap w:val="0"/>
            <w:tcMar>
              <w:top w:w="12" w:type="dxa"/>
              <w:left w:w="12" w:type="dxa"/>
              <w:right w:w="12" w:type="dxa"/>
            </w:tcMar>
            <w:vAlign w:val="center"/>
          </w:tcPr>
          <w:p w14:paraId="6FD60615">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①配备完善的生产废水处理系统</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得2分；</w:t>
            </w:r>
          </w:p>
          <w:p w14:paraId="5FF796A1">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②废水经固液分离处理后，清水得到有效循环利用</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得2分。砂石清水循环利用率达到100%，不达标不得分。</w:t>
            </w:r>
          </w:p>
        </w:tc>
        <w:tc>
          <w:tcPr>
            <w:tcW w:w="866" w:type="dxa"/>
            <w:noWrap w:val="0"/>
            <w:tcMar>
              <w:top w:w="12" w:type="dxa"/>
              <w:left w:w="12" w:type="dxa"/>
              <w:right w:w="12" w:type="dxa"/>
            </w:tcMar>
            <w:vAlign w:val="center"/>
          </w:tcPr>
          <w:p w14:paraId="6E11267D">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4C5F2F82">
            <w:pPr>
              <w:widowControl/>
              <w:adjustRightInd w:val="0"/>
              <w:snapToGrid w:val="0"/>
              <w:jc w:val="left"/>
              <w:textAlignment w:val="center"/>
              <w:rPr>
                <w:rFonts w:hint="eastAsia" w:eastAsia="仿宋_GB2312"/>
                <w:color w:val="000000"/>
                <w:kern w:val="0"/>
                <w:sz w:val="21"/>
                <w:szCs w:val="21"/>
                <w:lang w:val="en-US" w:eastAsia="zh-CN" w:bidi="ar-SA"/>
              </w:rPr>
            </w:pPr>
            <w:r>
              <w:rPr>
                <w:rFonts w:eastAsia="仿宋_GB2312"/>
                <w:color w:val="000000"/>
                <w:kern w:val="0"/>
                <w:sz w:val="21"/>
                <w:szCs w:val="21"/>
                <w:lang w:val="en-US" w:eastAsia="zh-CN" w:bidi="ar"/>
              </w:rPr>
              <w:t>生产报表（调度报表）或其他证明材料，砂石行业绿色矿山建设规范</w:t>
            </w:r>
            <w:r>
              <w:rPr>
                <w:rFonts w:hint="eastAsia" w:eastAsia="仿宋_GB2312"/>
                <w:color w:val="000000"/>
                <w:kern w:val="0"/>
                <w:sz w:val="21"/>
                <w:szCs w:val="21"/>
                <w:lang w:val="en-US" w:eastAsia="zh-CN" w:bidi="ar"/>
              </w:rPr>
              <w:t>，符合环评批复相关要求</w:t>
            </w:r>
          </w:p>
        </w:tc>
        <w:tc>
          <w:tcPr>
            <w:tcW w:w="915" w:type="dxa"/>
            <w:noWrap w:val="0"/>
            <w:tcMar>
              <w:top w:w="12" w:type="dxa"/>
              <w:left w:w="12" w:type="dxa"/>
              <w:right w:w="12" w:type="dxa"/>
            </w:tcMar>
            <w:vAlign w:val="center"/>
          </w:tcPr>
          <w:p w14:paraId="1C91CFD0">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4C0B962C">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713274E5">
            <w:pPr>
              <w:widowControl w:val="0"/>
              <w:adjustRightInd w:val="0"/>
              <w:snapToGrid w:val="0"/>
              <w:jc w:val="center"/>
              <w:rPr>
                <w:rFonts w:eastAsia="仿宋_GB2312"/>
                <w:color w:val="000000"/>
                <w:kern w:val="0"/>
                <w:sz w:val="18"/>
                <w:szCs w:val="18"/>
                <w:lang w:val="en-US" w:eastAsia="zh-CN" w:bidi="ar-SA"/>
              </w:rPr>
            </w:pPr>
          </w:p>
        </w:tc>
      </w:tr>
      <w:tr w14:paraId="07F0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jc w:val="center"/>
        </w:trPr>
        <w:tc>
          <w:tcPr>
            <w:tcW w:w="1074" w:type="dxa"/>
            <w:vMerge w:val="continue"/>
            <w:noWrap w:val="0"/>
            <w:tcMar>
              <w:top w:w="12" w:type="dxa"/>
              <w:left w:w="12" w:type="dxa"/>
              <w:right w:w="12" w:type="dxa"/>
            </w:tcMar>
            <w:vAlign w:val="center"/>
          </w:tcPr>
          <w:p w14:paraId="4BD464CC">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22A1E4F4">
            <w:pPr>
              <w:widowControl w:val="0"/>
              <w:adjustRightInd w:val="0"/>
              <w:snapToGrid w:val="0"/>
              <w:jc w:val="center"/>
              <w:rPr>
                <w:rFonts w:eastAsia="仿宋_GB2312"/>
                <w:color w:val="000000"/>
                <w:kern w:val="0"/>
                <w:sz w:val="21"/>
                <w:szCs w:val="21"/>
                <w:lang w:val="en-US" w:eastAsia="zh-CN" w:bidi="ar-SA"/>
              </w:rPr>
            </w:pPr>
          </w:p>
        </w:tc>
        <w:tc>
          <w:tcPr>
            <w:tcW w:w="771" w:type="dxa"/>
            <w:gridSpan w:val="2"/>
            <w:noWrap w:val="0"/>
            <w:tcMar>
              <w:top w:w="12" w:type="dxa"/>
              <w:left w:w="12" w:type="dxa"/>
              <w:right w:w="12" w:type="dxa"/>
            </w:tcMar>
            <w:vAlign w:val="center"/>
          </w:tcPr>
          <w:p w14:paraId="2FFC0658">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24生活污水综合利用</w:t>
            </w:r>
          </w:p>
        </w:tc>
        <w:tc>
          <w:tcPr>
            <w:tcW w:w="694" w:type="dxa"/>
            <w:noWrap w:val="0"/>
            <w:tcMar>
              <w:top w:w="12" w:type="dxa"/>
              <w:left w:w="12" w:type="dxa"/>
              <w:right w:w="12" w:type="dxa"/>
            </w:tcMar>
            <w:vAlign w:val="center"/>
          </w:tcPr>
          <w:p w14:paraId="087FEBA6">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4</w:t>
            </w:r>
          </w:p>
        </w:tc>
        <w:tc>
          <w:tcPr>
            <w:tcW w:w="5646" w:type="dxa"/>
            <w:noWrap w:val="0"/>
            <w:tcMar>
              <w:top w:w="12" w:type="dxa"/>
              <w:left w:w="12" w:type="dxa"/>
              <w:right w:w="12" w:type="dxa"/>
            </w:tcMar>
            <w:vAlign w:val="center"/>
          </w:tcPr>
          <w:p w14:paraId="4687E02A">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①配备生活污水处理系统</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得2分；生活污水处置达标后，用于工业场地浇灌绿化，洒水降尘或其他综合利用</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得2分。</w:t>
            </w:r>
          </w:p>
          <w:p w14:paraId="401AA5CB">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②</w:t>
            </w:r>
            <w:r>
              <w:rPr>
                <w:rFonts w:hint="eastAsia" w:eastAsia="仿宋_GB2312"/>
                <w:color w:val="000000"/>
                <w:kern w:val="0"/>
                <w:sz w:val="21"/>
                <w:szCs w:val="21"/>
                <w:lang w:val="en-US" w:eastAsia="zh-CN" w:bidi="ar"/>
              </w:rPr>
              <w:t>企业生活污水直接连入城镇污水处理管网，得4分。</w:t>
            </w:r>
          </w:p>
        </w:tc>
        <w:tc>
          <w:tcPr>
            <w:tcW w:w="866" w:type="dxa"/>
            <w:noWrap w:val="0"/>
            <w:tcMar>
              <w:top w:w="12" w:type="dxa"/>
              <w:left w:w="12" w:type="dxa"/>
              <w:right w:w="12" w:type="dxa"/>
            </w:tcMar>
            <w:vAlign w:val="center"/>
          </w:tcPr>
          <w:p w14:paraId="7994F1F9">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3245FA74">
            <w:pPr>
              <w:widowControl w:val="0"/>
              <w:adjustRightInd w:val="0"/>
              <w:snapToGrid w:val="0"/>
              <w:jc w:val="left"/>
              <w:rPr>
                <w:rFonts w:hint="eastAsia" w:eastAsia="仿宋_GB2312"/>
                <w:color w:val="000000"/>
                <w:kern w:val="0"/>
                <w:sz w:val="21"/>
                <w:szCs w:val="21"/>
                <w:lang w:val="en-US" w:eastAsia="zh-CN" w:bidi="ar-SA"/>
              </w:rPr>
            </w:pPr>
            <w:r>
              <w:rPr>
                <w:rFonts w:eastAsia="仿宋_GB2312"/>
                <w:color w:val="000000"/>
                <w:kern w:val="0"/>
                <w:sz w:val="21"/>
                <w:szCs w:val="21"/>
                <w:lang w:val="en-US" w:eastAsia="zh-CN" w:bidi="ar"/>
              </w:rPr>
              <w:t>生产报表（调度报表）或其他证明材料</w:t>
            </w:r>
            <w:r>
              <w:rPr>
                <w:rFonts w:hint="eastAsia" w:eastAsia="仿宋_GB2312"/>
                <w:color w:val="000000"/>
                <w:kern w:val="0"/>
                <w:sz w:val="21"/>
                <w:szCs w:val="21"/>
                <w:lang w:val="en-US" w:eastAsia="zh-CN" w:bidi="ar"/>
              </w:rPr>
              <w:t>，符合环评批复相关要求</w:t>
            </w:r>
          </w:p>
        </w:tc>
        <w:tc>
          <w:tcPr>
            <w:tcW w:w="915" w:type="dxa"/>
            <w:noWrap w:val="0"/>
            <w:tcMar>
              <w:top w:w="12" w:type="dxa"/>
              <w:left w:w="12" w:type="dxa"/>
              <w:right w:w="12" w:type="dxa"/>
            </w:tcMar>
            <w:vAlign w:val="center"/>
          </w:tcPr>
          <w:p w14:paraId="456F1368">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15C28BE6">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05FC336C">
            <w:pPr>
              <w:widowControl w:val="0"/>
              <w:adjustRightInd w:val="0"/>
              <w:snapToGrid w:val="0"/>
              <w:jc w:val="center"/>
              <w:rPr>
                <w:rFonts w:eastAsia="仿宋_GB2312"/>
                <w:color w:val="000000"/>
                <w:kern w:val="0"/>
                <w:sz w:val="18"/>
                <w:szCs w:val="18"/>
                <w:lang w:val="en-US" w:eastAsia="zh-CN" w:bidi="ar-SA"/>
              </w:rPr>
            </w:pPr>
          </w:p>
        </w:tc>
      </w:tr>
      <w:tr w14:paraId="277C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074" w:type="dxa"/>
            <w:vMerge w:val="restart"/>
            <w:noWrap w:val="0"/>
            <w:tcMar>
              <w:top w:w="12" w:type="dxa"/>
              <w:left w:w="12" w:type="dxa"/>
              <w:right w:w="12" w:type="dxa"/>
            </w:tcMar>
            <w:vAlign w:val="center"/>
          </w:tcPr>
          <w:p w14:paraId="3F3070E9">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四、绿色低碳（</w:t>
            </w:r>
            <w:r>
              <w:rPr>
                <w:rFonts w:hint="eastAsia" w:eastAsia="仿宋_GB2312"/>
                <w:color w:val="000000"/>
                <w:kern w:val="0"/>
                <w:sz w:val="21"/>
                <w:szCs w:val="21"/>
                <w:lang w:val="en-US" w:eastAsia="zh-CN" w:bidi="ar-SA"/>
              </w:rPr>
              <w:t>13</w:t>
            </w:r>
            <w:r>
              <w:rPr>
                <w:rFonts w:eastAsia="仿宋_GB2312"/>
                <w:color w:val="000000"/>
                <w:kern w:val="0"/>
                <w:sz w:val="21"/>
                <w:szCs w:val="21"/>
                <w:lang w:val="en-US" w:eastAsia="zh-CN" w:bidi="ar-SA"/>
              </w:rPr>
              <w:t>项，</w:t>
            </w:r>
            <w:r>
              <w:rPr>
                <w:rFonts w:hint="eastAsia" w:eastAsia="仿宋_GB2312"/>
                <w:color w:val="000000"/>
                <w:kern w:val="0"/>
                <w:sz w:val="21"/>
                <w:szCs w:val="21"/>
                <w:lang w:val="en-US" w:eastAsia="zh-CN" w:bidi="ar-SA"/>
              </w:rPr>
              <w:t>20</w:t>
            </w:r>
            <w:r>
              <w:rPr>
                <w:rFonts w:eastAsia="仿宋_GB2312"/>
                <w:color w:val="000000"/>
                <w:kern w:val="0"/>
                <w:sz w:val="21"/>
                <w:szCs w:val="21"/>
                <w:lang w:val="en-US" w:eastAsia="zh-CN" w:bidi="ar-SA"/>
              </w:rPr>
              <w:t>分）</w:t>
            </w:r>
          </w:p>
        </w:tc>
        <w:tc>
          <w:tcPr>
            <w:tcW w:w="1050" w:type="dxa"/>
            <w:noWrap w:val="0"/>
            <w:tcMar>
              <w:top w:w="12" w:type="dxa"/>
              <w:left w:w="12" w:type="dxa"/>
              <w:right w:w="12" w:type="dxa"/>
            </w:tcMar>
            <w:vAlign w:val="center"/>
          </w:tcPr>
          <w:p w14:paraId="7745238E">
            <w:pPr>
              <w:widowControl w:val="0"/>
              <w:adjustRightInd w:val="0"/>
              <w:snapToGrid w:val="0"/>
              <w:jc w:val="center"/>
              <w:rPr>
                <w:rFonts w:eastAsia="仿宋_GB2312"/>
                <w:color w:val="000000"/>
                <w:kern w:val="0"/>
                <w:sz w:val="21"/>
                <w:szCs w:val="21"/>
                <w:lang w:val="en-US" w:eastAsia="zh-CN" w:bidi="ar"/>
              </w:rPr>
            </w:pPr>
            <w:r>
              <w:rPr>
                <w:rFonts w:hint="eastAsia" w:eastAsia="仿宋_GB2312"/>
                <w:color w:val="000000"/>
                <w:kern w:val="0"/>
                <w:sz w:val="21"/>
                <w:szCs w:val="21"/>
                <w:lang w:val="en-US" w:eastAsia="zh-CN" w:bidi="ar"/>
              </w:rPr>
              <w:t>1节约集约用地（2分）</w:t>
            </w:r>
          </w:p>
        </w:tc>
        <w:tc>
          <w:tcPr>
            <w:tcW w:w="771" w:type="dxa"/>
            <w:gridSpan w:val="2"/>
            <w:noWrap w:val="0"/>
            <w:tcMar>
              <w:top w:w="12" w:type="dxa"/>
              <w:left w:w="12" w:type="dxa"/>
              <w:right w:w="12" w:type="dxa"/>
            </w:tcMar>
            <w:vAlign w:val="center"/>
          </w:tcPr>
          <w:p w14:paraId="2C7EAA80">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25节约集约用地情况</w:t>
            </w:r>
          </w:p>
        </w:tc>
        <w:tc>
          <w:tcPr>
            <w:tcW w:w="694" w:type="dxa"/>
            <w:noWrap w:val="0"/>
            <w:tcMar>
              <w:top w:w="12" w:type="dxa"/>
              <w:left w:w="12" w:type="dxa"/>
              <w:right w:w="12" w:type="dxa"/>
            </w:tcMar>
            <w:vAlign w:val="center"/>
          </w:tcPr>
          <w:p w14:paraId="469FE7E6">
            <w:pPr>
              <w:widowControl/>
              <w:adjustRightInd w:val="0"/>
              <w:snapToGrid w:val="0"/>
              <w:jc w:val="center"/>
              <w:textAlignment w:val="center"/>
              <w:rPr>
                <w:rFonts w:hint="eastAsia"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7F750B7B">
            <w:pPr>
              <w:widowControl/>
              <w:adjustRightInd w:val="0"/>
              <w:snapToGrid w:val="0"/>
              <w:jc w:val="left"/>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
              </w:rPr>
              <w:t>矿山用地在满足建设、运输生产等要求前提下，综合考虑土地资源、资金、环境等经济技术条件，按照节约集约原则，进行优化配置和科学利用，充分利用荒地、劣地，少占耕地。符合要求得2分，不符合得0分。</w:t>
            </w:r>
          </w:p>
        </w:tc>
        <w:tc>
          <w:tcPr>
            <w:tcW w:w="866" w:type="dxa"/>
            <w:noWrap w:val="0"/>
            <w:tcMar>
              <w:top w:w="12" w:type="dxa"/>
              <w:left w:w="12" w:type="dxa"/>
              <w:right w:w="12" w:type="dxa"/>
            </w:tcMar>
            <w:vAlign w:val="center"/>
          </w:tcPr>
          <w:p w14:paraId="73A904A8">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2A0719B5">
            <w:pPr>
              <w:widowControl/>
              <w:adjustRightInd w:val="0"/>
              <w:snapToGrid w:val="0"/>
              <w:jc w:val="left"/>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
              </w:rPr>
              <w:t>《节约集约利用土地规定（2019年修正）》《工业项目用地控制指标》《自然资源部办公厅关于规范开展建设项目节地评价工作的通知》（自然资办发〔2021〕14号）</w:t>
            </w:r>
          </w:p>
        </w:tc>
        <w:tc>
          <w:tcPr>
            <w:tcW w:w="915" w:type="dxa"/>
            <w:noWrap w:val="0"/>
            <w:tcMar>
              <w:top w:w="12" w:type="dxa"/>
              <w:left w:w="12" w:type="dxa"/>
              <w:right w:w="12" w:type="dxa"/>
            </w:tcMar>
            <w:vAlign w:val="center"/>
          </w:tcPr>
          <w:p w14:paraId="7D18972A">
            <w:pPr>
              <w:widowControl w:val="0"/>
              <w:adjustRightInd w:val="0"/>
              <w:snapToGrid w:val="0"/>
              <w:jc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提升性</w:t>
            </w:r>
          </w:p>
        </w:tc>
        <w:tc>
          <w:tcPr>
            <w:tcW w:w="915" w:type="dxa"/>
            <w:noWrap w:val="0"/>
            <w:vAlign w:val="center"/>
          </w:tcPr>
          <w:p w14:paraId="732D1352">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102D9A0F">
            <w:pPr>
              <w:widowControl w:val="0"/>
              <w:adjustRightInd w:val="0"/>
              <w:snapToGrid w:val="0"/>
              <w:jc w:val="center"/>
              <w:rPr>
                <w:rFonts w:eastAsia="仿宋_GB2312"/>
                <w:color w:val="000000"/>
                <w:kern w:val="0"/>
                <w:sz w:val="18"/>
                <w:szCs w:val="18"/>
                <w:lang w:val="en-US" w:eastAsia="zh-CN" w:bidi="ar-SA"/>
              </w:rPr>
            </w:pPr>
          </w:p>
        </w:tc>
      </w:tr>
      <w:tr w14:paraId="41A8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074" w:type="dxa"/>
            <w:vMerge w:val="continue"/>
            <w:noWrap w:val="0"/>
            <w:tcMar>
              <w:top w:w="12" w:type="dxa"/>
              <w:left w:w="12" w:type="dxa"/>
              <w:right w:w="12" w:type="dxa"/>
            </w:tcMar>
            <w:vAlign w:val="center"/>
          </w:tcPr>
          <w:p w14:paraId="0A85456D">
            <w:pPr>
              <w:widowControl/>
              <w:adjustRightInd w:val="0"/>
              <w:snapToGrid w:val="0"/>
              <w:jc w:val="center"/>
              <w:textAlignment w:val="center"/>
              <w:rPr>
                <w:rFonts w:eastAsia="仿宋_GB2312"/>
                <w:color w:val="000000"/>
                <w:kern w:val="0"/>
                <w:sz w:val="21"/>
                <w:szCs w:val="21"/>
                <w:lang w:val="en-US" w:eastAsia="zh-CN" w:bidi="ar-SA"/>
              </w:rPr>
            </w:pPr>
          </w:p>
        </w:tc>
        <w:tc>
          <w:tcPr>
            <w:tcW w:w="1052" w:type="dxa"/>
            <w:gridSpan w:val="2"/>
            <w:vMerge w:val="restart"/>
            <w:noWrap w:val="0"/>
            <w:tcMar>
              <w:top w:w="12" w:type="dxa"/>
              <w:left w:w="12" w:type="dxa"/>
              <w:right w:w="12" w:type="dxa"/>
            </w:tcMar>
            <w:vAlign w:val="center"/>
          </w:tcPr>
          <w:p w14:paraId="4667EB38">
            <w:pPr>
              <w:widowControl w:val="0"/>
              <w:adjustRightInd w:val="0"/>
              <w:snapToGrid w:val="0"/>
              <w:jc w:val="center"/>
              <w:rPr>
                <w:rFonts w:eastAsia="仿宋_GB2312"/>
                <w:color w:val="000000"/>
                <w:kern w:val="0"/>
                <w:sz w:val="21"/>
                <w:szCs w:val="21"/>
                <w:lang w:val="en-US" w:eastAsia="zh-CN" w:bidi="ar"/>
              </w:rPr>
            </w:pPr>
            <w:r>
              <w:rPr>
                <w:rFonts w:hint="eastAsia" w:eastAsia="仿宋_GB2312"/>
                <w:color w:val="000000"/>
                <w:kern w:val="0"/>
                <w:sz w:val="21"/>
                <w:szCs w:val="21"/>
                <w:lang w:val="en-US" w:eastAsia="zh-CN" w:bidi="ar"/>
              </w:rPr>
              <w:t>2</w:t>
            </w:r>
            <w:r>
              <w:rPr>
                <w:rFonts w:eastAsia="仿宋_GB2312"/>
                <w:color w:val="000000"/>
                <w:kern w:val="0"/>
                <w:sz w:val="21"/>
                <w:szCs w:val="21"/>
                <w:lang w:val="en-US" w:eastAsia="zh-CN" w:bidi="ar"/>
              </w:rPr>
              <w:t>节能降耗（</w:t>
            </w:r>
            <w:r>
              <w:rPr>
                <w:rFonts w:hint="eastAsia" w:eastAsia="仿宋_GB2312"/>
                <w:color w:val="000000"/>
                <w:kern w:val="0"/>
                <w:sz w:val="21"/>
                <w:szCs w:val="21"/>
                <w:lang w:val="en-US" w:eastAsia="zh-CN" w:bidi="ar"/>
              </w:rPr>
              <w:t>3</w:t>
            </w:r>
            <w:r>
              <w:rPr>
                <w:rFonts w:eastAsia="仿宋_GB2312"/>
                <w:color w:val="000000"/>
                <w:kern w:val="0"/>
                <w:sz w:val="21"/>
                <w:szCs w:val="21"/>
                <w:lang w:val="en-US" w:eastAsia="zh-CN" w:bidi="ar"/>
              </w:rPr>
              <w:t>分）</w:t>
            </w:r>
          </w:p>
        </w:tc>
        <w:tc>
          <w:tcPr>
            <w:tcW w:w="769" w:type="dxa"/>
            <w:noWrap w:val="0"/>
            <w:tcMar>
              <w:top w:w="12" w:type="dxa"/>
              <w:left w:w="12" w:type="dxa"/>
              <w:right w:w="12" w:type="dxa"/>
            </w:tcMar>
            <w:vAlign w:val="center"/>
          </w:tcPr>
          <w:p w14:paraId="441E2D9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SA"/>
              </w:rPr>
              <w:t>2</w:t>
            </w:r>
            <w:r>
              <w:rPr>
                <w:rFonts w:hint="eastAsia" w:eastAsia="仿宋_GB2312"/>
                <w:color w:val="000000"/>
                <w:kern w:val="0"/>
                <w:sz w:val="21"/>
                <w:szCs w:val="21"/>
                <w:lang w:val="en-US" w:eastAsia="zh-CN" w:bidi="ar-SA"/>
              </w:rPr>
              <w:t>6</w:t>
            </w:r>
            <w:r>
              <w:rPr>
                <w:rFonts w:eastAsia="仿宋_GB2312"/>
                <w:color w:val="000000"/>
                <w:kern w:val="0"/>
                <w:sz w:val="21"/>
                <w:szCs w:val="21"/>
                <w:lang w:val="en-US" w:eastAsia="zh-CN" w:bidi="ar-SA"/>
              </w:rPr>
              <w:t>能源管理体系</w:t>
            </w:r>
          </w:p>
        </w:tc>
        <w:tc>
          <w:tcPr>
            <w:tcW w:w="694" w:type="dxa"/>
            <w:noWrap w:val="0"/>
            <w:tcMar>
              <w:top w:w="12" w:type="dxa"/>
              <w:left w:w="12" w:type="dxa"/>
              <w:right w:w="12" w:type="dxa"/>
            </w:tcMar>
            <w:vAlign w:val="center"/>
          </w:tcPr>
          <w:p w14:paraId="7BBBA72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1</w:t>
            </w:r>
          </w:p>
        </w:tc>
        <w:tc>
          <w:tcPr>
            <w:tcW w:w="5646" w:type="dxa"/>
            <w:noWrap w:val="0"/>
            <w:tcMar>
              <w:top w:w="12" w:type="dxa"/>
              <w:left w:w="12" w:type="dxa"/>
              <w:right w:w="12" w:type="dxa"/>
            </w:tcMar>
            <w:vAlign w:val="center"/>
          </w:tcPr>
          <w:p w14:paraId="12B2E475">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有年度能源管理计划</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w:t>
            </w:r>
            <w:r>
              <w:rPr>
                <w:rFonts w:hint="eastAsia" w:eastAsia="仿宋_GB2312"/>
                <w:color w:val="000000"/>
                <w:kern w:val="0"/>
                <w:sz w:val="21"/>
                <w:szCs w:val="21"/>
                <w:lang w:val="en-US" w:eastAsia="zh-CN" w:bidi="ar"/>
              </w:rPr>
              <w:t>0.5</w:t>
            </w:r>
            <w:r>
              <w:rPr>
                <w:rFonts w:eastAsia="仿宋_GB2312"/>
                <w:color w:val="000000"/>
                <w:kern w:val="0"/>
                <w:sz w:val="21"/>
                <w:szCs w:val="21"/>
                <w:lang w:val="en-US" w:eastAsia="zh-CN" w:bidi="ar"/>
              </w:rPr>
              <w:t>分。建立全过程能耗管理体系得</w:t>
            </w:r>
            <w:r>
              <w:rPr>
                <w:rFonts w:hint="eastAsia" w:eastAsia="仿宋_GB2312"/>
                <w:color w:val="000000"/>
                <w:kern w:val="0"/>
                <w:sz w:val="21"/>
                <w:szCs w:val="21"/>
                <w:lang w:val="en-US" w:eastAsia="zh-CN" w:bidi="ar"/>
              </w:rPr>
              <w:t>0.5</w:t>
            </w:r>
            <w:r>
              <w:rPr>
                <w:rFonts w:eastAsia="仿宋_GB2312"/>
                <w:color w:val="000000"/>
                <w:kern w:val="0"/>
                <w:sz w:val="21"/>
                <w:szCs w:val="21"/>
                <w:lang w:val="en-US" w:eastAsia="zh-CN" w:bidi="ar"/>
              </w:rPr>
              <w:t>分。取得能源管理体系认证</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得1分。</w:t>
            </w:r>
            <w:r>
              <w:rPr>
                <w:rFonts w:hint="eastAsia" w:eastAsia="仿宋_GB2312"/>
                <w:color w:val="000000"/>
                <w:kern w:val="0"/>
                <w:sz w:val="21"/>
                <w:szCs w:val="21"/>
                <w:lang w:val="en-US" w:eastAsia="zh-CN" w:bidi="ar"/>
              </w:rPr>
              <w:t>得分不超过1分。</w:t>
            </w:r>
          </w:p>
        </w:tc>
        <w:tc>
          <w:tcPr>
            <w:tcW w:w="866" w:type="dxa"/>
            <w:noWrap w:val="0"/>
            <w:tcMar>
              <w:top w:w="12" w:type="dxa"/>
              <w:left w:w="12" w:type="dxa"/>
              <w:right w:w="12" w:type="dxa"/>
            </w:tcMar>
            <w:vAlign w:val="center"/>
          </w:tcPr>
          <w:p w14:paraId="6C68B62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查资料</w:t>
            </w:r>
          </w:p>
        </w:tc>
        <w:tc>
          <w:tcPr>
            <w:tcW w:w="2640" w:type="dxa"/>
            <w:noWrap w:val="0"/>
            <w:tcMar>
              <w:top w:w="12" w:type="dxa"/>
              <w:left w:w="12" w:type="dxa"/>
              <w:right w:w="12" w:type="dxa"/>
            </w:tcMar>
            <w:vAlign w:val="center"/>
          </w:tcPr>
          <w:p w14:paraId="5942A0AB">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能耗核算体系文件或台账，能源管理体系证书</w:t>
            </w:r>
          </w:p>
        </w:tc>
        <w:tc>
          <w:tcPr>
            <w:tcW w:w="915" w:type="dxa"/>
            <w:noWrap w:val="0"/>
            <w:tcMar>
              <w:top w:w="12" w:type="dxa"/>
              <w:left w:w="12" w:type="dxa"/>
              <w:right w:w="12" w:type="dxa"/>
            </w:tcMar>
            <w:vAlign w:val="center"/>
          </w:tcPr>
          <w:p w14:paraId="7B213C45">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5FD3C6D3">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10A333CF">
            <w:pPr>
              <w:widowControl/>
              <w:adjustRightInd w:val="0"/>
              <w:snapToGrid w:val="0"/>
              <w:jc w:val="center"/>
              <w:textAlignment w:val="center"/>
              <w:rPr>
                <w:rFonts w:eastAsia="仿宋_GB2312"/>
                <w:color w:val="000000"/>
                <w:kern w:val="0"/>
                <w:sz w:val="18"/>
                <w:szCs w:val="18"/>
                <w:lang w:val="en-US" w:eastAsia="zh-CN" w:bidi="ar-SA"/>
              </w:rPr>
            </w:pPr>
          </w:p>
        </w:tc>
      </w:tr>
      <w:tr w14:paraId="62F7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4" w:type="dxa"/>
            <w:vMerge w:val="continue"/>
            <w:noWrap w:val="0"/>
            <w:tcMar>
              <w:top w:w="12" w:type="dxa"/>
              <w:left w:w="12" w:type="dxa"/>
              <w:right w:w="12" w:type="dxa"/>
            </w:tcMar>
            <w:vAlign w:val="center"/>
          </w:tcPr>
          <w:p w14:paraId="59567219">
            <w:pPr>
              <w:widowControl/>
              <w:adjustRightInd w:val="0"/>
              <w:snapToGrid w:val="0"/>
              <w:jc w:val="center"/>
              <w:textAlignment w:val="center"/>
              <w:rPr>
                <w:rFonts w:eastAsia="仿宋_GB2312"/>
                <w:color w:val="000000"/>
                <w:kern w:val="0"/>
                <w:sz w:val="21"/>
                <w:szCs w:val="21"/>
                <w:lang w:val="en-US" w:eastAsia="zh-CN" w:bidi="ar"/>
              </w:rPr>
            </w:pPr>
          </w:p>
        </w:tc>
        <w:tc>
          <w:tcPr>
            <w:tcW w:w="1052" w:type="dxa"/>
            <w:gridSpan w:val="2"/>
            <w:vMerge w:val="continue"/>
            <w:noWrap w:val="0"/>
            <w:tcMar>
              <w:top w:w="12" w:type="dxa"/>
              <w:left w:w="12" w:type="dxa"/>
              <w:right w:w="12" w:type="dxa"/>
            </w:tcMar>
            <w:vAlign w:val="center"/>
          </w:tcPr>
          <w:p w14:paraId="3E77FBE2">
            <w:pPr>
              <w:widowControl/>
              <w:adjustRightInd w:val="0"/>
              <w:snapToGrid w:val="0"/>
              <w:jc w:val="center"/>
              <w:textAlignment w:val="center"/>
              <w:rPr>
                <w:rFonts w:eastAsia="仿宋_GB2312"/>
                <w:color w:val="000000"/>
                <w:kern w:val="0"/>
                <w:sz w:val="21"/>
                <w:szCs w:val="21"/>
                <w:lang w:val="en-US" w:eastAsia="zh-CN" w:bidi="ar"/>
              </w:rPr>
            </w:pPr>
          </w:p>
        </w:tc>
        <w:tc>
          <w:tcPr>
            <w:tcW w:w="769" w:type="dxa"/>
            <w:noWrap w:val="0"/>
            <w:tcMar>
              <w:top w:w="12" w:type="dxa"/>
              <w:left w:w="12" w:type="dxa"/>
              <w:right w:w="12" w:type="dxa"/>
            </w:tcMar>
            <w:vAlign w:val="center"/>
          </w:tcPr>
          <w:p w14:paraId="32B29F0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2</w:t>
            </w:r>
            <w:r>
              <w:rPr>
                <w:rFonts w:hint="eastAsia" w:eastAsia="仿宋_GB2312"/>
                <w:color w:val="000000"/>
                <w:kern w:val="0"/>
                <w:sz w:val="21"/>
                <w:szCs w:val="21"/>
                <w:lang w:val="en-US" w:eastAsia="zh-CN" w:bidi="ar"/>
              </w:rPr>
              <w:t>7</w:t>
            </w:r>
            <w:r>
              <w:rPr>
                <w:rFonts w:eastAsia="仿宋_GB2312"/>
                <w:color w:val="000000"/>
                <w:kern w:val="0"/>
                <w:sz w:val="21"/>
                <w:szCs w:val="21"/>
                <w:lang w:val="en-US" w:eastAsia="zh-CN" w:bidi="ar"/>
              </w:rPr>
              <w:t>单位产品能耗</w:t>
            </w:r>
          </w:p>
        </w:tc>
        <w:tc>
          <w:tcPr>
            <w:tcW w:w="694" w:type="dxa"/>
            <w:noWrap w:val="0"/>
            <w:tcMar>
              <w:top w:w="12" w:type="dxa"/>
              <w:left w:w="12" w:type="dxa"/>
              <w:right w:w="12" w:type="dxa"/>
            </w:tcMar>
            <w:vAlign w:val="center"/>
          </w:tcPr>
          <w:p w14:paraId="757B7A3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2</w:t>
            </w:r>
          </w:p>
        </w:tc>
        <w:tc>
          <w:tcPr>
            <w:tcW w:w="5646" w:type="dxa"/>
            <w:noWrap w:val="0"/>
            <w:tcMar>
              <w:top w:w="12" w:type="dxa"/>
              <w:left w:w="12" w:type="dxa"/>
              <w:right w:w="12" w:type="dxa"/>
            </w:tcMar>
            <w:vAlign w:val="center"/>
          </w:tcPr>
          <w:p w14:paraId="09E5BDAD">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单位产品能耗符合国家标准。煤矿、铁矿、金矿、有色金属矿有国家标准的，执行国家标准。其他矿种暂无国家标准、行业标准的，以企业近3年能耗等指标均值为依据进行考核，要体现节能降耗进步要求</w:t>
            </w:r>
            <w:r>
              <w:rPr>
                <w:rFonts w:hint="eastAsia" w:eastAsia="仿宋_GB2312"/>
                <w:color w:val="000000"/>
                <w:kern w:val="0"/>
                <w:sz w:val="21"/>
                <w:szCs w:val="21"/>
                <w:lang w:val="en-US" w:eastAsia="zh-CN" w:bidi="ar"/>
              </w:rPr>
              <w:t>，能耗逐年降低</w:t>
            </w:r>
            <w:r>
              <w:rPr>
                <w:rFonts w:eastAsia="仿宋_GB2312"/>
                <w:color w:val="000000"/>
                <w:kern w:val="0"/>
                <w:sz w:val="21"/>
                <w:szCs w:val="21"/>
                <w:lang w:val="en-US" w:eastAsia="zh-CN" w:bidi="ar"/>
              </w:rPr>
              <w:t>。符合要求得2分，不符合得0分。</w:t>
            </w:r>
          </w:p>
        </w:tc>
        <w:tc>
          <w:tcPr>
            <w:tcW w:w="866" w:type="dxa"/>
            <w:noWrap w:val="0"/>
            <w:tcMar>
              <w:top w:w="12" w:type="dxa"/>
              <w:left w:w="12" w:type="dxa"/>
              <w:right w:w="12" w:type="dxa"/>
            </w:tcMar>
            <w:vAlign w:val="center"/>
          </w:tcPr>
          <w:p w14:paraId="707E946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查资料</w:t>
            </w:r>
          </w:p>
        </w:tc>
        <w:tc>
          <w:tcPr>
            <w:tcW w:w="2640" w:type="dxa"/>
            <w:noWrap w:val="0"/>
            <w:tcMar>
              <w:top w:w="12" w:type="dxa"/>
              <w:left w:w="12" w:type="dxa"/>
              <w:right w:w="12" w:type="dxa"/>
            </w:tcMar>
            <w:vAlign w:val="center"/>
          </w:tcPr>
          <w:p w14:paraId="6A7EA209">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能耗台账、各行业单位产品能源消耗限额</w:t>
            </w:r>
          </w:p>
        </w:tc>
        <w:tc>
          <w:tcPr>
            <w:tcW w:w="915" w:type="dxa"/>
            <w:noWrap w:val="0"/>
            <w:tcMar>
              <w:top w:w="12" w:type="dxa"/>
              <w:left w:w="12" w:type="dxa"/>
              <w:right w:w="12" w:type="dxa"/>
            </w:tcMar>
            <w:vAlign w:val="center"/>
          </w:tcPr>
          <w:p w14:paraId="2CFD502C">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约束性</w:t>
            </w:r>
          </w:p>
        </w:tc>
        <w:tc>
          <w:tcPr>
            <w:tcW w:w="915" w:type="dxa"/>
            <w:noWrap w:val="0"/>
            <w:vAlign w:val="center"/>
          </w:tcPr>
          <w:p w14:paraId="28983E68">
            <w:pPr>
              <w:widowControl/>
              <w:adjustRightInd w:val="0"/>
              <w:snapToGrid w:val="0"/>
              <w:jc w:val="center"/>
              <w:textAlignment w:val="center"/>
              <w:rPr>
                <w:rFonts w:eastAsia="仿宋_GB2312"/>
                <w:color w:val="000000"/>
                <w:kern w:val="0"/>
                <w:sz w:val="21"/>
                <w:szCs w:val="21"/>
                <w:lang w:val="en-US" w:eastAsia="zh-CN" w:bidi="ar-SA"/>
              </w:rPr>
            </w:pPr>
          </w:p>
        </w:tc>
        <w:tc>
          <w:tcPr>
            <w:tcW w:w="501" w:type="dxa"/>
            <w:noWrap w:val="0"/>
            <w:vAlign w:val="center"/>
          </w:tcPr>
          <w:p w14:paraId="6CFB0FCF">
            <w:pPr>
              <w:widowControl w:val="0"/>
              <w:adjustRightInd w:val="0"/>
              <w:snapToGrid w:val="0"/>
              <w:jc w:val="center"/>
              <w:rPr>
                <w:rFonts w:eastAsia="仿宋_GB2312"/>
                <w:color w:val="000000"/>
                <w:kern w:val="0"/>
                <w:sz w:val="18"/>
                <w:szCs w:val="18"/>
                <w:lang w:val="en-US" w:eastAsia="zh-CN" w:bidi="ar-SA"/>
              </w:rPr>
            </w:pPr>
          </w:p>
        </w:tc>
      </w:tr>
      <w:tr w14:paraId="0F60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1074" w:type="dxa"/>
            <w:vMerge w:val="continue"/>
            <w:noWrap w:val="0"/>
            <w:tcMar>
              <w:top w:w="12" w:type="dxa"/>
              <w:left w:w="12" w:type="dxa"/>
              <w:right w:w="12" w:type="dxa"/>
            </w:tcMar>
            <w:vAlign w:val="center"/>
          </w:tcPr>
          <w:p w14:paraId="5CE0A519">
            <w:pPr>
              <w:widowControl w:val="0"/>
              <w:adjustRightInd w:val="0"/>
              <w:snapToGrid w:val="0"/>
              <w:jc w:val="center"/>
              <w:rPr>
                <w:rFonts w:eastAsia="仿宋_GB2312"/>
                <w:color w:val="000000"/>
                <w:kern w:val="0"/>
                <w:sz w:val="21"/>
                <w:szCs w:val="21"/>
                <w:lang w:val="en-US" w:eastAsia="zh-CN" w:bidi="ar-SA"/>
              </w:rPr>
            </w:pPr>
          </w:p>
        </w:tc>
        <w:tc>
          <w:tcPr>
            <w:tcW w:w="1050" w:type="dxa"/>
            <w:noWrap w:val="0"/>
            <w:tcMar>
              <w:top w:w="12" w:type="dxa"/>
              <w:left w:w="12" w:type="dxa"/>
              <w:right w:w="12" w:type="dxa"/>
            </w:tcMar>
            <w:vAlign w:val="center"/>
          </w:tcPr>
          <w:p w14:paraId="21D66C4E">
            <w:pPr>
              <w:widowControl/>
              <w:adjustRightInd w:val="0"/>
              <w:snapToGrid w:val="0"/>
              <w:jc w:val="center"/>
              <w:textAlignment w:val="center"/>
              <w:rPr>
                <w:rFonts w:eastAsia="仿宋_GB2312"/>
                <w:color w:val="000000"/>
                <w:kern w:val="0"/>
                <w:sz w:val="21"/>
                <w:szCs w:val="21"/>
                <w:lang w:val="en-US" w:eastAsia="zh-CN" w:bidi="ar"/>
              </w:rPr>
            </w:pPr>
            <w:r>
              <w:rPr>
                <w:rFonts w:hint="eastAsia" w:eastAsia="仿宋_GB2312"/>
                <w:color w:val="000000"/>
                <w:kern w:val="0"/>
                <w:sz w:val="21"/>
                <w:szCs w:val="21"/>
                <w:lang w:val="en-US" w:eastAsia="zh-CN" w:bidi="ar"/>
              </w:rPr>
              <w:t>3</w:t>
            </w:r>
            <w:r>
              <w:rPr>
                <w:rFonts w:eastAsia="仿宋_GB2312"/>
                <w:color w:val="000000"/>
                <w:kern w:val="0"/>
                <w:sz w:val="21"/>
                <w:szCs w:val="21"/>
                <w:lang w:val="en-US" w:eastAsia="zh-CN" w:bidi="ar"/>
              </w:rPr>
              <w:t>减碳</w:t>
            </w:r>
          </w:p>
          <w:p w14:paraId="4042057D">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（2分）</w:t>
            </w:r>
          </w:p>
        </w:tc>
        <w:tc>
          <w:tcPr>
            <w:tcW w:w="771" w:type="dxa"/>
            <w:gridSpan w:val="2"/>
            <w:noWrap w:val="0"/>
            <w:tcMar>
              <w:top w:w="12" w:type="dxa"/>
              <w:left w:w="12" w:type="dxa"/>
              <w:right w:w="12" w:type="dxa"/>
            </w:tcMar>
            <w:vAlign w:val="center"/>
          </w:tcPr>
          <w:p w14:paraId="0CE1832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2</w:t>
            </w:r>
            <w:r>
              <w:rPr>
                <w:rFonts w:hint="eastAsia" w:eastAsia="仿宋_GB2312"/>
                <w:color w:val="000000"/>
                <w:kern w:val="0"/>
                <w:sz w:val="21"/>
                <w:szCs w:val="21"/>
                <w:lang w:val="en-US" w:eastAsia="zh-CN" w:bidi="ar"/>
              </w:rPr>
              <w:t>8</w:t>
            </w:r>
            <w:r>
              <w:rPr>
                <w:rFonts w:eastAsia="仿宋_GB2312"/>
                <w:color w:val="000000"/>
                <w:kern w:val="0"/>
                <w:sz w:val="21"/>
                <w:szCs w:val="21"/>
                <w:lang w:val="en-US" w:eastAsia="zh-CN" w:bidi="ar"/>
              </w:rPr>
              <w:t>碳排放核算</w:t>
            </w:r>
          </w:p>
        </w:tc>
        <w:tc>
          <w:tcPr>
            <w:tcW w:w="694" w:type="dxa"/>
            <w:noWrap w:val="0"/>
            <w:tcMar>
              <w:top w:w="12" w:type="dxa"/>
              <w:left w:w="12" w:type="dxa"/>
              <w:right w:w="12" w:type="dxa"/>
            </w:tcMar>
            <w:vAlign w:val="center"/>
          </w:tcPr>
          <w:p w14:paraId="306C9B0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2</w:t>
            </w:r>
          </w:p>
        </w:tc>
        <w:tc>
          <w:tcPr>
            <w:tcW w:w="5646" w:type="dxa"/>
            <w:noWrap w:val="0"/>
            <w:tcMar>
              <w:top w:w="12" w:type="dxa"/>
              <w:left w:w="12" w:type="dxa"/>
              <w:right w:w="12" w:type="dxa"/>
            </w:tcMar>
            <w:vAlign w:val="center"/>
          </w:tcPr>
          <w:p w14:paraId="35DA919A">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按照规定的核算方法，</w:t>
            </w:r>
            <w:r>
              <w:rPr>
                <w:rFonts w:hint="eastAsia" w:eastAsia="仿宋_GB2312"/>
                <w:color w:val="000000"/>
                <w:kern w:val="0"/>
                <w:sz w:val="21"/>
                <w:szCs w:val="21"/>
                <w:lang w:val="en-US" w:eastAsia="zh-CN" w:bidi="ar"/>
              </w:rPr>
              <w:t>对</w:t>
            </w:r>
            <w:r>
              <w:rPr>
                <w:rFonts w:eastAsia="仿宋_GB2312"/>
                <w:color w:val="000000"/>
                <w:kern w:val="0"/>
                <w:sz w:val="21"/>
                <w:szCs w:val="21"/>
                <w:lang w:val="en-US" w:eastAsia="zh-CN" w:bidi="ar"/>
              </w:rPr>
              <w:t>矿区范围内的温室气体排放进行核算</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开展工作的</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得2分</w:t>
            </w:r>
            <w:r>
              <w:rPr>
                <w:rFonts w:hint="eastAsia" w:eastAsia="仿宋_GB2312"/>
                <w:color w:val="000000"/>
                <w:kern w:val="0"/>
                <w:sz w:val="21"/>
                <w:szCs w:val="21"/>
                <w:lang w:val="en-US" w:eastAsia="zh-CN" w:bidi="ar"/>
              </w:rPr>
              <w:t>，未</w:t>
            </w:r>
            <w:r>
              <w:rPr>
                <w:rFonts w:eastAsia="仿宋_GB2312"/>
                <w:color w:val="000000"/>
                <w:kern w:val="0"/>
                <w:sz w:val="21"/>
                <w:szCs w:val="21"/>
                <w:lang w:val="en-US" w:eastAsia="zh-CN" w:bidi="ar"/>
              </w:rPr>
              <w:t>开展工作的</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w:t>
            </w:r>
            <w:r>
              <w:rPr>
                <w:rFonts w:hint="eastAsia" w:eastAsia="仿宋_GB2312"/>
                <w:color w:val="000000"/>
                <w:kern w:val="0"/>
                <w:sz w:val="21"/>
                <w:szCs w:val="21"/>
                <w:lang w:val="en-US" w:eastAsia="zh-CN" w:bidi="ar"/>
              </w:rPr>
              <w:t>0分</w:t>
            </w:r>
            <w:r>
              <w:rPr>
                <w:rFonts w:eastAsia="仿宋_GB2312"/>
                <w:color w:val="000000"/>
                <w:kern w:val="0"/>
                <w:sz w:val="21"/>
                <w:szCs w:val="21"/>
                <w:lang w:val="en-US" w:eastAsia="zh-CN" w:bidi="ar"/>
              </w:rPr>
              <w:t>。</w:t>
            </w:r>
          </w:p>
        </w:tc>
        <w:tc>
          <w:tcPr>
            <w:tcW w:w="866" w:type="dxa"/>
            <w:noWrap w:val="0"/>
            <w:tcMar>
              <w:top w:w="12" w:type="dxa"/>
              <w:left w:w="12" w:type="dxa"/>
              <w:right w:w="12" w:type="dxa"/>
            </w:tcMar>
            <w:vAlign w:val="center"/>
          </w:tcPr>
          <w:p w14:paraId="6471B5A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查资料</w:t>
            </w:r>
          </w:p>
        </w:tc>
        <w:tc>
          <w:tcPr>
            <w:tcW w:w="2640" w:type="dxa"/>
            <w:noWrap w:val="0"/>
            <w:tcMar>
              <w:top w:w="12" w:type="dxa"/>
              <w:left w:w="12" w:type="dxa"/>
              <w:right w:w="12" w:type="dxa"/>
            </w:tcMar>
            <w:vAlign w:val="center"/>
          </w:tcPr>
          <w:p w14:paraId="66961BB3">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 xml:space="preserve">《工业企业温室气体排放核算和报告通则》（GB/T </w:t>
            </w:r>
            <w:r>
              <w:rPr>
                <w:rFonts w:hint="eastAsia" w:eastAsia="仿宋_GB2312"/>
                <w:color w:val="000000"/>
                <w:kern w:val="0"/>
                <w:sz w:val="21"/>
                <w:szCs w:val="21"/>
                <w:lang w:val="en-US" w:eastAsia="zh-CN" w:bidi="ar"/>
              </w:rPr>
              <w:t xml:space="preserve"> </w:t>
            </w:r>
            <w:r>
              <w:rPr>
                <w:rFonts w:eastAsia="仿宋_GB2312"/>
                <w:color w:val="000000"/>
                <w:kern w:val="0"/>
                <w:sz w:val="21"/>
                <w:szCs w:val="21"/>
                <w:lang w:val="en-US" w:eastAsia="zh-CN" w:bidi="ar"/>
              </w:rPr>
              <w:t>32150）</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《温室气体排放核算方法与报告</w:t>
            </w:r>
            <w:r>
              <w:rPr>
                <w:rFonts w:hint="eastAsia" w:eastAsia="仿宋_GB2312"/>
                <w:color w:val="000000"/>
                <w:kern w:val="0"/>
                <w:sz w:val="21"/>
                <w:szCs w:val="21"/>
                <w:lang w:val="en-US" w:eastAsia="zh-CN" w:bidi="ar"/>
              </w:rPr>
              <w:t>要求</w:t>
            </w:r>
            <w:r>
              <w:rPr>
                <w:rFonts w:eastAsia="仿宋_GB2312"/>
                <w:color w:val="000000"/>
                <w:kern w:val="0"/>
                <w:sz w:val="21"/>
                <w:szCs w:val="21"/>
                <w:lang w:val="en-US" w:eastAsia="zh-CN" w:bidi="ar"/>
              </w:rPr>
              <w:t>》（GB</w:t>
            </w:r>
            <w:r>
              <w:rPr>
                <w:rFonts w:hint="eastAsia" w:eastAsia="仿宋_GB2312"/>
                <w:color w:val="000000"/>
                <w:kern w:val="0"/>
                <w:sz w:val="21"/>
                <w:szCs w:val="21"/>
                <w:lang w:val="en-US" w:eastAsia="zh-CN" w:bidi="ar"/>
              </w:rPr>
              <w:t xml:space="preserve">/T </w:t>
            </w:r>
            <w:r>
              <w:rPr>
                <w:rFonts w:eastAsia="仿宋_GB2312"/>
                <w:color w:val="000000"/>
                <w:kern w:val="0"/>
                <w:sz w:val="21"/>
                <w:szCs w:val="21"/>
                <w:lang w:val="en-US" w:eastAsia="zh-CN" w:bidi="ar"/>
              </w:rPr>
              <w:t>32151）</w:t>
            </w:r>
          </w:p>
        </w:tc>
        <w:tc>
          <w:tcPr>
            <w:tcW w:w="915" w:type="dxa"/>
            <w:noWrap w:val="0"/>
            <w:tcMar>
              <w:top w:w="12" w:type="dxa"/>
              <w:left w:w="12" w:type="dxa"/>
              <w:right w:w="12" w:type="dxa"/>
            </w:tcMar>
            <w:vAlign w:val="center"/>
          </w:tcPr>
          <w:p w14:paraId="4A1412C9">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14E0EB97">
            <w:pPr>
              <w:widowControl w:val="0"/>
              <w:adjustRightInd w:val="0"/>
              <w:snapToGrid w:val="0"/>
              <w:jc w:val="center"/>
              <w:rPr>
                <w:rFonts w:eastAsia="仿宋_GB2312"/>
                <w:color w:val="000000"/>
                <w:kern w:val="0"/>
                <w:sz w:val="21"/>
                <w:szCs w:val="21"/>
                <w:lang w:val="en-US" w:eastAsia="zh-CN" w:bidi="ar-SA"/>
              </w:rPr>
            </w:pPr>
          </w:p>
        </w:tc>
        <w:tc>
          <w:tcPr>
            <w:tcW w:w="501" w:type="dxa"/>
            <w:noWrap w:val="0"/>
            <w:vAlign w:val="center"/>
          </w:tcPr>
          <w:p w14:paraId="3B93D9DC">
            <w:pPr>
              <w:widowControl w:val="0"/>
              <w:adjustRightInd w:val="0"/>
              <w:snapToGrid w:val="0"/>
              <w:jc w:val="center"/>
              <w:rPr>
                <w:rFonts w:eastAsia="仿宋_GB2312"/>
                <w:color w:val="000000"/>
                <w:kern w:val="0"/>
                <w:sz w:val="18"/>
                <w:szCs w:val="18"/>
                <w:lang w:val="en-US" w:eastAsia="zh-CN" w:bidi="ar-SA"/>
              </w:rPr>
            </w:pPr>
          </w:p>
        </w:tc>
      </w:tr>
      <w:tr w14:paraId="6B2A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4" w:type="dxa"/>
            <w:vMerge w:val="continue"/>
            <w:noWrap w:val="0"/>
            <w:tcMar>
              <w:top w:w="12" w:type="dxa"/>
              <w:left w:w="12" w:type="dxa"/>
              <w:right w:w="12" w:type="dxa"/>
            </w:tcMar>
            <w:vAlign w:val="center"/>
          </w:tcPr>
          <w:p w14:paraId="109AF5AA">
            <w:pPr>
              <w:widowControl w:val="0"/>
              <w:adjustRightInd w:val="0"/>
              <w:snapToGrid w:val="0"/>
              <w:jc w:val="center"/>
              <w:rPr>
                <w:rFonts w:eastAsia="仿宋_GB2312"/>
                <w:color w:val="000000"/>
                <w:kern w:val="0"/>
                <w:sz w:val="21"/>
                <w:szCs w:val="21"/>
                <w:lang w:val="en-US" w:eastAsia="zh-CN" w:bidi="ar-SA"/>
              </w:rPr>
            </w:pPr>
          </w:p>
        </w:tc>
        <w:tc>
          <w:tcPr>
            <w:tcW w:w="1050" w:type="dxa"/>
            <w:vMerge w:val="restart"/>
            <w:noWrap w:val="0"/>
            <w:tcMar>
              <w:top w:w="12" w:type="dxa"/>
              <w:left w:w="12" w:type="dxa"/>
              <w:right w:w="12" w:type="dxa"/>
            </w:tcMar>
            <w:vAlign w:val="center"/>
          </w:tcPr>
          <w:p w14:paraId="2D9DE239">
            <w:pPr>
              <w:widowControl/>
              <w:numPr>
                <w:ilvl w:val="0"/>
                <w:numId w:val="0"/>
              </w:numPr>
              <w:adjustRightInd w:val="0"/>
              <w:snapToGrid w:val="0"/>
              <w:ind w:left="0" w:leftChars="0" w:firstLine="0" w:firstLineChars="0"/>
              <w:jc w:val="both"/>
              <w:textAlignment w:val="center"/>
              <w:rPr>
                <w:rFonts w:eastAsia="仿宋_GB2312"/>
                <w:color w:val="000000"/>
                <w:kern w:val="0"/>
                <w:sz w:val="21"/>
                <w:szCs w:val="21"/>
                <w:lang w:val="en-US" w:eastAsia="zh-CN" w:bidi="ar"/>
              </w:rPr>
            </w:pPr>
            <w:r>
              <w:rPr>
                <w:rFonts w:hint="eastAsia" w:eastAsia="仿宋_GB2312"/>
                <w:color w:val="000000"/>
                <w:kern w:val="0"/>
                <w:sz w:val="21"/>
                <w:szCs w:val="21"/>
                <w:lang w:val="en-US" w:eastAsia="zh-CN" w:bidi="ar"/>
              </w:rPr>
              <w:t>4源头预防（5分）</w:t>
            </w:r>
          </w:p>
        </w:tc>
        <w:tc>
          <w:tcPr>
            <w:tcW w:w="771" w:type="dxa"/>
            <w:gridSpan w:val="2"/>
            <w:noWrap w:val="0"/>
            <w:tcMar>
              <w:top w:w="12" w:type="dxa"/>
              <w:left w:w="12" w:type="dxa"/>
              <w:right w:w="12" w:type="dxa"/>
            </w:tcMar>
            <w:vAlign w:val="center"/>
          </w:tcPr>
          <w:p w14:paraId="1DF604D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29</w:t>
            </w:r>
            <w:r>
              <w:rPr>
                <w:rFonts w:eastAsia="仿宋_GB2312"/>
                <w:color w:val="000000"/>
                <w:kern w:val="0"/>
                <w:sz w:val="21"/>
                <w:szCs w:val="21"/>
                <w:lang w:val="en-US" w:eastAsia="zh-CN" w:bidi="ar-SA"/>
              </w:rPr>
              <w:t>地下水环境状况</w:t>
            </w:r>
          </w:p>
        </w:tc>
        <w:tc>
          <w:tcPr>
            <w:tcW w:w="694" w:type="dxa"/>
            <w:noWrap w:val="0"/>
            <w:tcMar>
              <w:top w:w="12" w:type="dxa"/>
              <w:left w:w="12" w:type="dxa"/>
              <w:right w:w="12" w:type="dxa"/>
            </w:tcMar>
            <w:vAlign w:val="center"/>
          </w:tcPr>
          <w:p w14:paraId="6277638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1</w:t>
            </w:r>
          </w:p>
        </w:tc>
        <w:tc>
          <w:tcPr>
            <w:tcW w:w="5646" w:type="dxa"/>
            <w:noWrap w:val="0"/>
            <w:tcMar>
              <w:top w:w="12" w:type="dxa"/>
              <w:left w:w="12" w:type="dxa"/>
              <w:right w:w="12" w:type="dxa"/>
            </w:tcMar>
            <w:vAlign w:val="center"/>
          </w:tcPr>
          <w:p w14:paraId="22D36C6D">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eastAsia="仿宋_GB2312"/>
                <w:color w:val="000000"/>
                <w:kern w:val="0"/>
                <w:sz w:val="21"/>
                <w:szCs w:val="21"/>
                <w:lang w:val="en-US" w:eastAsia="zh-CN" w:bidi="ar"/>
              </w:rPr>
            </w:pPr>
            <w:r>
              <w:rPr>
                <w:rFonts w:hint="eastAsia" w:eastAsia="仿宋_GB2312"/>
                <w:color w:val="000000"/>
                <w:kern w:val="0"/>
                <w:sz w:val="21"/>
                <w:szCs w:val="21"/>
                <w:lang w:val="en-US" w:eastAsia="zh-CN" w:bidi="ar"/>
              </w:rPr>
              <w:t>矿区及周边地下水具备使用功能的，其环境状况应达到相关功能限值要求；存在人为因素导致地下水不满足相关功能要求时，应该按照相关标准开展地下水污染风险管控修复，防止地下水污染加重与扩散。</w:t>
            </w:r>
            <w:r>
              <w:rPr>
                <w:rFonts w:eastAsia="仿宋_GB2312"/>
                <w:color w:val="000000"/>
                <w:kern w:val="0"/>
                <w:sz w:val="21"/>
                <w:szCs w:val="21"/>
                <w:lang w:val="en-US" w:eastAsia="zh-CN" w:bidi="ar"/>
              </w:rPr>
              <w:t>符合要求得</w:t>
            </w:r>
            <w:r>
              <w:rPr>
                <w:rFonts w:hint="eastAsia" w:eastAsia="仿宋_GB2312"/>
                <w:color w:val="000000"/>
                <w:kern w:val="0"/>
                <w:sz w:val="21"/>
                <w:szCs w:val="21"/>
                <w:lang w:val="en-US" w:eastAsia="zh-CN" w:bidi="ar"/>
              </w:rPr>
              <w:t>1</w:t>
            </w:r>
            <w:r>
              <w:rPr>
                <w:rFonts w:eastAsia="仿宋_GB2312"/>
                <w:color w:val="000000"/>
                <w:kern w:val="0"/>
                <w:sz w:val="21"/>
                <w:szCs w:val="21"/>
                <w:lang w:val="en-US" w:eastAsia="zh-CN" w:bidi="ar"/>
              </w:rPr>
              <w:t>分，不符合得0分。</w:t>
            </w:r>
          </w:p>
        </w:tc>
        <w:tc>
          <w:tcPr>
            <w:tcW w:w="866" w:type="dxa"/>
            <w:noWrap w:val="0"/>
            <w:tcMar>
              <w:top w:w="12" w:type="dxa"/>
              <w:left w:w="12" w:type="dxa"/>
              <w:right w:w="12" w:type="dxa"/>
            </w:tcMar>
            <w:vAlign w:val="center"/>
          </w:tcPr>
          <w:p w14:paraId="2B17345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查资料、查现场</w:t>
            </w:r>
          </w:p>
        </w:tc>
        <w:tc>
          <w:tcPr>
            <w:tcW w:w="2640" w:type="dxa"/>
            <w:noWrap w:val="0"/>
            <w:tcMar>
              <w:top w:w="12" w:type="dxa"/>
              <w:left w:w="12" w:type="dxa"/>
              <w:right w:w="12" w:type="dxa"/>
            </w:tcMar>
            <w:vAlign w:val="center"/>
          </w:tcPr>
          <w:p w14:paraId="35D03C0C">
            <w:pPr>
              <w:keepNext w:val="0"/>
              <w:keepLines w:val="0"/>
              <w:pageBreakBefore w:val="0"/>
              <w:widowControl/>
              <w:kinsoku/>
              <w:wordWrap/>
              <w:overflowPunct/>
              <w:topLinePunct w:val="0"/>
              <w:autoSpaceDE/>
              <w:autoSpaceDN/>
              <w:bidi w:val="0"/>
              <w:adjustRightInd w:val="0"/>
              <w:snapToGrid w:val="0"/>
              <w:spacing w:line="240" w:lineRule="exact"/>
              <w:jc w:val="both"/>
              <w:textAlignment w:val="center"/>
              <w:rPr>
                <w:rFonts w:eastAsia="仿宋_GB2312"/>
                <w:color w:val="000000"/>
                <w:kern w:val="0"/>
                <w:sz w:val="21"/>
                <w:szCs w:val="21"/>
                <w:lang w:val="en-US" w:eastAsia="zh-CN" w:bidi="ar-SA"/>
              </w:rPr>
            </w:pPr>
            <w:r>
              <w:rPr>
                <w:rFonts w:hint="eastAsia" w:ascii="宋体" w:hAnsi="宋体" w:eastAsia="宋体" w:cs="宋体"/>
                <w:color w:val="000000"/>
                <w:kern w:val="2"/>
                <w:sz w:val="21"/>
                <w:szCs w:val="21"/>
                <w:lang w:val="en-US" w:eastAsia="zh-CN" w:bidi="ar-SA"/>
              </w:rPr>
              <w:t>《</w:t>
            </w:r>
            <w:r>
              <w:rPr>
                <w:rFonts w:eastAsia="仿宋_GB2312"/>
                <w:color w:val="000000"/>
                <w:kern w:val="0"/>
                <w:sz w:val="21"/>
                <w:szCs w:val="21"/>
                <w:lang w:val="en-US" w:eastAsia="zh-CN" w:bidi="ar"/>
              </w:rPr>
              <w:t>工矿用地</w:t>
            </w:r>
            <w:r>
              <w:rPr>
                <w:rFonts w:hint="eastAsia" w:eastAsia="仿宋_GB2312"/>
                <w:color w:val="000000"/>
                <w:kern w:val="0"/>
                <w:sz w:val="21"/>
                <w:szCs w:val="21"/>
                <w:lang w:val="en-US" w:eastAsia="zh-CN" w:bidi="ar"/>
              </w:rPr>
              <w:t>土壤环境管理办法（试行）</w:t>
            </w:r>
            <w:r>
              <w:rPr>
                <w:rFonts w:eastAsia="仿宋_GB2312"/>
                <w:color w:val="000000"/>
                <w:kern w:val="0"/>
                <w:sz w:val="21"/>
                <w:szCs w:val="21"/>
                <w:lang w:val="en-US" w:eastAsia="zh-CN" w:bidi="ar"/>
              </w:rPr>
              <w:t>》《地下水质量标准》（GB/T</w:t>
            </w:r>
            <w:r>
              <w:rPr>
                <w:rFonts w:hint="eastAsia" w:eastAsia="仿宋_GB2312"/>
                <w:color w:val="000000"/>
                <w:kern w:val="0"/>
                <w:sz w:val="21"/>
                <w:szCs w:val="21"/>
                <w:lang w:val="en-US" w:eastAsia="zh-CN" w:bidi="ar"/>
              </w:rPr>
              <w:t xml:space="preserve"> </w:t>
            </w:r>
            <w:r>
              <w:rPr>
                <w:rFonts w:eastAsia="仿宋_GB2312"/>
                <w:color w:val="000000"/>
                <w:kern w:val="0"/>
                <w:sz w:val="21"/>
                <w:szCs w:val="21"/>
                <w:lang w:val="en-US" w:eastAsia="zh-CN" w:bidi="ar"/>
              </w:rPr>
              <w:t>14848）、《污染地块地下水修复和风险管控技术导则》（HJ 25.6）</w:t>
            </w:r>
          </w:p>
        </w:tc>
        <w:tc>
          <w:tcPr>
            <w:tcW w:w="915" w:type="dxa"/>
            <w:noWrap w:val="0"/>
            <w:tcMar>
              <w:top w:w="12" w:type="dxa"/>
              <w:left w:w="12" w:type="dxa"/>
              <w:right w:w="12" w:type="dxa"/>
            </w:tcMar>
            <w:vAlign w:val="center"/>
          </w:tcPr>
          <w:p w14:paraId="6A46779B">
            <w:pPr>
              <w:widowControl w:val="0"/>
              <w:adjustRightInd w:val="0"/>
              <w:snapToGrid w:val="0"/>
              <w:jc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约束性</w:t>
            </w:r>
          </w:p>
        </w:tc>
        <w:tc>
          <w:tcPr>
            <w:tcW w:w="915" w:type="dxa"/>
            <w:noWrap w:val="0"/>
            <w:vAlign w:val="center"/>
          </w:tcPr>
          <w:p w14:paraId="4B885D5B">
            <w:pPr>
              <w:widowControl/>
              <w:adjustRightInd w:val="0"/>
              <w:snapToGrid w:val="0"/>
              <w:jc w:val="left"/>
              <w:textAlignment w:val="center"/>
              <w:rPr>
                <w:rFonts w:eastAsia="仿宋_GB2312"/>
                <w:color w:val="000000"/>
                <w:kern w:val="0"/>
                <w:sz w:val="21"/>
                <w:szCs w:val="21"/>
                <w:lang w:val="en-US" w:eastAsia="zh-CN" w:bidi="ar-SA"/>
              </w:rPr>
            </w:pPr>
          </w:p>
        </w:tc>
        <w:tc>
          <w:tcPr>
            <w:tcW w:w="501" w:type="dxa"/>
            <w:noWrap w:val="0"/>
            <w:vAlign w:val="center"/>
          </w:tcPr>
          <w:p w14:paraId="3C60CCC6">
            <w:pPr>
              <w:widowControl w:val="0"/>
              <w:adjustRightInd w:val="0"/>
              <w:snapToGrid w:val="0"/>
              <w:jc w:val="center"/>
              <w:rPr>
                <w:rFonts w:eastAsia="仿宋_GB2312"/>
                <w:color w:val="000000"/>
                <w:kern w:val="0"/>
                <w:sz w:val="18"/>
                <w:szCs w:val="18"/>
                <w:lang w:val="en-US" w:eastAsia="zh-CN" w:bidi="ar-SA"/>
              </w:rPr>
            </w:pPr>
          </w:p>
        </w:tc>
      </w:tr>
      <w:tr w14:paraId="79BC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4" w:type="dxa"/>
            <w:vMerge w:val="continue"/>
            <w:noWrap w:val="0"/>
            <w:tcMar>
              <w:top w:w="12" w:type="dxa"/>
              <w:left w:w="12" w:type="dxa"/>
              <w:right w:w="12" w:type="dxa"/>
            </w:tcMar>
            <w:vAlign w:val="center"/>
          </w:tcPr>
          <w:p w14:paraId="35CA7A77">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51EFD293">
            <w:pPr>
              <w:widowControl/>
              <w:numPr>
                <w:ilvl w:val="0"/>
                <w:numId w:val="0"/>
              </w:numPr>
              <w:adjustRightInd w:val="0"/>
              <w:snapToGrid w:val="0"/>
              <w:ind w:left="0" w:leftChars="0" w:firstLine="0" w:firstLineChars="0"/>
              <w:jc w:val="both"/>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409061A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30酸性废水源头预防</w:t>
            </w:r>
          </w:p>
        </w:tc>
        <w:tc>
          <w:tcPr>
            <w:tcW w:w="694" w:type="dxa"/>
            <w:noWrap w:val="0"/>
            <w:tcMar>
              <w:top w:w="12" w:type="dxa"/>
              <w:left w:w="12" w:type="dxa"/>
              <w:right w:w="12" w:type="dxa"/>
            </w:tcMar>
            <w:vAlign w:val="center"/>
          </w:tcPr>
          <w:p w14:paraId="4A0FCC1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1</w:t>
            </w:r>
          </w:p>
        </w:tc>
        <w:tc>
          <w:tcPr>
            <w:tcW w:w="5646" w:type="dxa"/>
            <w:noWrap w:val="0"/>
            <w:tcMar>
              <w:top w:w="12" w:type="dxa"/>
              <w:left w:w="12" w:type="dxa"/>
              <w:right w:w="12" w:type="dxa"/>
            </w:tcMar>
            <w:vAlign w:val="center"/>
          </w:tcPr>
          <w:p w14:paraId="0A9BDCFC">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eastAsia="仿宋_GB2312"/>
                <w:color w:val="000000"/>
                <w:kern w:val="0"/>
                <w:sz w:val="21"/>
                <w:szCs w:val="21"/>
                <w:lang w:val="en-US" w:eastAsia="zh-CN" w:bidi="ar"/>
              </w:rPr>
            </w:pPr>
            <w:r>
              <w:rPr>
                <w:rFonts w:hint="eastAsia" w:eastAsia="仿宋_GB2312"/>
                <w:color w:val="000000"/>
                <w:kern w:val="0"/>
                <w:sz w:val="21"/>
                <w:szCs w:val="21"/>
                <w:lang w:val="en-US" w:eastAsia="zh-CN" w:bidi="ar"/>
              </w:rPr>
              <w:t>评估预测矿山关闭酸性废水产生量及对周边环境影响，在开采和闭矿前综合采用雨水导排、补给控制、矿山回填等措施，预防酸性废水大量产生。</w:t>
            </w:r>
            <w:r>
              <w:rPr>
                <w:rFonts w:eastAsia="仿宋_GB2312"/>
                <w:color w:val="000000"/>
                <w:kern w:val="0"/>
                <w:sz w:val="21"/>
                <w:szCs w:val="21"/>
                <w:lang w:val="en-US" w:eastAsia="zh-CN" w:bidi="ar"/>
              </w:rPr>
              <w:t>符合要求得</w:t>
            </w:r>
            <w:r>
              <w:rPr>
                <w:rFonts w:hint="eastAsia" w:eastAsia="仿宋_GB2312"/>
                <w:color w:val="000000"/>
                <w:kern w:val="0"/>
                <w:sz w:val="21"/>
                <w:szCs w:val="21"/>
                <w:lang w:val="en-US" w:eastAsia="zh-CN" w:bidi="ar"/>
              </w:rPr>
              <w:t>1</w:t>
            </w:r>
            <w:r>
              <w:rPr>
                <w:rFonts w:eastAsia="仿宋_GB2312"/>
                <w:color w:val="000000"/>
                <w:kern w:val="0"/>
                <w:sz w:val="21"/>
                <w:szCs w:val="21"/>
                <w:lang w:val="en-US" w:eastAsia="zh-CN" w:bidi="ar"/>
              </w:rPr>
              <w:t>分，不符合得0分。</w:t>
            </w:r>
          </w:p>
        </w:tc>
        <w:tc>
          <w:tcPr>
            <w:tcW w:w="866" w:type="dxa"/>
            <w:noWrap w:val="0"/>
            <w:tcMar>
              <w:top w:w="12" w:type="dxa"/>
              <w:left w:w="12" w:type="dxa"/>
              <w:right w:w="12" w:type="dxa"/>
            </w:tcMar>
            <w:vAlign w:val="center"/>
          </w:tcPr>
          <w:p w14:paraId="5F2FB85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查资料、查现场</w:t>
            </w:r>
          </w:p>
        </w:tc>
        <w:tc>
          <w:tcPr>
            <w:tcW w:w="2640" w:type="dxa"/>
            <w:noWrap w:val="0"/>
            <w:tcMar>
              <w:top w:w="12" w:type="dxa"/>
              <w:left w:w="12" w:type="dxa"/>
              <w:right w:w="12" w:type="dxa"/>
            </w:tcMar>
            <w:vAlign w:val="center"/>
          </w:tcPr>
          <w:p w14:paraId="6F4FB773">
            <w:pPr>
              <w:keepNext w:val="0"/>
              <w:keepLines w:val="0"/>
              <w:pageBreakBefore w:val="0"/>
              <w:widowControl w:val="0"/>
              <w:kinsoku/>
              <w:wordWrap/>
              <w:overflowPunct/>
              <w:topLinePunct w:val="0"/>
              <w:autoSpaceDE/>
              <w:autoSpaceDN/>
              <w:bidi w:val="0"/>
              <w:adjustRightInd w:val="0"/>
              <w:snapToGrid w:val="0"/>
              <w:spacing w:line="240" w:lineRule="exact"/>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
              </w:rPr>
              <w:t>《水污染防治法》</w:t>
            </w:r>
          </w:p>
        </w:tc>
        <w:tc>
          <w:tcPr>
            <w:tcW w:w="915" w:type="dxa"/>
            <w:noWrap w:val="0"/>
            <w:tcMar>
              <w:top w:w="12" w:type="dxa"/>
              <w:left w:w="12" w:type="dxa"/>
              <w:right w:w="12" w:type="dxa"/>
            </w:tcMar>
            <w:vAlign w:val="center"/>
          </w:tcPr>
          <w:p w14:paraId="26F07E82">
            <w:pPr>
              <w:widowControl w:val="0"/>
              <w:adjustRightInd w:val="0"/>
              <w:snapToGrid w:val="0"/>
              <w:jc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约束性</w:t>
            </w:r>
          </w:p>
        </w:tc>
        <w:tc>
          <w:tcPr>
            <w:tcW w:w="915" w:type="dxa"/>
            <w:noWrap w:val="0"/>
            <w:vAlign w:val="center"/>
          </w:tcPr>
          <w:p w14:paraId="12570DD2">
            <w:pPr>
              <w:widowControl/>
              <w:adjustRightInd w:val="0"/>
              <w:snapToGrid w:val="0"/>
              <w:jc w:val="left"/>
              <w:textAlignment w:val="center"/>
              <w:rPr>
                <w:rFonts w:eastAsia="仿宋_GB2312"/>
                <w:color w:val="000000"/>
                <w:kern w:val="0"/>
                <w:sz w:val="21"/>
                <w:szCs w:val="21"/>
                <w:lang w:val="en-US" w:eastAsia="zh-CN" w:bidi="ar-SA"/>
              </w:rPr>
            </w:pPr>
          </w:p>
        </w:tc>
        <w:tc>
          <w:tcPr>
            <w:tcW w:w="501" w:type="dxa"/>
            <w:noWrap w:val="0"/>
            <w:vAlign w:val="center"/>
          </w:tcPr>
          <w:p w14:paraId="53C30F20">
            <w:pPr>
              <w:widowControl w:val="0"/>
              <w:adjustRightInd w:val="0"/>
              <w:snapToGrid w:val="0"/>
              <w:jc w:val="center"/>
              <w:rPr>
                <w:rFonts w:eastAsia="仿宋_GB2312"/>
                <w:color w:val="000000"/>
                <w:kern w:val="0"/>
                <w:sz w:val="18"/>
                <w:szCs w:val="18"/>
                <w:lang w:val="en-US" w:eastAsia="zh-CN" w:bidi="ar-SA"/>
              </w:rPr>
            </w:pPr>
          </w:p>
        </w:tc>
      </w:tr>
      <w:tr w14:paraId="7B6D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4" w:type="dxa"/>
            <w:vMerge w:val="continue"/>
            <w:noWrap w:val="0"/>
            <w:tcMar>
              <w:top w:w="12" w:type="dxa"/>
              <w:left w:w="12" w:type="dxa"/>
              <w:right w:w="12" w:type="dxa"/>
            </w:tcMar>
            <w:vAlign w:val="center"/>
          </w:tcPr>
          <w:p w14:paraId="3592E547">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222DEA6B">
            <w:pPr>
              <w:widowControl/>
              <w:adjustRightInd w:val="0"/>
              <w:snapToGrid w:val="0"/>
              <w:jc w:val="center"/>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252AC4B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31</w:t>
            </w:r>
            <w:r>
              <w:rPr>
                <w:rFonts w:eastAsia="仿宋_GB2312"/>
                <w:color w:val="000000"/>
                <w:kern w:val="0"/>
                <w:sz w:val="21"/>
                <w:szCs w:val="21"/>
                <w:lang w:val="en-US" w:eastAsia="zh-CN" w:bidi="ar-SA"/>
              </w:rPr>
              <w:t>土壤污染源头预防</w:t>
            </w:r>
          </w:p>
        </w:tc>
        <w:tc>
          <w:tcPr>
            <w:tcW w:w="694" w:type="dxa"/>
            <w:noWrap w:val="0"/>
            <w:tcMar>
              <w:top w:w="12" w:type="dxa"/>
              <w:left w:w="12" w:type="dxa"/>
              <w:right w:w="12" w:type="dxa"/>
            </w:tcMar>
            <w:vAlign w:val="center"/>
          </w:tcPr>
          <w:p w14:paraId="6FD5B22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785D0C15">
            <w:pPr>
              <w:keepNext w:val="0"/>
              <w:keepLines w:val="0"/>
              <w:pageBreakBefore w:val="0"/>
              <w:widowControl/>
              <w:kinsoku/>
              <w:wordWrap/>
              <w:overflowPunct/>
              <w:topLinePunct w:val="0"/>
              <w:autoSpaceDE/>
              <w:autoSpaceDN/>
              <w:bidi w:val="0"/>
              <w:adjustRightInd w:val="0"/>
              <w:snapToGrid w:val="0"/>
              <w:spacing w:line="240" w:lineRule="exact"/>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矿山开采区、尾矿库等运营、管理单位应当采取防渗漏等措施，并建设地下水水质监测井进行监测；</w:t>
            </w:r>
            <w:r>
              <w:rPr>
                <w:rFonts w:hint="eastAsia" w:eastAsia="仿宋_GB2312"/>
                <w:color w:val="000000"/>
                <w:kern w:val="0"/>
                <w:sz w:val="21"/>
                <w:szCs w:val="21"/>
                <w:lang w:val="en-US" w:eastAsia="zh-CN" w:bidi="ar"/>
              </w:rPr>
              <w:t>建设涉及有毒有害物质的设施设备，应设计、建设和安装有关防腐蚀、防泄漏设施和泄漏监测装置，防止有毒有害物质污染土壤和地下水；构筑物及场地防渗要求符合相关标准的规定。</w:t>
            </w:r>
            <w:r>
              <w:rPr>
                <w:rFonts w:eastAsia="仿宋_GB2312"/>
                <w:color w:val="000000"/>
                <w:kern w:val="0"/>
                <w:sz w:val="21"/>
                <w:szCs w:val="21"/>
                <w:lang w:val="en-US" w:eastAsia="zh-CN" w:bidi="ar"/>
              </w:rPr>
              <w:t>符合要求得</w:t>
            </w:r>
            <w:r>
              <w:rPr>
                <w:rFonts w:hint="eastAsia" w:eastAsia="仿宋_GB2312"/>
                <w:color w:val="000000"/>
                <w:kern w:val="0"/>
                <w:sz w:val="21"/>
                <w:szCs w:val="21"/>
                <w:lang w:val="en-US" w:eastAsia="zh-CN" w:bidi="ar"/>
              </w:rPr>
              <w:t>2</w:t>
            </w:r>
            <w:r>
              <w:rPr>
                <w:rFonts w:eastAsia="仿宋_GB2312"/>
                <w:color w:val="000000"/>
                <w:kern w:val="0"/>
                <w:sz w:val="21"/>
                <w:szCs w:val="21"/>
                <w:lang w:val="en-US" w:eastAsia="zh-CN" w:bidi="ar"/>
              </w:rPr>
              <w:t>分，不符合得0分。</w:t>
            </w:r>
          </w:p>
        </w:tc>
        <w:tc>
          <w:tcPr>
            <w:tcW w:w="866" w:type="dxa"/>
            <w:noWrap w:val="0"/>
            <w:tcMar>
              <w:top w:w="12" w:type="dxa"/>
              <w:left w:w="12" w:type="dxa"/>
              <w:right w:w="12" w:type="dxa"/>
            </w:tcMar>
            <w:vAlign w:val="center"/>
          </w:tcPr>
          <w:p w14:paraId="30EED4B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查资料、查现场</w:t>
            </w:r>
          </w:p>
        </w:tc>
        <w:tc>
          <w:tcPr>
            <w:tcW w:w="2640" w:type="dxa"/>
            <w:noWrap w:val="0"/>
            <w:tcMar>
              <w:top w:w="12" w:type="dxa"/>
              <w:left w:w="12" w:type="dxa"/>
              <w:right w:w="12" w:type="dxa"/>
            </w:tcMar>
            <w:vAlign w:val="center"/>
          </w:tcPr>
          <w:p w14:paraId="7801A42C">
            <w:pPr>
              <w:keepNext w:val="0"/>
              <w:keepLines w:val="0"/>
              <w:pageBreakBefore w:val="0"/>
              <w:widowControl w:val="0"/>
              <w:kinsoku/>
              <w:wordWrap/>
              <w:overflowPunct/>
              <w:topLinePunct w:val="0"/>
              <w:autoSpaceDE/>
              <w:autoSpaceDN/>
              <w:bidi w:val="0"/>
              <w:adjustRightInd w:val="0"/>
              <w:snapToGrid w:val="0"/>
              <w:spacing w:line="240" w:lineRule="exact"/>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《水污染防治法》《工矿用地</w:t>
            </w:r>
            <w:r>
              <w:rPr>
                <w:rFonts w:hint="eastAsia" w:eastAsia="仿宋_GB2312"/>
                <w:color w:val="000000"/>
                <w:kern w:val="0"/>
                <w:sz w:val="21"/>
                <w:szCs w:val="21"/>
                <w:lang w:val="en-US" w:eastAsia="zh-CN" w:bidi="ar-SA"/>
              </w:rPr>
              <w:t>土壤环境</w:t>
            </w:r>
            <w:r>
              <w:rPr>
                <w:rFonts w:eastAsia="仿宋_GB2312"/>
                <w:color w:val="000000"/>
                <w:kern w:val="0"/>
                <w:sz w:val="21"/>
                <w:szCs w:val="21"/>
                <w:lang w:val="en-US" w:eastAsia="zh-CN" w:bidi="ar-SA"/>
              </w:rPr>
              <w:t>管理办法</w:t>
            </w:r>
            <w:r>
              <w:rPr>
                <w:rFonts w:hint="eastAsia" w:eastAsia="仿宋_GB2312"/>
                <w:color w:val="000000"/>
                <w:kern w:val="0"/>
                <w:sz w:val="21"/>
                <w:szCs w:val="21"/>
                <w:lang w:val="en-US" w:eastAsia="zh-CN" w:bidi="ar-SA"/>
              </w:rPr>
              <w:t>（试行）</w:t>
            </w:r>
            <w:r>
              <w:rPr>
                <w:rFonts w:eastAsia="仿宋_GB2312"/>
                <w:color w:val="000000"/>
                <w:kern w:val="0"/>
                <w:sz w:val="21"/>
                <w:szCs w:val="21"/>
                <w:lang w:val="en-US" w:eastAsia="zh-CN" w:bidi="ar-SA"/>
              </w:rPr>
              <w:t>》《一般工业固体废物贮存和填埋污染控制标准》</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GB 18599</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《尾矿库设计规范》（GB 50863）、《有色金属工业环境保护工程设计规范》（GB 50988）、《危险废物贮存污染控制标准》（GB 18597）、《危险废物填埋污染控制标准》（GB 18598）</w:t>
            </w:r>
          </w:p>
        </w:tc>
        <w:tc>
          <w:tcPr>
            <w:tcW w:w="915" w:type="dxa"/>
            <w:noWrap w:val="0"/>
            <w:tcMar>
              <w:top w:w="12" w:type="dxa"/>
              <w:left w:w="12" w:type="dxa"/>
              <w:right w:w="12" w:type="dxa"/>
            </w:tcMar>
            <w:vAlign w:val="center"/>
          </w:tcPr>
          <w:p w14:paraId="4A426819">
            <w:pPr>
              <w:widowControl w:val="0"/>
              <w:adjustRightInd w:val="0"/>
              <w:snapToGrid w:val="0"/>
              <w:jc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约束性</w:t>
            </w:r>
          </w:p>
        </w:tc>
        <w:tc>
          <w:tcPr>
            <w:tcW w:w="915" w:type="dxa"/>
            <w:noWrap w:val="0"/>
            <w:vAlign w:val="center"/>
          </w:tcPr>
          <w:p w14:paraId="28A77653">
            <w:pPr>
              <w:widowControl/>
              <w:adjustRightInd w:val="0"/>
              <w:snapToGrid w:val="0"/>
              <w:jc w:val="left"/>
              <w:textAlignment w:val="center"/>
              <w:rPr>
                <w:rFonts w:eastAsia="仿宋_GB2312"/>
                <w:color w:val="000000"/>
                <w:kern w:val="0"/>
                <w:sz w:val="21"/>
                <w:szCs w:val="21"/>
                <w:lang w:val="en-US" w:eastAsia="zh-CN" w:bidi="ar-SA"/>
              </w:rPr>
            </w:pPr>
          </w:p>
        </w:tc>
        <w:tc>
          <w:tcPr>
            <w:tcW w:w="501" w:type="dxa"/>
            <w:noWrap w:val="0"/>
            <w:vAlign w:val="center"/>
          </w:tcPr>
          <w:p w14:paraId="7AD472A8">
            <w:pPr>
              <w:widowControl w:val="0"/>
              <w:adjustRightInd w:val="0"/>
              <w:snapToGrid w:val="0"/>
              <w:jc w:val="center"/>
              <w:rPr>
                <w:rFonts w:eastAsia="仿宋_GB2312"/>
                <w:color w:val="000000"/>
                <w:kern w:val="0"/>
                <w:sz w:val="18"/>
                <w:szCs w:val="18"/>
                <w:lang w:val="en-US" w:eastAsia="zh-CN" w:bidi="ar-SA"/>
              </w:rPr>
            </w:pPr>
          </w:p>
        </w:tc>
      </w:tr>
      <w:tr w14:paraId="1F27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4" w:type="dxa"/>
            <w:vMerge w:val="continue"/>
            <w:noWrap w:val="0"/>
            <w:tcMar>
              <w:top w:w="12" w:type="dxa"/>
              <w:left w:w="12" w:type="dxa"/>
              <w:right w:w="12" w:type="dxa"/>
            </w:tcMar>
            <w:vAlign w:val="center"/>
          </w:tcPr>
          <w:p w14:paraId="24576C17">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26D6F0BD">
            <w:pPr>
              <w:widowControl/>
              <w:adjustRightInd w:val="0"/>
              <w:snapToGrid w:val="0"/>
              <w:jc w:val="center"/>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12ADDD87">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32</w:t>
            </w:r>
            <w:r>
              <w:rPr>
                <w:rFonts w:eastAsia="仿宋_GB2312"/>
                <w:color w:val="000000"/>
                <w:kern w:val="0"/>
                <w:sz w:val="21"/>
                <w:szCs w:val="21"/>
                <w:lang w:val="en-US" w:eastAsia="zh-CN" w:bidi="ar-SA"/>
              </w:rPr>
              <w:t>土壤污染隐患排查</w:t>
            </w:r>
          </w:p>
        </w:tc>
        <w:tc>
          <w:tcPr>
            <w:tcW w:w="694" w:type="dxa"/>
            <w:noWrap w:val="0"/>
            <w:tcMar>
              <w:top w:w="12" w:type="dxa"/>
              <w:left w:w="12" w:type="dxa"/>
              <w:right w:w="12" w:type="dxa"/>
            </w:tcMar>
            <w:vAlign w:val="center"/>
          </w:tcPr>
          <w:p w14:paraId="257C617C">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1</w:t>
            </w:r>
          </w:p>
        </w:tc>
        <w:tc>
          <w:tcPr>
            <w:tcW w:w="5646" w:type="dxa"/>
            <w:noWrap w:val="0"/>
            <w:tcMar>
              <w:top w:w="12" w:type="dxa"/>
              <w:left w:w="12" w:type="dxa"/>
              <w:right w:w="12" w:type="dxa"/>
            </w:tcMar>
            <w:vAlign w:val="center"/>
          </w:tcPr>
          <w:p w14:paraId="78D6CBE5">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列入土壤污染重点监管单位的企业，应定期对重点区域、重点设施设备开展隐患排查；开展土壤和地下水自行监测；严格控制有毒有害物质排放，并按年度向生态环境主管部门报告排放情况。符合要求得</w:t>
            </w:r>
            <w:r>
              <w:rPr>
                <w:rFonts w:hint="eastAsia" w:eastAsia="仿宋_GB2312"/>
                <w:color w:val="000000"/>
                <w:kern w:val="0"/>
                <w:sz w:val="21"/>
                <w:szCs w:val="21"/>
                <w:lang w:val="en-US" w:eastAsia="zh-CN" w:bidi="ar"/>
              </w:rPr>
              <w:t>1</w:t>
            </w:r>
            <w:r>
              <w:rPr>
                <w:rFonts w:eastAsia="仿宋_GB2312"/>
                <w:color w:val="000000"/>
                <w:kern w:val="0"/>
                <w:sz w:val="21"/>
                <w:szCs w:val="21"/>
                <w:lang w:val="en-US" w:eastAsia="zh-CN" w:bidi="ar"/>
              </w:rPr>
              <w:t>分，不符合得</w:t>
            </w:r>
            <w:r>
              <w:rPr>
                <w:rFonts w:hint="eastAsia" w:eastAsia="仿宋_GB2312"/>
                <w:color w:val="000000"/>
                <w:kern w:val="0"/>
                <w:sz w:val="21"/>
                <w:szCs w:val="21"/>
                <w:lang w:val="en-US" w:eastAsia="zh-CN" w:bidi="ar"/>
              </w:rPr>
              <w:t>0</w:t>
            </w:r>
            <w:r>
              <w:rPr>
                <w:rFonts w:eastAsia="仿宋_GB2312"/>
                <w:color w:val="000000"/>
                <w:kern w:val="0"/>
                <w:sz w:val="21"/>
                <w:szCs w:val="21"/>
                <w:lang w:val="en-US" w:eastAsia="zh-CN" w:bidi="ar"/>
              </w:rPr>
              <w:t>分（未列入土壤污染重点监管单位的企业本项直接得分）</w:t>
            </w:r>
          </w:p>
        </w:tc>
        <w:tc>
          <w:tcPr>
            <w:tcW w:w="866" w:type="dxa"/>
            <w:noWrap w:val="0"/>
            <w:tcMar>
              <w:top w:w="12" w:type="dxa"/>
              <w:left w:w="12" w:type="dxa"/>
              <w:right w:w="12" w:type="dxa"/>
            </w:tcMar>
            <w:vAlign w:val="center"/>
          </w:tcPr>
          <w:p w14:paraId="7ED455ED">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查资料、查现场</w:t>
            </w:r>
          </w:p>
        </w:tc>
        <w:tc>
          <w:tcPr>
            <w:tcW w:w="2640" w:type="dxa"/>
            <w:noWrap w:val="0"/>
            <w:tcMar>
              <w:top w:w="12" w:type="dxa"/>
              <w:left w:w="12" w:type="dxa"/>
              <w:right w:w="12" w:type="dxa"/>
            </w:tcMar>
            <w:vAlign w:val="center"/>
          </w:tcPr>
          <w:p w14:paraId="2C2DB3F5">
            <w:pPr>
              <w:widowControl w:val="0"/>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《土壤污染防治法》《重点监管单位土壤污染隐患排查指南（试行）》（生态环境部〔2021〕1号公告）、《工业企业土壤和地下水自行监测技术指南（试行）》（HJ 1209）</w:t>
            </w:r>
          </w:p>
        </w:tc>
        <w:tc>
          <w:tcPr>
            <w:tcW w:w="915" w:type="dxa"/>
            <w:noWrap w:val="0"/>
            <w:tcMar>
              <w:top w:w="12" w:type="dxa"/>
              <w:left w:w="12" w:type="dxa"/>
              <w:right w:w="12" w:type="dxa"/>
            </w:tcMar>
            <w:vAlign w:val="center"/>
          </w:tcPr>
          <w:p w14:paraId="5D2FA037">
            <w:pPr>
              <w:widowControl w:val="0"/>
              <w:adjustRightInd w:val="0"/>
              <w:snapToGrid w:val="0"/>
              <w:jc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约束性</w:t>
            </w:r>
          </w:p>
        </w:tc>
        <w:tc>
          <w:tcPr>
            <w:tcW w:w="915" w:type="dxa"/>
            <w:noWrap w:val="0"/>
            <w:vAlign w:val="center"/>
          </w:tcPr>
          <w:p w14:paraId="49AA83C8">
            <w:pPr>
              <w:widowControl/>
              <w:adjustRightInd w:val="0"/>
              <w:snapToGrid w:val="0"/>
              <w:jc w:val="left"/>
              <w:textAlignment w:val="center"/>
              <w:rPr>
                <w:rFonts w:eastAsia="仿宋_GB2312"/>
                <w:color w:val="000000"/>
                <w:kern w:val="0"/>
                <w:sz w:val="21"/>
                <w:szCs w:val="21"/>
                <w:lang w:val="en-US" w:eastAsia="zh-CN" w:bidi="ar-SA"/>
              </w:rPr>
            </w:pPr>
          </w:p>
        </w:tc>
        <w:tc>
          <w:tcPr>
            <w:tcW w:w="501" w:type="dxa"/>
            <w:noWrap w:val="0"/>
            <w:vAlign w:val="center"/>
          </w:tcPr>
          <w:p w14:paraId="6DF73038">
            <w:pPr>
              <w:widowControl w:val="0"/>
              <w:adjustRightInd w:val="0"/>
              <w:snapToGrid w:val="0"/>
              <w:jc w:val="center"/>
              <w:rPr>
                <w:rFonts w:eastAsia="仿宋_GB2312"/>
                <w:color w:val="000000"/>
                <w:kern w:val="0"/>
                <w:sz w:val="18"/>
                <w:szCs w:val="18"/>
                <w:lang w:val="en-US" w:eastAsia="zh-CN" w:bidi="ar-SA"/>
              </w:rPr>
            </w:pPr>
          </w:p>
        </w:tc>
      </w:tr>
      <w:tr w14:paraId="4C29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4" w:type="dxa"/>
            <w:vMerge w:val="continue"/>
            <w:noWrap w:val="0"/>
            <w:tcMar>
              <w:top w:w="12" w:type="dxa"/>
              <w:left w:w="12" w:type="dxa"/>
              <w:right w:w="12" w:type="dxa"/>
            </w:tcMar>
            <w:vAlign w:val="center"/>
          </w:tcPr>
          <w:p w14:paraId="74B90B9B">
            <w:pPr>
              <w:widowControl w:val="0"/>
              <w:adjustRightInd w:val="0"/>
              <w:snapToGrid w:val="0"/>
              <w:jc w:val="center"/>
              <w:rPr>
                <w:rFonts w:eastAsia="仿宋_GB2312"/>
                <w:color w:val="000000"/>
                <w:kern w:val="0"/>
                <w:sz w:val="21"/>
                <w:szCs w:val="21"/>
                <w:lang w:val="en-US" w:eastAsia="zh-CN" w:bidi="ar-SA"/>
              </w:rPr>
            </w:pPr>
          </w:p>
        </w:tc>
        <w:tc>
          <w:tcPr>
            <w:tcW w:w="1050" w:type="dxa"/>
            <w:vMerge w:val="restart"/>
            <w:noWrap w:val="0"/>
            <w:tcMar>
              <w:top w:w="12" w:type="dxa"/>
              <w:left w:w="12" w:type="dxa"/>
              <w:right w:w="12" w:type="dxa"/>
            </w:tcMar>
            <w:vAlign w:val="center"/>
          </w:tcPr>
          <w:p w14:paraId="171D48D4">
            <w:pPr>
              <w:widowControl/>
              <w:adjustRightInd w:val="0"/>
              <w:snapToGrid w:val="0"/>
              <w:jc w:val="center"/>
              <w:textAlignment w:val="center"/>
              <w:rPr>
                <w:rFonts w:eastAsia="仿宋_GB2312"/>
                <w:color w:val="000000"/>
                <w:kern w:val="0"/>
                <w:sz w:val="21"/>
                <w:szCs w:val="21"/>
                <w:lang w:val="en-US" w:eastAsia="zh-CN" w:bidi="ar"/>
              </w:rPr>
            </w:pPr>
            <w:r>
              <w:rPr>
                <w:rFonts w:hint="eastAsia" w:eastAsia="仿宋_GB2312"/>
                <w:color w:val="000000"/>
                <w:kern w:val="0"/>
                <w:sz w:val="21"/>
                <w:szCs w:val="21"/>
                <w:lang w:val="en-US" w:eastAsia="zh-CN" w:bidi="ar"/>
              </w:rPr>
              <w:t>5</w:t>
            </w:r>
            <w:r>
              <w:rPr>
                <w:rFonts w:eastAsia="仿宋_GB2312"/>
                <w:color w:val="000000"/>
                <w:kern w:val="0"/>
                <w:sz w:val="21"/>
                <w:szCs w:val="21"/>
                <w:lang w:val="en-US" w:eastAsia="zh-CN" w:bidi="ar"/>
              </w:rPr>
              <w:t>废物排放（</w:t>
            </w:r>
            <w:r>
              <w:rPr>
                <w:rFonts w:hint="eastAsia" w:eastAsia="仿宋_GB2312"/>
                <w:color w:val="000000"/>
                <w:kern w:val="0"/>
                <w:sz w:val="21"/>
                <w:szCs w:val="21"/>
                <w:lang w:val="en-US" w:eastAsia="zh-CN" w:bidi="ar"/>
              </w:rPr>
              <w:t>8</w:t>
            </w:r>
            <w:r>
              <w:rPr>
                <w:rFonts w:eastAsia="仿宋_GB2312"/>
                <w:color w:val="000000"/>
                <w:kern w:val="0"/>
                <w:sz w:val="21"/>
                <w:szCs w:val="21"/>
                <w:lang w:val="en-US" w:eastAsia="zh-CN" w:bidi="ar"/>
              </w:rPr>
              <w:t>分）</w:t>
            </w:r>
          </w:p>
        </w:tc>
        <w:tc>
          <w:tcPr>
            <w:tcW w:w="771" w:type="dxa"/>
            <w:gridSpan w:val="2"/>
            <w:noWrap w:val="0"/>
            <w:tcMar>
              <w:top w:w="12" w:type="dxa"/>
              <w:left w:w="12" w:type="dxa"/>
              <w:right w:w="12" w:type="dxa"/>
            </w:tcMar>
            <w:vAlign w:val="center"/>
          </w:tcPr>
          <w:p w14:paraId="17336183">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33</w:t>
            </w:r>
            <w:r>
              <w:rPr>
                <w:rFonts w:eastAsia="仿宋_GB2312"/>
                <w:color w:val="000000"/>
                <w:kern w:val="0"/>
                <w:sz w:val="21"/>
                <w:szCs w:val="21"/>
                <w:lang w:val="en-US" w:eastAsia="zh-CN" w:bidi="ar-SA"/>
              </w:rPr>
              <w:t>固废排放</w:t>
            </w:r>
          </w:p>
        </w:tc>
        <w:tc>
          <w:tcPr>
            <w:tcW w:w="694" w:type="dxa"/>
            <w:noWrap w:val="0"/>
            <w:tcMar>
              <w:top w:w="12" w:type="dxa"/>
              <w:left w:w="12" w:type="dxa"/>
              <w:right w:w="12" w:type="dxa"/>
            </w:tcMar>
            <w:vAlign w:val="center"/>
          </w:tcPr>
          <w:p w14:paraId="7EE05CF0">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53ADE93B">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对无法实现综合利用的固体废弃物，划分危险废物、一般废物和生活垃圾不同类别，实现分级分类，堆场、尾矿库污染防治设施符合相关法规标准要求</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并按照国家法律和标准，自行</w:t>
            </w:r>
            <w:r>
              <w:rPr>
                <w:rFonts w:hint="eastAsia" w:eastAsia="仿宋_GB2312"/>
                <w:color w:val="000000"/>
                <w:kern w:val="0"/>
                <w:sz w:val="21"/>
                <w:szCs w:val="21"/>
                <w:lang w:val="en-US" w:eastAsia="zh-CN" w:bidi="ar"/>
              </w:rPr>
              <w:t>或委托第三方</w:t>
            </w:r>
            <w:r>
              <w:rPr>
                <w:rFonts w:eastAsia="仿宋_GB2312"/>
                <w:color w:val="000000"/>
                <w:kern w:val="0"/>
                <w:sz w:val="21"/>
                <w:szCs w:val="21"/>
                <w:lang w:val="en-US" w:eastAsia="zh-CN" w:bidi="ar"/>
              </w:rPr>
              <w:t>对</w:t>
            </w:r>
            <w:r>
              <w:rPr>
                <w:rFonts w:hint="eastAsia" w:eastAsia="仿宋_GB2312"/>
                <w:color w:val="000000"/>
                <w:kern w:val="0"/>
                <w:sz w:val="21"/>
                <w:szCs w:val="21"/>
                <w:lang w:val="en-US" w:eastAsia="zh-CN" w:bidi="ar"/>
              </w:rPr>
              <w:t>一般</w:t>
            </w:r>
            <w:r>
              <w:rPr>
                <w:rFonts w:eastAsia="仿宋_GB2312"/>
                <w:color w:val="000000"/>
                <w:kern w:val="0"/>
                <w:sz w:val="21"/>
                <w:szCs w:val="21"/>
                <w:lang w:val="en-US" w:eastAsia="zh-CN" w:bidi="ar"/>
              </w:rPr>
              <w:t>固体废弃物进行处置，委托第三方有资质的单位</w:t>
            </w:r>
            <w:r>
              <w:rPr>
                <w:rFonts w:hint="eastAsia" w:eastAsia="仿宋_GB2312"/>
                <w:color w:val="000000"/>
                <w:kern w:val="0"/>
                <w:sz w:val="21"/>
                <w:szCs w:val="21"/>
                <w:lang w:val="en-US" w:eastAsia="zh-CN" w:bidi="ar"/>
              </w:rPr>
              <w:t>对危险废物</w:t>
            </w:r>
            <w:r>
              <w:rPr>
                <w:rFonts w:eastAsia="仿宋_GB2312"/>
                <w:color w:val="000000"/>
                <w:kern w:val="0"/>
                <w:sz w:val="21"/>
                <w:szCs w:val="21"/>
                <w:lang w:val="en-US" w:eastAsia="zh-CN" w:bidi="ar"/>
              </w:rPr>
              <w:t>进行处置。符合要求得</w:t>
            </w:r>
            <w:r>
              <w:rPr>
                <w:rFonts w:hint="eastAsia" w:eastAsia="仿宋_GB2312"/>
                <w:color w:val="000000"/>
                <w:kern w:val="0"/>
                <w:sz w:val="21"/>
                <w:szCs w:val="21"/>
                <w:lang w:val="en-US" w:eastAsia="zh-CN" w:bidi="ar"/>
              </w:rPr>
              <w:t>2</w:t>
            </w:r>
            <w:r>
              <w:rPr>
                <w:rFonts w:eastAsia="仿宋_GB2312"/>
                <w:color w:val="000000"/>
                <w:kern w:val="0"/>
                <w:sz w:val="21"/>
                <w:szCs w:val="21"/>
                <w:lang w:val="en-US" w:eastAsia="zh-CN" w:bidi="ar"/>
              </w:rPr>
              <w:t>分，不符合得0分。</w:t>
            </w:r>
          </w:p>
        </w:tc>
        <w:tc>
          <w:tcPr>
            <w:tcW w:w="866" w:type="dxa"/>
            <w:noWrap w:val="0"/>
            <w:tcMar>
              <w:top w:w="12" w:type="dxa"/>
              <w:left w:w="12" w:type="dxa"/>
              <w:right w:w="12" w:type="dxa"/>
            </w:tcMar>
            <w:vAlign w:val="center"/>
          </w:tcPr>
          <w:p w14:paraId="2F82170B">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006C7729">
            <w:pPr>
              <w:keepNext w:val="0"/>
              <w:keepLines w:val="0"/>
              <w:pageBreakBefore w:val="0"/>
              <w:widowControl/>
              <w:kinsoku/>
              <w:wordWrap/>
              <w:overflowPunct/>
              <w:topLinePunct w:val="0"/>
              <w:autoSpaceDE/>
              <w:autoSpaceDN/>
              <w:bidi w:val="0"/>
              <w:adjustRightInd w:val="0"/>
              <w:snapToGrid w:val="0"/>
              <w:spacing w:line="260" w:lineRule="exact"/>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《中华人民共和国固体废物污染环境防治法》《一般工业固体废物贮存、处置场污染控制标准》</w:t>
            </w:r>
            <w:r>
              <w:rPr>
                <w:rFonts w:hint="eastAsia" w:ascii="Calibri" w:hAnsi="Calibri" w:eastAsia="仿宋_GB2312"/>
                <w:color w:val="000000"/>
                <w:kern w:val="0"/>
                <w:sz w:val="21"/>
                <w:szCs w:val="21"/>
                <w:lang w:val="en-US" w:eastAsia="zh-CN" w:bidi="ar-SA"/>
              </w:rPr>
              <w:t>（</w:t>
            </w:r>
            <w:r>
              <w:rPr>
                <w:rFonts w:eastAsia="仿宋_GB2312"/>
                <w:color w:val="000000"/>
                <w:kern w:val="0"/>
                <w:sz w:val="21"/>
                <w:szCs w:val="21"/>
                <w:lang w:val="en-US" w:eastAsia="zh-CN" w:bidi="ar-SA"/>
              </w:rPr>
              <w:t>GB 18599</w:t>
            </w:r>
            <w:r>
              <w:rPr>
                <w:rFonts w:hint="eastAsia" w:ascii="Calibri" w:hAnsi="Calibri" w:eastAsia="仿宋_GB2312"/>
                <w:color w:val="000000"/>
                <w:kern w:val="0"/>
                <w:sz w:val="21"/>
                <w:szCs w:val="21"/>
                <w:lang w:val="en-US" w:eastAsia="zh-CN" w:bidi="ar-SA"/>
              </w:rPr>
              <w:t>）</w:t>
            </w:r>
            <w:r>
              <w:rPr>
                <w:rFonts w:eastAsia="仿宋_GB2312"/>
                <w:color w:val="000000"/>
                <w:kern w:val="0"/>
                <w:sz w:val="21"/>
                <w:szCs w:val="21"/>
                <w:lang w:val="en-US" w:eastAsia="zh-CN" w:bidi="ar-SA"/>
              </w:rPr>
              <w:t>，危险废物焚烧、贮存、填埋污染控制标准</w:t>
            </w:r>
            <w:r>
              <w:rPr>
                <w:rFonts w:hint="eastAsia" w:ascii="Calibri" w:hAnsi="Calibri" w:eastAsia="仿宋_GB2312"/>
                <w:color w:val="000000"/>
                <w:kern w:val="0"/>
                <w:sz w:val="21"/>
                <w:szCs w:val="21"/>
                <w:lang w:val="en-US" w:eastAsia="zh-CN" w:bidi="ar-SA"/>
              </w:rPr>
              <w:t>（</w:t>
            </w:r>
            <w:r>
              <w:rPr>
                <w:rFonts w:eastAsia="仿宋_GB2312"/>
                <w:color w:val="000000"/>
                <w:kern w:val="0"/>
                <w:sz w:val="21"/>
                <w:szCs w:val="21"/>
                <w:lang w:val="en-US" w:eastAsia="zh-CN" w:bidi="ar-SA"/>
              </w:rPr>
              <w:t>GB</w:t>
            </w:r>
            <w:r>
              <w:rPr>
                <w:rFonts w:hint="eastAsia" w:eastAsia="仿宋_GB2312"/>
                <w:color w:val="000000"/>
                <w:kern w:val="0"/>
                <w:sz w:val="21"/>
                <w:szCs w:val="21"/>
                <w:lang w:val="en-US" w:eastAsia="zh-CN" w:bidi="ar-SA"/>
              </w:rPr>
              <w:t xml:space="preserve"> </w:t>
            </w:r>
            <w:r>
              <w:rPr>
                <w:rFonts w:eastAsia="仿宋_GB2312"/>
                <w:color w:val="000000"/>
                <w:kern w:val="0"/>
                <w:sz w:val="21"/>
                <w:szCs w:val="21"/>
                <w:lang w:val="en-US" w:eastAsia="zh-CN" w:bidi="ar-SA"/>
              </w:rPr>
              <w:t>18484、18597、18598</w:t>
            </w:r>
            <w:r>
              <w:rPr>
                <w:rFonts w:hint="eastAsia" w:ascii="Calibri" w:hAnsi="Calibri" w:eastAsia="仿宋_GB2312"/>
                <w:color w:val="000000"/>
                <w:kern w:val="0"/>
                <w:sz w:val="21"/>
                <w:szCs w:val="21"/>
                <w:lang w:val="en-US" w:eastAsia="zh-CN" w:bidi="ar-SA"/>
              </w:rPr>
              <w:t>）</w:t>
            </w:r>
          </w:p>
        </w:tc>
        <w:tc>
          <w:tcPr>
            <w:tcW w:w="915" w:type="dxa"/>
            <w:noWrap w:val="0"/>
            <w:tcMar>
              <w:top w:w="12" w:type="dxa"/>
              <w:left w:w="12" w:type="dxa"/>
              <w:right w:w="12" w:type="dxa"/>
            </w:tcMar>
            <w:vAlign w:val="center"/>
          </w:tcPr>
          <w:p w14:paraId="03AC9F12">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约束性</w:t>
            </w:r>
          </w:p>
        </w:tc>
        <w:tc>
          <w:tcPr>
            <w:tcW w:w="915" w:type="dxa"/>
            <w:noWrap w:val="0"/>
            <w:vAlign w:val="center"/>
          </w:tcPr>
          <w:p w14:paraId="3548C645">
            <w:pPr>
              <w:widowControl w:val="0"/>
              <w:adjustRightInd w:val="0"/>
              <w:snapToGrid w:val="0"/>
              <w:jc w:val="left"/>
              <w:rPr>
                <w:rFonts w:eastAsia="仿宋_GB2312"/>
                <w:color w:val="000000"/>
                <w:kern w:val="0"/>
                <w:sz w:val="21"/>
                <w:szCs w:val="21"/>
                <w:lang w:val="en-US" w:eastAsia="zh-CN" w:bidi="ar-SA"/>
              </w:rPr>
            </w:pPr>
          </w:p>
        </w:tc>
        <w:tc>
          <w:tcPr>
            <w:tcW w:w="501" w:type="dxa"/>
            <w:noWrap w:val="0"/>
            <w:vAlign w:val="center"/>
          </w:tcPr>
          <w:p w14:paraId="65ABA461">
            <w:pPr>
              <w:widowControl w:val="0"/>
              <w:adjustRightInd w:val="0"/>
              <w:snapToGrid w:val="0"/>
              <w:jc w:val="center"/>
              <w:rPr>
                <w:rFonts w:eastAsia="仿宋_GB2312"/>
                <w:color w:val="000000"/>
                <w:kern w:val="0"/>
                <w:sz w:val="18"/>
                <w:szCs w:val="18"/>
                <w:lang w:val="en-US" w:eastAsia="zh-CN" w:bidi="ar-SA"/>
              </w:rPr>
            </w:pPr>
          </w:p>
        </w:tc>
      </w:tr>
      <w:tr w14:paraId="62BC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9" w:hRule="atLeast"/>
          <w:jc w:val="center"/>
        </w:trPr>
        <w:tc>
          <w:tcPr>
            <w:tcW w:w="1074" w:type="dxa"/>
            <w:vMerge w:val="continue"/>
            <w:noWrap w:val="0"/>
            <w:tcMar>
              <w:top w:w="12" w:type="dxa"/>
              <w:left w:w="12" w:type="dxa"/>
              <w:right w:w="12" w:type="dxa"/>
            </w:tcMar>
            <w:vAlign w:val="center"/>
          </w:tcPr>
          <w:p w14:paraId="5A5876A0">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36E632F1">
            <w:pPr>
              <w:widowControl/>
              <w:adjustRightInd w:val="0"/>
              <w:snapToGrid w:val="0"/>
              <w:jc w:val="center"/>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78D9D6E3">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34</w:t>
            </w:r>
            <w:r>
              <w:rPr>
                <w:rFonts w:eastAsia="仿宋_GB2312"/>
                <w:color w:val="000000"/>
                <w:kern w:val="0"/>
                <w:sz w:val="21"/>
                <w:szCs w:val="21"/>
                <w:lang w:val="en-US" w:eastAsia="zh-CN" w:bidi="ar-SA"/>
              </w:rPr>
              <w:t>废水排放</w:t>
            </w:r>
          </w:p>
        </w:tc>
        <w:tc>
          <w:tcPr>
            <w:tcW w:w="694" w:type="dxa"/>
            <w:noWrap w:val="0"/>
            <w:tcMar>
              <w:top w:w="12" w:type="dxa"/>
              <w:left w:w="12" w:type="dxa"/>
              <w:right w:w="12" w:type="dxa"/>
            </w:tcMar>
            <w:vAlign w:val="center"/>
          </w:tcPr>
          <w:p w14:paraId="5E23EB95">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5C7ECA89">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清污管路分别铺设、雨水与污水管群分开设置；生活污水经处理后水质达标排放，或污水直接排入市政污水管网；工业废水经处理后水质达标排放；</w:t>
            </w:r>
            <w:r>
              <w:rPr>
                <w:rFonts w:hint="eastAsia" w:eastAsia="仿宋_GB2312"/>
                <w:color w:val="000000"/>
                <w:kern w:val="0"/>
                <w:sz w:val="21"/>
                <w:szCs w:val="21"/>
                <w:lang w:val="en-US" w:eastAsia="zh-CN" w:bidi="ar"/>
              </w:rPr>
              <w:t>尾矿库、排土场等</w:t>
            </w:r>
            <w:r>
              <w:rPr>
                <w:rFonts w:eastAsia="仿宋_GB2312"/>
                <w:color w:val="000000"/>
                <w:kern w:val="0"/>
                <w:sz w:val="21"/>
                <w:szCs w:val="21"/>
                <w:lang w:val="en-US" w:eastAsia="zh-CN" w:bidi="ar"/>
              </w:rPr>
              <w:t>建有雨水截（排）水沟，地表径流水、淋溶水等经沉淀后达标排放或处理回用。符合要求得</w:t>
            </w:r>
            <w:r>
              <w:rPr>
                <w:rFonts w:hint="eastAsia" w:eastAsia="仿宋_GB2312"/>
                <w:color w:val="000000"/>
                <w:kern w:val="0"/>
                <w:sz w:val="21"/>
                <w:szCs w:val="21"/>
                <w:lang w:val="en-US" w:eastAsia="zh-CN" w:bidi="ar"/>
              </w:rPr>
              <w:t>2</w:t>
            </w:r>
            <w:r>
              <w:rPr>
                <w:rFonts w:eastAsia="仿宋_GB2312"/>
                <w:color w:val="000000"/>
                <w:kern w:val="0"/>
                <w:sz w:val="21"/>
                <w:szCs w:val="21"/>
                <w:lang w:val="en-US" w:eastAsia="zh-CN" w:bidi="ar"/>
              </w:rPr>
              <w:t>分，不符合得0分。</w:t>
            </w:r>
          </w:p>
        </w:tc>
        <w:tc>
          <w:tcPr>
            <w:tcW w:w="866" w:type="dxa"/>
            <w:noWrap w:val="0"/>
            <w:tcMar>
              <w:top w:w="12" w:type="dxa"/>
              <w:left w:w="12" w:type="dxa"/>
              <w:right w:w="12" w:type="dxa"/>
            </w:tcMar>
            <w:vAlign w:val="center"/>
          </w:tcPr>
          <w:p w14:paraId="4B534CA1">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3E43D656">
            <w:pPr>
              <w:keepNext w:val="0"/>
              <w:keepLines w:val="0"/>
              <w:pageBreakBefore w:val="0"/>
              <w:widowControl/>
              <w:kinsoku/>
              <w:wordWrap/>
              <w:overflowPunct/>
              <w:topLinePunct w:val="0"/>
              <w:autoSpaceDE/>
              <w:autoSpaceDN/>
              <w:bidi w:val="0"/>
              <w:adjustRightInd w:val="0"/>
              <w:snapToGrid w:val="0"/>
              <w:spacing w:line="260" w:lineRule="exact"/>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国家水污染物排放标准（GB 8978、GB 20426、GB 25465、GB 25466、GB 25467、GB 25468、GB 26451、GB 28661、GB 30770等）以及所在省（自治区、直辖市）人民政府发布实施的地方水污染物排放标准</w:t>
            </w:r>
          </w:p>
        </w:tc>
        <w:tc>
          <w:tcPr>
            <w:tcW w:w="915" w:type="dxa"/>
            <w:noWrap w:val="0"/>
            <w:tcMar>
              <w:top w:w="12" w:type="dxa"/>
              <w:left w:w="12" w:type="dxa"/>
              <w:right w:w="12" w:type="dxa"/>
            </w:tcMar>
            <w:vAlign w:val="center"/>
          </w:tcPr>
          <w:p w14:paraId="5EB32564">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约束性</w:t>
            </w:r>
          </w:p>
        </w:tc>
        <w:tc>
          <w:tcPr>
            <w:tcW w:w="915" w:type="dxa"/>
            <w:noWrap w:val="0"/>
            <w:vAlign w:val="center"/>
          </w:tcPr>
          <w:p w14:paraId="7F26077F">
            <w:pPr>
              <w:widowControl/>
              <w:adjustRightInd w:val="0"/>
              <w:snapToGrid w:val="0"/>
              <w:jc w:val="left"/>
              <w:textAlignment w:val="center"/>
              <w:rPr>
                <w:rFonts w:eastAsia="仿宋_GB2312"/>
                <w:color w:val="000000"/>
                <w:kern w:val="0"/>
                <w:sz w:val="21"/>
                <w:szCs w:val="21"/>
                <w:lang w:val="en-US" w:eastAsia="zh-CN" w:bidi="ar-SA"/>
              </w:rPr>
            </w:pPr>
          </w:p>
        </w:tc>
        <w:tc>
          <w:tcPr>
            <w:tcW w:w="501" w:type="dxa"/>
            <w:noWrap w:val="0"/>
            <w:vAlign w:val="center"/>
          </w:tcPr>
          <w:p w14:paraId="50F0E242">
            <w:pPr>
              <w:widowControl w:val="0"/>
              <w:adjustRightInd w:val="0"/>
              <w:snapToGrid w:val="0"/>
              <w:jc w:val="center"/>
              <w:rPr>
                <w:rFonts w:eastAsia="仿宋_GB2312"/>
                <w:color w:val="000000"/>
                <w:kern w:val="0"/>
                <w:sz w:val="18"/>
                <w:szCs w:val="18"/>
                <w:lang w:val="en-US" w:eastAsia="zh-CN" w:bidi="ar-SA"/>
              </w:rPr>
            </w:pPr>
          </w:p>
        </w:tc>
      </w:tr>
      <w:tr w14:paraId="1BE3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74" w:type="dxa"/>
            <w:vMerge w:val="continue"/>
            <w:noWrap w:val="0"/>
            <w:tcMar>
              <w:top w:w="12" w:type="dxa"/>
              <w:left w:w="12" w:type="dxa"/>
              <w:right w:w="12" w:type="dxa"/>
            </w:tcMar>
            <w:vAlign w:val="center"/>
          </w:tcPr>
          <w:p w14:paraId="647D1DCF">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794A830E">
            <w:pPr>
              <w:widowControl/>
              <w:adjustRightInd w:val="0"/>
              <w:snapToGrid w:val="0"/>
              <w:jc w:val="center"/>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3A188998">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3</w:t>
            </w:r>
            <w:r>
              <w:rPr>
                <w:rFonts w:hint="eastAsia" w:eastAsia="仿宋_GB2312"/>
                <w:color w:val="000000"/>
                <w:kern w:val="0"/>
                <w:sz w:val="21"/>
                <w:szCs w:val="21"/>
                <w:lang w:val="en-US" w:eastAsia="zh-CN" w:bidi="ar-SA"/>
              </w:rPr>
              <w:t>5</w:t>
            </w:r>
            <w:r>
              <w:rPr>
                <w:rFonts w:eastAsia="仿宋_GB2312"/>
                <w:color w:val="000000"/>
                <w:kern w:val="0"/>
                <w:sz w:val="21"/>
                <w:szCs w:val="21"/>
                <w:lang w:val="en-US" w:eastAsia="zh-CN" w:bidi="ar-SA"/>
              </w:rPr>
              <w:t>废气排放</w:t>
            </w:r>
          </w:p>
        </w:tc>
        <w:tc>
          <w:tcPr>
            <w:tcW w:w="694" w:type="dxa"/>
            <w:noWrap w:val="0"/>
            <w:tcMar>
              <w:top w:w="12" w:type="dxa"/>
              <w:left w:w="12" w:type="dxa"/>
              <w:right w:w="12" w:type="dxa"/>
            </w:tcMar>
            <w:vAlign w:val="center"/>
          </w:tcPr>
          <w:p w14:paraId="279C410B">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0A830F3A">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在开采、加工、运输、贮存等环节，采取除尘捕尘、抑尘降尘、净化废气等措施，实现达标排放</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开采过程中的大气污染物排放应符合国家或地方相应排放标准。凿岩作业采用降尘措施，爆破作业喷雾洒水降尘，生产区配置洒水车定时洒水降尘，配备地面运输车辆洗车台，对出厂车辆进行清洗，外运产品途中苫盖，废石或矿石周转场地、贮存场所具备防扬尘设施。矿区建筑物上无明显积尘，矿区周边植被无明显粉尘覆盖。</w:t>
            </w:r>
            <w:r>
              <w:rPr>
                <w:rFonts w:hint="eastAsia" w:eastAsia="仿宋_GB2312"/>
                <w:color w:val="000000"/>
                <w:kern w:val="0"/>
                <w:sz w:val="21"/>
                <w:szCs w:val="21"/>
                <w:lang w:val="en-US" w:eastAsia="zh-CN" w:bidi="ar"/>
              </w:rPr>
              <w:t>对矿区粉尘进行定期监测。</w:t>
            </w:r>
            <w:r>
              <w:rPr>
                <w:rFonts w:eastAsia="仿宋_GB2312"/>
                <w:color w:val="000000"/>
                <w:kern w:val="0"/>
                <w:sz w:val="21"/>
                <w:szCs w:val="21"/>
                <w:lang w:val="en-US" w:eastAsia="zh-CN" w:bidi="ar"/>
              </w:rPr>
              <w:t>符合要求得</w:t>
            </w:r>
            <w:r>
              <w:rPr>
                <w:rFonts w:hint="eastAsia" w:eastAsia="仿宋_GB2312"/>
                <w:color w:val="000000"/>
                <w:kern w:val="0"/>
                <w:sz w:val="21"/>
                <w:szCs w:val="21"/>
                <w:lang w:val="en-US" w:eastAsia="zh-CN" w:bidi="ar"/>
              </w:rPr>
              <w:t>2</w:t>
            </w:r>
            <w:r>
              <w:rPr>
                <w:rFonts w:eastAsia="仿宋_GB2312"/>
                <w:color w:val="000000"/>
                <w:kern w:val="0"/>
                <w:sz w:val="21"/>
                <w:szCs w:val="21"/>
                <w:lang w:val="en-US" w:eastAsia="zh-CN" w:bidi="ar"/>
              </w:rPr>
              <w:t>分，不符合得0分。</w:t>
            </w:r>
          </w:p>
        </w:tc>
        <w:tc>
          <w:tcPr>
            <w:tcW w:w="866" w:type="dxa"/>
            <w:noWrap w:val="0"/>
            <w:tcMar>
              <w:top w:w="12" w:type="dxa"/>
              <w:left w:w="12" w:type="dxa"/>
              <w:right w:w="12" w:type="dxa"/>
            </w:tcMar>
            <w:vAlign w:val="center"/>
          </w:tcPr>
          <w:p w14:paraId="38B5FD59">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7C4CD782">
            <w:pPr>
              <w:keepNext w:val="0"/>
              <w:keepLines w:val="0"/>
              <w:pageBreakBefore w:val="0"/>
              <w:widowControl/>
              <w:kinsoku/>
              <w:wordWrap/>
              <w:overflowPunct/>
              <w:topLinePunct w:val="0"/>
              <w:autoSpaceDE/>
              <w:autoSpaceDN/>
              <w:bidi w:val="0"/>
              <w:adjustRightInd w:val="0"/>
              <w:snapToGrid w:val="0"/>
              <w:spacing w:line="260" w:lineRule="exact"/>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国家大气污染物排放标准（GB 4915、GB 9078、GB 16297、GB 20426、GB 25465、GB 25466、GB 25467、GB 25468、GB 26451、GB 28661、GB 30770、GB 41618等）以及所在省（自治区、直辖市）人民政府发布实施的地方大气污染物排放标准</w:t>
            </w:r>
          </w:p>
        </w:tc>
        <w:tc>
          <w:tcPr>
            <w:tcW w:w="915" w:type="dxa"/>
            <w:noWrap w:val="0"/>
            <w:tcMar>
              <w:top w:w="12" w:type="dxa"/>
              <w:left w:w="12" w:type="dxa"/>
              <w:right w:w="12" w:type="dxa"/>
            </w:tcMar>
            <w:vAlign w:val="center"/>
          </w:tcPr>
          <w:p w14:paraId="1530EDA8">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约束性</w:t>
            </w:r>
          </w:p>
        </w:tc>
        <w:tc>
          <w:tcPr>
            <w:tcW w:w="915" w:type="dxa"/>
            <w:noWrap w:val="0"/>
            <w:vAlign w:val="center"/>
          </w:tcPr>
          <w:p w14:paraId="62809D77">
            <w:pPr>
              <w:widowControl/>
              <w:adjustRightInd w:val="0"/>
              <w:snapToGrid w:val="0"/>
              <w:jc w:val="left"/>
              <w:textAlignment w:val="center"/>
              <w:rPr>
                <w:rFonts w:eastAsia="仿宋_GB2312"/>
                <w:color w:val="000000"/>
                <w:kern w:val="0"/>
                <w:sz w:val="21"/>
                <w:szCs w:val="21"/>
                <w:lang w:val="en-US" w:eastAsia="zh-CN" w:bidi="ar-SA"/>
              </w:rPr>
            </w:pPr>
          </w:p>
        </w:tc>
        <w:tc>
          <w:tcPr>
            <w:tcW w:w="501" w:type="dxa"/>
            <w:noWrap w:val="0"/>
            <w:vAlign w:val="center"/>
          </w:tcPr>
          <w:p w14:paraId="08D8B333">
            <w:pPr>
              <w:widowControl w:val="0"/>
              <w:adjustRightInd w:val="0"/>
              <w:snapToGrid w:val="0"/>
              <w:jc w:val="center"/>
              <w:rPr>
                <w:rFonts w:eastAsia="仿宋_GB2312"/>
                <w:color w:val="000000"/>
                <w:kern w:val="0"/>
                <w:sz w:val="18"/>
                <w:szCs w:val="18"/>
                <w:lang w:val="en-US" w:eastAsia="zh-CN" w:bidi="ar-SA"/>
              </w:rPr>
            </w:pPr>
          </w:p>
        </w:tc>
      </w:tr>
      <w:tr w14:paraId="2599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atLeast"/>
          <w:jc w:val="center"/>
        </w:trPr>
        <w:tc>
          <w:tcPr>
            <w:tcW w:w="1074" w:type="dxa"/>
            <w:vMerge w:val="continue"/>
            <w:noWrap w:val="0"/>
            <w:tcMar>
              <w:top w:w="12" w:type="dxa"/>
              <w:left w:w="12" w:type="dxa"/>
              <w:right w:w="12" w:type="dxa"/>
            </w:tcMar>
            <w:vAlign w:val="center"/>
          </w:tcPr>
          <w:p w14:paraId="0FE444FE">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35CAB586">
            <w:pPr>
              <w:widowControl/>
              <w:adjustRightInd w:val="0"/>
              <w:snapToGrid w:val="0"/>
              <w:jc w:val="center"/>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2F43A6D1">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36移动源控制</w:t>
            </w:r>
          </w:p>
        </w:tc>
        <w:tc>
          <w:tcPr>
            <w:tcW w:w="694" w:type="dxa"/>
            <w:noWrap w:val="0"/>
            <w:tcMar>
              <w:top w:w="12" w:type="dxa"/>
              <w:left w:w="12" w:type="dxa"/>
              <w:right w:w="12" w:type="dxa"/>
            </w:tcMar>
            <w:vAlign w:val="center"/>
          </w:tcPr>
          <w:p w14:paraId="5FF47322">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1</w:t>
            </w:r>
          </w:p>
        </w:tc>
        <w:tc>
          <w:tcPr>
            <w:tcW w:w="5646" w:type="dxa"/>
            <w:noWrap w:val="0"/>
            <w:tcMar>
              <w:top w:w="12" w:type="dxa"/>
              <w:left w:w="12" w:type="dxa"/>
              <w:right w:w="12" w:type="dxa"/>
            </w:tcMar>
            <w:vAlign w:val="center"/>
          </w:tcPr>
          <w:p w14:paraId="60183F9A">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企业使用铁路、水路、封闭式皮带廊道、新能源汽车运输矿石等大宗货物年货运量占比达到70%，得1分。</w:t>
            </w:r>
          </w:p>
        </w:tc>
        <w:tc>
          <w:tcPr>
            <w:tcW w:w="866" w:type="dxa"/>
            <w:noWrap w:val="0"/>
            <w:tcMar>
              <w:top w:w="12" w:type="dxa"/>
              <w:left w:w="12" w:type="dxa"/>
              <w:right w:w="12" w:type="dxa"/>
            </w:tcMar>
            <w:vAlign w:val="center"/>
          </w:tcPr>
          <w:p w14:paraId="132D2F12">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07D3151E">
            <w:pPr>
              <w:widowControl w:val="0"/>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《深入打好重污染天气消除、臭氧污染防治和柴油货车污染治理攻坚战行动方案》（生态环境部〔202</w:t>
            </w:r>
            <w:r>
              <w:rPr>
                <w:rFonts w:hint="eastAsia" w:eastAsia="仿宋_GB2312"/>
                <w:color w:val="000000"/>
                <w:kern w:val="0"/>
                <w:sz w:val="21"/>
                <w:szCs w:val="21"/>
                <w:lang w:val="en-US" w:eastAsia="zh-CN" w:bidi="ar-SA"/>
              </w:rPr>
              <w:t>2</w:t>
            </w:r>
            <w:r>
              <w:rPr>
                <w:rFonts w:eastAsia="仿宋_GB2312"/>
                <w:color w:val="000000"/>
                <w:kern w:val="0"/>
                <w:sz w:val="21"/>
                <w:szCs w:val="21"/>
                <w:lang w:val="en-US" w:eastAsia="zh-CN" w:bidi="ar-SA"/>
              </w:rPr>
              <w:t>〕</w:t>
            </w:r>
            <w:r>
              <w:rPr>
                <w:rFonts w:hint="eastAsia" w:eastAsia="仿宋_GB2312"/>
                <w:color w:val="000000"/>
                <w:kern w:val="0"/>
                <w:sz w:val="21"/>
                <w:szCs w:val="21"/>
                <w:lang w:val="en-US" w:eastAsia="zh-CN" w:bidi="ar-SA"/>
              </w:rPr>
              <w:t>68</w:t>
            </w:r>
            <w:r>
              <w:rPr>
                <w:rFonts w:eastAsia="仿宋_GB2312"/>
                <w:color w:val="000000"/>
                <w:kern w:val="0"/>
                <w:sz w:val="21"/>
                <w:szCs w:val="21"/>
                <w:lang w:val="en-US" w:eastAsia="zh-CN" w:bidi="ar-SA"/>
              </w:rPr>
              <w:t>号公告）</w:t>
            </w:r>
          </w:p>
        </w:tc>
        <w:tc>
          <w:tcPr>
            <w:tcW w:w="915" w:type="dxa"/>
            <w:noWrap w:val="0"/>
            <w:tcMar>
              <w:top w:w="12" w:type="dxa"/>
              <w:left w:w="12" w:type="dxa"/>
              <w:right w:w="12" w:type="dxa"/>
            </w:tcMar>
            <w:vAlign w:val="center"/>
          </w:tcPr>
          <w:p w14:paraId="6997C574">
            <w:pPr>
              <w:widowControl w:val="0"/>
              <w:adjustRightInd w:val="0"/>
              <w:snapToGrid w:val="0"/>
              <w:jc w:val="center"/>
              <w:rPr>
                <w:rFonts w:eastAsia="仿宋_GB2312"/>
                <w:color w:val="000000"/>
                <w:kern w:val="0"/>
                <w:sz w:val="21"/>
                <w:szCs w:val="21"/>
                <w:lang w:val="en-US" w:eastAsia="zh-CN" w:bidi="ar"/>
              </w:rPr>
            </w:pPr>
            <w:r>
              <w:rPr>
                <w:rFonts w:hint="eastAsia" w:eastAsia="仿宋_GB2312"/>
                <w:color w:val="000000"/>
                <w:kern w:val="0"/>
                <w:sz w:val="21"/>
                <w:szCs w:val="21"/>
                <w:lang w:val="en-US" w:eastAsia="zh-CN" w:bidi="ar-SA"/>
              </w:rPr>
              <w:t>提升性</w:t>
            </w:r>
          </w:p>
        </w:tc>
        <w:tc>
          <w:tcPr>
            <w:tcW w:w="915" w:type="dxa"/>
            <w:noWrap w:val="0"/>
            <w:vAlign w:val="center"/>
          </w:tcPr>
          <w:p w14:paraId="7849DB6B">
            <w:pPr>
              <w:widowControl/>
              <w:adjustRightInd w:val="0"/>
              <w:snapToGrid w:val="0"/>
              <w:jc w:val="left"/>
              <w:textAlignment w:val="center"/>
              <w:rPr>
                <w:rFonts w:eastAsia="仿宋_GB2312"/>
                <w:color w:val="000000"/>
                <w:kern w:val="0"/>
                <w:sz w:val="21"/>
                <w:szCs w:val="21"/>
                <w:lang w:val="en-US" w:eastAsia="zh-CN" w:bidi="ar-SA"/>
              </w:rPr>
            </w:pPr>
          </w:p>
        </w:tc>
        <w:tc>
          <w:tcPr>
            <w:tcW w:w="501" w:type="dxa"/>
            <w:noWrap w:val="0"/>
            <w:vAlign w:val="center"/>
          </w:tcPr>
          <w:p w14:paraId="200CFBF8">
            <w:pPr>
              <w:widowControl w:val="0"/>
              <w:adjustRightInd w:val="0"/>
              <w:snapToGrid w:val="0"/>
              <w:jc w:val="center"/>
              <w:rPr>
                <w:rFonts w:eastAsia="仿宋_GB2312"/>
                <w:color w:val="000000"/>
                <w:kern w:val="0"/>
                <w:sz w:val="18"/>
                <w:szCs w:val="18"/>
                <w:lang w:val="en-US" w:eastAsia="zh-CN" w:bidi="ar-SA"/>
              </w:rPr>
            </w:pPr>
          </w:p>
        </w:tc>
      </w:tr>
      <w:tr w14:paraId="7C15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74" w:type="dxa"/>
            <w:vMerge w:val="continue"/>
            <w:noWrap w:val="0"/>
            <w:tcMar>
              <w:top w:w="12" w:type="dxa"/>
              <w:left w:w="12" w:type="dxa"/>
              <w:right w:w="12" w:type="dxa"/>
            </w:tcMar>
            <w:vAlign w:val="center"/>
          </w:tcPr>
          <w:p w14:paraId="6559A3A4">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42F39F7F">
            <w:pPr>
              <w:widowControl/>
              <w:adjustRightInd w:val="0"/>
              <w:snapToGrid w:val="0"/>
              <w:jc w:val="center"/>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026C9E7B">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37</w:t>
            </w:r>
            <w:r>
              <w:rPr>
                <w:rFonts w:eastAsia="仿宋_GB2312"/>
                <w:color w:val="000000"/>
                <w:kern w:val="0"/>
                <w:sz w:val="21"/>
                <w:szCs w:val="21"/>
                <w:lang w:val="en-US" w:eastAsia="zh-CN" w:bidi="ar-SA"/>
              </w:rPr>
              <w:t>噪声排放</w:t>
            </w:r>
          </w:p>
        </w:tc>
        <w:tc>
          <w:tcPr>
            <w:tcW w:w="694" w:type="dxa"/>
            <w:noWrap w:val="0"/>
            <w:tcMar>
              <w:top w:w="12" w:type="dxa"/>
              <w:left w:w="12" w:type="dxa"/>
              <w:right w:w="12" w:type="dxa"/>
            </w:tcMar>
            <w:vAlign w:val="center"/>
          </w:tcPr>
          <w:p w14:paraId="7297556A">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1</w:t>
            </w:r>
          </w:p>
        </w:tc>
        <w:tc>
          <w:tcPr>
            <w:tcW w:w="5646" w:type="dxa"/>
            <w:noWrap w:val="0"/>
            <w:tcMar>
              <w:top w:w="12" w:type="dxa"/>
              <w:left w:w="12" w:type="dxa"/>
              <w:right w:w="12" w:type="dxa"/>
            </w:tcMar>
            <w:vAlign w:val="center"/>
          </w:tcPr>
          <w:p w14:paraId="13CC92A6">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对矿区凿岩、破碎和空压等高噪声设备进行降噪处理，配备消声、减振和隔振等措施，</w:t>
            </w:r>
            <w:r>
              <w:rPr>
                <w:rFonts w:eastAsia="仿宋_GB2312"/>
                <w:color w:val="000000"/>
                <w:kern w:val="0"/>
                <w:sz w:val="21"/>
                <w:szCs w:val="21"/>
                <w:lang w:val="en-US" w:eastAsia="zh-CN" w:bidi="ar-SA"/>
              </w:rPr>
              <w:t>厂界噪声排放达标。</w:t>
            </w:r>
            <w:r>
              <w:rPr>
                <w:rFonts w:hint="eastAsia" w:eastAsia="仿宋_GB2312"/>
                <w:color w:val="000000"/>
                <w:kern w:val="0"/>
                <w:sz w:val="21"/>
                <w:szCs w:val="21"/>
                <w:lang w:val="en-US" w:eastAsia="zh-CN" w:bidi="ar"/>
              </w:rPr>
              <w:t>对厂界噪声进行定期监测。</w:t>
            </w:r>
            <w:r>
              <w:rPr>
                <w:rFonts w:eastAsia="仿宋_GB2312"/>
                <w:color w:val="000000"/>
                <w:kern w:val="0"/>
                <w:sz w:val="21"/>
                <w:szCs w:val="21"/>
                <w:lang w:val="en-US" w:eastAsia="zh-CN" w:bidi="ar-SA"/>
              </w:rPr>
              <w:t>符合要求得</w:t>
            </w:r>
            <w:r>
              <w:rPr>
                <w:rFonts w:hint="eastAsia" w:eastAsia="仿宋_GB2312"/>
                <w:color w:val="000000"/>
                <w:kern w:val="0"/>
                <w:sz w:val="21"/>
                <w:szCs w:val="21"/>
                <w:lang w:val="en-US" w:eastAsia="zh-CN" w:bidi="ar-SA"/>
              </w:rPr>
              <w:t>1</w:t>
            </w:r>
            <w:r>
              <w:rPr>
                <w:rFonts w:eastAsia="仿宋_GB2312"/>
                <w:color w:val="000000"/>
                <w:kern w:val="0"/>
                <w:sz w:val="21"/>
                <w:szCs w:val="21"/>
                <w:lang w:val="en-US" w:eastAsia="zh-CN" w:bidi="ar-SA"/>
              </w:rPr>
              <w:t>分，</w:t>
            </w:r>
            <w:r>
              <w:rPr>
                <w:rFonts w:eastAsia="仿宋_GB2312"/>
                <w:color w:val="000000"/>
                <w:kern w:val="0"/>
                <w:sz w:val="21"/>
                <w:szCs w:val="21"/>
                <w:lang w:val="en-US" w:eastAsia="zh-CN" w:bidi="ar"/>
              </w:rPr>
              <w:t>不符合得0分。</w:t>
            </w:r>
          </w:p>
        </w:tc>
        <w:tc>
          <w:tcPr>
            <w:tcW w:w="866" w:type="dxa"/>
            <w:noWrap w:val="0"/>
            <w:tcMar>
              <w:top w:w="12" w:type="dxa"/>
              <w:left w:w="12" w:type="dxa"/>
              <w:right w:w="12" w:type="dxa"/>
            </w:tcMar>
            <w:vAlign w:val="center"/>
          </w:tcPr>
          <w:p w14:paraId="623533CC">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查资料、查现场</w:t>
            </w:r>
          </w:p>
        </w:tc>
        <w:tc>
          <w:tcPr>
            <w:tcW w:w="2640" w:type="dxa"/>
            <w:noWrap w:val="0"/>
            <w:tcMar>
              <w:top w:w="12" w:type="dxa"/>
              <w:left w:w="12" w:type="dxa"/>
              <w:right w:w="12" w:type="dxa"/>
            </w:tcMar>
            <w:vAlign w:val="center"/>
          </w:tcPr>
          <w:p w14:paraId="30BDA6F3">
            <w:pPr>
              <w:widowControl w:val="0"/>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《工业企业厂界环境噪声排放标准》</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GB</w:t>
            </w:r>
            <w:r>
              <w:rPr>
                <w:rFonts w:hint="eastAsia" w:eastAsia="仿宋_GB2312"/>
                <w:color w:val="000000"/>
                <w:kern w:val="0"/>
                <w:sz w:val="21"/>
                <w:szCs w:val="21"/>
                <w:lang w:val="en-US" w:eastAsia="zh-CN" w:bidi="ar-SA"/>
              </w:rPr>
              <w:t xml:space="preserve"> </w:t>
            </w:r>
            <w:r>
              <w:rPr>
                <w:rFonts w:eastAsia="仿宋_GB2312"/>
                <w:color w:val="000000"/>
                <w:kern w:val="0"/>
                <w:sz w:val="21"/>
                <w:szCs w:val="21"/>
                <w:lang w:val="en-US" w:eastAsia="zh-CN" w:bidi="ar-SA"/>
              </w:rPr>
              <w:t>12348-2008</w:t>
            </w:r>
            <w:r>
              <w:rPr>
                <w:rFonts w:hint="eastAsia" w:eastAsia="仿宋_GB2312"/>
                <w:color w:val="000000"/>
                <w:kern w:val="0"/>
                <w:sz w:val="21"/>
                <w:szCs w:val="21"/>
                <w:lang w:val="en-US" w:eastAsia="zh-CN" w:bidi="ar-SA"/>
              </w:rPr>
              <w:t>）</w:t>
            </w:r>
          </w:p>
        </w:tc>
        <w:tc>
          <w:tcPr>
            <w:tcW w:w="915" w:type="dxa"/>
            <w:noWrap w:val="0"/>
            <w:tcMar>
              <w:top w:w="12" w:type="dxa"/>
              <w:left w:w="12" w:type="dxa"/>
              <w:right w:w="12" w:type="dxa"/>
            </w:tcMar>
            <w:vAlign w:val="center"/>
          </w:tcPr>
          <w:p w14:paraId="2B272722">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约束性</w:t>
            </w:r>
          </w:p>
        </w:tc>
        <w:tc>
          <w:tcPr>
            <w:tcW w:w="915" w:type="dxa"/>
            <w:noWrap w:val="0"/>
            <w:vAlign w:val="center"/>
          </w:tcPr>
          <w:p w14:paraId="4E896682">
            <w:pPr>
              <w:widowControl/>
              <w:adjustRightInd w:val="0"/>
              <w:snapToGrid w:val="0"/>
              <w:jc w:val="left"/>
              <w:textAlignment w:val="center"/>
              <w:rPr>
                <w:rFonts w:eastAsia="仿宋_GB2312"/>
                <w:color w:val="000000"/>
                <w:kern w:val="0"/>
                <w:sz w:val="21"/>
                <w:szCs w:val="21"/>
                <w:lang w:val="en-US" w:eastAsia="zh-CN" w:bidi="ar-SA"/>
              </w:rPr>
            </w:pPr>
          </w:p>
        </w:tc>
        <w:tc>
          <w:tcPr>
            <w:tcW w:w="501" w:type="dxa"/>
            <w:noWrap w:val="0"/>
            <w:vAlign w:val="center"/>
          </w:tcPr>
          <w:p w14:paraId="051D9E08">
            <w:pPr>
              <w:widowControl w:val="0"/>
              <w:adjustRightInd w:val="0"/>
              <w:snapToGrid w:val="0"/>
              <w:jc w:val="center"/>
              <w:rPr>
                <w:rFonts w:eastAsia="仿宋_GB2312"/>
                <w:color w:val="000000"/>
                <w:kern w:val="0"/>
                <w:sz w:val="18"/>
                <w:szCs w:val="18"/>
                <w:lang w:val="en-US" w:eastAsia="zh-CN" w:bidi="ar-SA"/>
              </w:rPr>
            </w:pPr>
          </w:p>
        </w:tc>
      </w:tr>
      <w:tr w14:paraId="3757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074" w:type="dxa"/>
            <w:vMerge w:val="restart"/>
            <w:noWrap w:val="0"/>
            <w:tcMar>
              <w:top w:w="12" w:type="dxa"/>
              <w:left w:w="12" w:type="dxa"/>
              <w:right w:w="12" w:type="dxa"/>
            </w:tcMar>
            <w:vAlign w:val="center"/>
          </w:tcPr>
          <w:p w14:paraId="5AB642F0">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五、生态修复</w:t>
            </w:r>
            <w:r>
              <w:rPr>
                <w:rFonts w:hint="eastAsia" w:eastAsia="仿宋_GB2312"/>
                <w:color w:val="000000"/>
                <w:kern w:val="0"/>
                <w:sz w:val="21"/>
                <w:szCs w:val="21"/>
                <w:lang w:val="en-US" w:eastAsia="zh-CN" w:bidi="ar-SA"/>
              </w:rPr>
              <w:t>与环境治理</w:t>
            </w:r>
            <w:r>
              <w:rPr>
                <w:rFonts w:eastAsia="仿宋_GB2312"/>
                <w:color w:val="000000"/>
                <w:kern w:val="0"/>
                <w:sz w:val="21"/>
                <w:szCs w:val="21"/>
                <w:lang w:val="en-US" w:eastAsia="zh-CN" w:bidi="ar-SA"/>
              </w:rPr>
              <w:t>（</w:t>
            </w:r>
            <w:r>
              <w:rPr>
                <w:rFonts w:hint="eastAsia" w:eastAsia="仿宋_GB2312"/>
                <w:color w:val="000000"/>
                <w:kern w:val="0"/>
                <w:sz w:val="21"/>
                <w:szCs w:val="21"/>
                <w:lang w:val="en-US" w:eastAsia="zh-CN" w:bidi="ar-SA"/>
              </w:rPr>
              <w:t>5</w:t>
            </w:r>
            <w:r>
              <w:rPr>
                <w:rFonts w:eastAsia="仿宋_GB2312"/>
                <w:color w:val="000000"/>
                <w:kern w:val="0"/>
                <w:sz w:val="21"/>
                <w:szCs w:val="21"/>
                <w:lang w:val="en-US" w:eastAsia="zh-CN" w:bidi="ar-SA"/>
              </w:rPr>
              <w:t>项，18分）</w:t>
            </w:r>
          </w:p>
        </w:tc>
        <w:tc>
          <w:tcPr>
            <w:tcW w:w="1050" w:type="dxa"/>
            <w:vMerge w:val="restart"/>
            <w:noWrap w:val="0"/>
            <w:tcMar>
              <w:top w:w="12" w:type="dxa"/>
              <w:left w:w="12" w:type="dxa"/>
              <w:right w:w="12" w:type="dxa"/>
            </w:tcMar>
            <w:vAlign w:val="center"/>
          </w:tcPr>
          <w:p w14:paraId="3B237FB2">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1矿山地质环境治理恢复与土地复垦（</w:t>
            </w:r>
            <w:r>
              <w:rPr>
                <w:rFonts w:hint="eastAsia" w:eastAsia="仿宋_GB2312"/>
                <w:color w:val="000000"/>
                <w:kern w:val="0"/>
                <w:sz w:val="21"/>
                <w:szCs w:val="21"/>
                <w:lang w:val="en-US" w:eastAsia="zh-CN" w:bidi="ar-SA"/>
              </w:rPr>
              <w:t>7</w:t>
            </w:r>
            <w:r>
              <w:rPr>
                <w:rFonts w:eastAsia="仿宋_GB2312"/>
                <w:color w:val="000000"/>
                <w:kern w:val="0"/>
                <w:sz w:val="21"/>
                <w:szCs w:val="21"/>
                <w:lang w:val="en-US" w:eastAsia="zh-CN" w:bidi="ar-SA"/>
              </w:rPr>
              <w:t>分）</w:t>
            </w:r>
          </w:p>
        </w:tc>
        <w:tc>
          <w:tcPr>
            <w:tcW w:w="771" w:type="dxa"/>
            <w:gridSpan w:val="2"/>
            <w:noWrap w:val="0"/>
            <w:tcMar>
              <w:top w:w="12" w:type="dxa"/>
              <w:left w:w="12" w:type="dxa"/>
              <w:right w:w="12" w:type="dxa"/>
            </w:tcMar>
            <w:vAlign w:val="center"/>
          </w:tcPr>
          <w:p w14:paraId="099803C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仿宋_GB2312"/>
                <w:color w:val="000000"/>
                <w:kern w:val="0"/>
                <w:sz w:val="21"/>
                <w:szCs w:val="21"/>
                <w:lang w:val="en-US" w:eastAsia="zh-CN" w:bidi="ar-SA"/>
              </w:rPr>
            </w:pPr>
            <w:r>
              <w:rPr>
                <w:rFonts w:eastAsia="仿宋_GB2312"/>
                <w:color w:val="000000"/>
                <w:kern w:val="0"/>
                <w:sz w:val="21"/>
                <w:szCs w:val="21"/>
                <w:lang w:val="en-US" w:eastAsia="zh-CN" w:bidi="ar-SA"/>
              </w:rPr>
              <w:t>3</w:t>
            </w:r>
            <w:r>
              <w:rPr>
                <w:rFonts w:hint="eastAsia" w:eastAsia="仿宋_GB2312"/>
                <w:color w:val="000000"/>
                <w:kern w:val="0"/>
                <w:sz w:val="21"/>
                <w:szCs w:val="21"/>
                <w:lang w:val="en-US" w:eastAsia="zh-CN" w:bidi="ar-SA"/>
              </w:rPr>
              <w:t>8</w:t>
            </w:r>
            <w:r>
              <w:rPr>
                <w:rFonts w:eastAsia="仿宋_GB2312"/>
                <w:color w:val="000000"/>
                <w:kern w:val="0"/>
                <w:sz w:val="21"/>
                <w:szCs w:val="21"/>
                <w:lang w:val="en-US" w:eastAsia="zh-CN" w:bidi="ar-SA"/>
              </w:rPr>
              <w:t>矿山地质环境保护与土地复垦方案编制与执行</w:t>
            </w:r>
          </w:p>
        </w:tc>
        <w:tc>
          <w:tcPr>
            <w:tcW w:w="694" w:type="dxa"/>
            <w:noWrap w:val="0"/>
            <w:tcMar>
              <w:top w:w="12" w:type="dxa"/>
              <w:left w:w="12" w:type="dxa"/>
              <w:right w:w="12" w:type="dxa"/>
            </w:tcMar>
            <w:vAlign w:val="center"/>
          </w:tcPr>
          <w:p w14:paraId="2E29F65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仿宋_GB2312"/>
                <w:color w:val="000000"/>
                <w:kern w:val="0"/>
                <w:sz w:val="21"/>
                <w:szCs w:val="21"/>
                <w:lang w:val="en-US" w:eastAsia="zh-CN" w:bidi="ar-SA"/>
              </w:rPr>
            </w:pPr>
            <w:r>
              <w:rPr>
                <w:rFonts w:eastAsia="仿宋_GB2312"/>
                <w:color w:val="000000"/>
                <w:kern w:val="0"/>
                <w:sz w:val="21"/>
                <w:szCs w:val="21"/>
                <w:lang w:val="en-US" w:eastAsia="zh-CN" w:bidi="ar-SA"/>
              </w:rPr>
              <w:t>5</w:t>
            </w:r>
          </w:p>
        </w:tc>
        <w:tc>
          <w:tcPr>
            <w:tcW w:w="5646" w:type="dxa"/>
            <w:noWrap w:val="0"/>
            <w:tcMar>
              <w:top w:w="12" w:type="dxa"/>
              <w:left w:w="12" w:type="dxa"/>
              <w:right w:w="12" w:type="dxa"/>
            </w:tcMar>
            <w:vAlign w:val="center"/>
          </w:tcPr>
          <w:p w14:paraId="6524844B">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山地质环境保护与土地复垦方案》已通过审查并在适用期；依据《矿山地质环境保护与土地复垦方案》编制了年度计划；执行了年度报告制度；矿山地质环境治理恢复、土地复垦质量符合要求；完成了年度或阶段性目标任务并通过阶段验收。符合要求得5分，不符合得0分。</w:t>
            </w:r>
          </w:p>
        </w:tc>
        <w:tc>
          <w:tcPr>
            <w:tcW w:w="866" w:type="dxa"/>
            <w:noWrap w:val="0"/>
            <w:tcMar>
              <w:top w:w="12" w:type="dxa"/>
              <w:left w:w="12" w:type="dxa"/>
              <w:right w:w="12" w:type="dxa"/>
            </w:tcMar>
            <w:vAlign w:val="center"/>
          </w:tcPr>
          <w:p w14:paraId="546C0226">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查资料、查现场</w:t>
            </w:r>
          </w:p>
        </w:tc>
        <w:tc>
          <w:tcPr>
            <w:tcW w:w="2640" w:type="dxa"/>
            <w:noWrap w:val="0"/>
            <w:tcMar>
              <w:top w:w="12" w:type="dxa"/>
              <w:left w:w="12" w:type="dxa"/>
              <w:right w:w="12" w:type="dxa"/>
            </w:tcMar>
            <w:vAlign w:val="center"/>
          </w:tcPr>
          <w:p w14:paraId="62853969">
            <w:pPr>
              <w:widowControl w:val="0"/>
              <w:adjustRightInd w:val="0"/>
              <w:snapToGrid w:val="0"/>
              <w:jc w:val="left"/>
              <w:rPr>
                <w:rFonts w:hint="eastAsia" w:eastAsia="仿宋_GB2312"/>
                <w:color w:val="000000"/>
                <w:kern w:val="0"/>
                <w:sz w:val="21"/>
                <w:szCs w:val="21"/>
                <w:lang w:val="en-US" w:eastAsia="zh-CN" w:bidi="ar-SA"/>
              </w:rPr>
            </w:pPr>
            <w:r>
              <w:rPr>
                <w:rFonts w:eastAsia="仿宋_GB2312"/>
                <w:color w:val="000000"/>
                <w:kern w:val="0"/>
                <w:sz w:val="21"/>
                <w:szCs w:val="21"/>
                <w:lang w:val="en-US" w:eastAsia="zh-CN" w:bidi="ar-SA"/>
              </w:rPr>
              <w:t>《矿山地质环境保护与土地复垦方案》及年度计划、《土地复垦质量控制标准》</w:t>
            </w:r>
            <w:r>
              <w:rPr>
                <w:rFonts w:hint="eastAsia" w:ascii="Calibri" w:hAnsi="Calibri" w:eastAsia="仿宋_GB2312"/>
                <w:color w:val="000000"/>
                <w:kern w:val="0"/>
                <w:sz w:val="21"/>
                <w:szCs w:val="21"/>
                <w:lang w:val="en-US" w:eastAsia="zh-CN" w:bidi="ar-SA"/>
              </w:rPr>
              <w:t>（</w:t>
            </w:r>
            <w:r>
              <w:rPr>
                <w:rFonts w:eastAsia="仿宋_GB2312"/>
                <w:color w:val="000000"/>
                <w:kern w:val="0"/>
                <w:sz w:val="21"/>
                <w:szCs w:val="21"/>
                <w:lang w:val="en-US" w:eastAsia="zh-CN" w:bidi="ar-SA"/>
              </w:rPr>
              <w:t>TD/T 1036) 、《矿山生态修复技术规范》</w:t>
            </w:r>
            <w:r>
              <w:rPr>
                <w:rFonts w:hint="eastAsia" w:ascii="Calibri" w:hAnsi="Calibri" w:eastAsia="仿宋_GB2312"/>
                <w:color w:val="000000"/>
                <w:kern w:val="0"/>
                <w:sz w:val="21"/>
                <w:szCs w:val="21"/>
                <w:lang w:val="en-US" w:eastAsia="zh-CN" w:bidi="ar-SA"/>
              </w:rPr>
              <w:t>（</w:t>
            </w:r>
            <w:r>
              <w:rPr>
                <w:rFonts w:eastAsia="仿宋_GB2312"/>
                <w:color w:val="000000"/>
                <w:kern w:val="0"/>
                <w:sz w:val="21"/>
                <w:szCs w:val="21"/>
                <w:lang w:val="en-US" w:eastAsia="zh-CN" w:bidi="ar-SA"/>
              </w:rPr>
              <w:t>TD/T 1070</w:t>
            </w:r>
            <w:r>
              <w:rPr>
                <w:rFonts w:hint="eastAsia" w:ascii="Calibri" w:hAnsi="Calibri" w:eastAsia="仿宋_GB2312"/>
                <w:color w:val="000000"/>
                <w:kern w:val="0"/>
                <w:sz w:val="21"/>
                <w:szCs w:val="21"/>
                <w:lang w:val="en-US" w:eastAsia="zh-CN" w:bidi="ar-SA"/>
              </w:rPr>
              <w:t>）</w:t>
            </w:r>
            <w:r>
              <w:rPr>
                <w:rFonts w:eastAsia="仿宋_GB2312"/>
                <w:color w:val="000000"/>
                <w:kern w:val="0"/>
                <w:sz w:val="21"/>
                <w:szCs w:val="21"/>
                <w:lang w:val="en-US" w:eastAsia="zh-CN" w:bidi="ar-SA"/>
              </w:rPr>
              <w:t>等标准规范。</w:t>
            </w:r>
          </w:p>
        </w:tc>
        <w:tc>
          <w:tcPr>
            <w:tcW w:w="915" w:type="dxa"/>
            <w:noWrap w:val="0"/>
            <w:tcMar>
              <w:top w:w="12" w:type="dxa"/>
              <w:left w:w="12" w:type="dxa"/>
              <w:right w:w="12" w:type="dxa"/>
            </w:tcMar>
            <w:vAlign w:val="center"/>
          </w:tcPr>
          <w:p w14:paraId="0279D58E">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约束性</w:t>
            </w:r>
          </w:p>
        </w:tc>
        <w:tc>
          <w:tcPr>
            <w:tcW w:w="915" w:type="dxa"/>
            <w:noWrap w:val="0"/>
            <w:vAlign w:val="center"/>
          </w:tcPr>
          <w:p w14:paraId="3B827BC5">
            <w:pPr>
              <w:widowControl w:val="0"/>
              <w:adjustRightInd w:val="0"/>
              <w:snapToGrid w:val="0"/>
              <w:jc w:val="both"/>
              <w:rPr>
                <w:rFonts w:eastAsia="仿宋_GB2312"/>
                <w:color w:val="000000"/>
                <w:kern w:val="0"/>
                <w:sz w:val="21"/>
                <w:szCs w:val="21"/>
                <w:lang w:val="en-US" w:eastAsia="zh-CN" w:bidi="ar-SA"/>
              </w:rPr>
            </w:pPr>
          </w:p>
        </w:tc>
        <w:tc>
          <w:tcPr>
            <w:tcW w:w="501" w:type="dxa"/>
            <w:noWrap w:val="0"/>
            <w:vAlign w:val="center"/>
          </w:tcPr>
          <w:p w14:paraId="4590AA93">
            <w:pPr>
              <w:widowControl w:val="0"/>
              <w:adjustRightInd w:val="0"/>
              <w:snapToGrid w:val="0"/>
              <w:jc w:val="center"/>
              <w:rPr>
                <w:rFonts w:eastAsia="仿宋_GB2312"/>
                <w:color w:val="000000"/>
                <w:kern w:val="0"/>
                <w:sz w:val="18"/>
                <w:szCs w:val="18"/>
                <w:lang w:val="en-US" w:eastAsia="zh-CN" w:bidi="ar-SA"/>
              </w:rPr>
            </w:pPr>
          </w:p>
        </w:tc>
      </w:tr>
      <w:tr w14:paraId="37BF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jc w:val="center"/>
        </w:trPr>
        <w:tc>
          <w:tcPr>
            <w:tcW w:w="1074" w:type="dxa"/>
            <w:vMerge w:val="continue"/>
            <w:noWrap w:val="0"/>
            <w:tcMar>
              <w:top w:w="12" w:type="dxa"/>
              <w:left w:w="12" w:type="dxa"/>
              <w:right w:w="12" w:type="dxa"/>
            </w:tcMar>
            <w:vAlign w:val="center"/>
          </w:tcPr>
          <w:p w14:paraId="772AF71E">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060E3E84">
            <w:pPr>
              <w:widowControl w:val="0"/>
              <w:adjustRightInd w:val="0"/>
              <w:snapToGrid w:val="0"/>
              <w:jc w:val="center"/>
              <w:rPr>
                <w:rFonts w:eastAsia="仿宋_GB2312"/>
                <w:color w:val="000000"/>
                <w:kern w:val="0"/>
                <w:sz w:val="21"/>
                <w:szCs w:val="21"/>
                <w:lang w:val="en-US" w:eastAsia="zh-CN" w:bidi="ar-SA"/>
              </w:rPr>
            </w:pPr>
          </w:p>
        </w:tc>
        <w:tc>
          <w:tcPr>
            <w:tcW w:w="771" w:type="dxa"/>
            <w:gridSpan w:val="2"/>
            <w:noWrap w:val="0"/>
            <w:tcMar>
              <w:top w:w="12" w:type="dxa"/>
              <w:left w:w="12" w:type="dxa"/>
              <w:right w:w="12" w:type="dxa"/>
            </w:tcMar>
            <w:vAlign w:val="center"/>
          </w:tcPr>
          <w:p w14:paraId="2DC94C0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仿宋_GB2312"/>
                <w:color w:val="000000"/>
                <w:kern w:val="0"/>
                <w:sz w:val="21"/>
                <w:szCs w:val="21"/>
                <w:lang w:val="en-US" w:eastAsia="zh-CN" w:bidi="ar-SA"/>
              </w:rPr>
            </w:pPr>
            <w:r>
              <w:rPr>
                <w:rFonts w:eastAsia="仿宋_GB2312"/>
                <w:color w:val="000000"/>
                <w:kern w:val="0"/>
                <w:sz w:val="21"/>
                <w:szCs w:val="21"/>
                <w:lang w:val="en-US" w:eastAsia="zh-CN" w:bidi="ar-SA"/>
              </w:rPr>
              <w:t>3</w:t>
            </w:r>
            <w:r>
              <w:rPr>
                <w:rFonts w:hint="eastAsia" w:eastAsia="仿宋_GB2312"/>
                <w:color w:val="000000"/>
                <w:kern w:val="0"/>
                <w:sz w:val="21"/>
                <w:szCs w:val="21"/>
                <w:lang w:val="en-US" w:eastAsia="zh-CN" w:bidi="ar-SA"/>
              </w:rPr>
              <w:t>9</w:t>
            </w:r>
            <w:r>
              <w:rPr>
                <w:rFonts w:eastAsia="仿宋_GB2312"/>
                <w:color w:val="000000"/>
                <w:kern w:val="0"/>
                <w:sz w:val="21"/>
                <w:szCs w:val="21"/>
                <w:lang w:val="en-US" w:eastAsia="zh-CN" w:bidi="ar-SA"/>
              </w:rPr>
              <w:t>矿山地质环境治理恢复基金计提使用</w:t>
            </w:r>
          </w:p>
        </w:tc>
        <w:tc>
          <w:tcPr>
            <w:tcW w:w="694" w:type="dxa"/>
            <w:noWrap w:val="0"/>
            <w:tcMar>
              <w:top w:w="12" w:type="dxa"/>
              <w:left w:w="12" w:type="dxa"/>
              <w:right w:w="12" w:type="dxa"/>
            </w:tcMar>
            <w:vAlign w:val="center"/>
          </w:tcPr>
          <w:p w14:paraId="63CBDCD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2</w:t>
            </w:r>
          </w:p>
        </w:tc>
        <w:tc>
          <w:tcPr>
            <w:tcW w:w="5646" w:type="dxa"/>
            <w:noWrap w:val="0"/>
            <w:tcMar>
              <w:top w:w="12" w:type="dxa"/>
              <w:left w:w="12" w:type="dxa"/>
              <w:right w:w="12" w:type="dxa"/>
            </w:tcMar>
            <w:vAlign w:val="center"/>
          </w:tcPr>
          <w:p w14:paraId="23FBB0D4">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按相关规定及标准足额计提矿山地质环境治理恢复基金并规范使用，统筹用于开展矿山地质环境治理恢复和土地复垦。符合要求得</w:t>
            </w:r>
            <w:r>
              <w:rPr>
                <w:rFonts w:hint="eastAsia" w:eastAsia="仿宋_GB2312"/>
                <w:color w:val="000000"/>
                <w:kern w:val="0"/>
                <w:sz w:val="21"/>
                <w:szCs w:val="21"/>
                <w:lang w:val="en-US" w:eastAsia="zh-CN" w:bidi="ar-SA"/>
              </w:rPr>
              <w:t>2</w:t>
            </w:r>
            <w:r>
              <w:rPr>
                <w:rFonts w:eastAsia="仿宋_GB2312"/>
                <w:color w:val="000000"/>
                <w:kern w:val="0"/>
                <w:sz w:val="21"/>
                <w:szCs w:val="21"/>
                <w:lang w:val="en-US" w:eastAsia="zh-CN" w:bidi="ar-SA"/>
              </w:rPr>
              <w:t>分，不符合得0分。</w:t>
            </w:r>
          </w:p>
        </w:tc>
        <w:tc>
          <w:tcPr>
            <w:tcW w:w="866" w:type="dxa"/>
            <w:noWrap w:val="0"/>
            <w:tcMar>
              <w:top w:w="12" w:type="dxa"/>
              <w:left w:w="12" w:type="dxa"/>
              <w:right w:w="12" w:type="dxa"/>
            </w:tcMar>
            <w:vAlign w:val="center"/>
          </w:tcPr>
          <w:p w14:paraId="0B7182E8">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查资料、查现场</w:t>
            </w:r>
          </w:p>
        </w:tc>
        <w:tc>
          <w:tcPr>
            <w:tcW w:w="2640" w:type="dxa"/>
            <w:noWrap w:val="0"/>
            <w:tcMar>
              <w:top w:w="12" w:type="dxa"/>
              <w:left w:w="12" w:type="dxa"/>
              <w:right w:w="12" w:type="dxa"/>
            </w:tcMar>
            <w:vAlign w:val="center"/>
          </w:tcPr>
          <w:p w14:paraId="7418AE0C">
            <w:pPr>
              <w:widowControl w:val="0"/>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《矿山地质环境保护与土地复垦方案》及年度计划、基金监管政策文件及标准规范，其他证明材料等。</w:t>
            </w:r>
          </w:p>
        </w:tc>
        <w:tc>
          <w:tcPr>
            <w:tcW w:w="915" w:type="dxa"/>
            <w:noWrap w:val="0"/>
            <w:tcMar>
              <w:top w:w="12" w:type="dxa"/>
              <w:left w:w="12" w:type="dxa"/>
              <w:right w:w="12" w:type="dxa"/>
            </w:tcMar>
            <w:vAlign w:val="center"/>
          </w:tcPr>
          <w:p w14:paraId="1184EB70">
            <w:pPr>
              <w:widowControl w:val="0"/>
              <w:adjustRightInd w:val="0"/>
              <w:snapToGrid w:val="0"/>
              <w:jc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约束性</w:t>
            </w:r>
          </w:p>
        </w:tc>
        <w:tc>
          <w:tcPr>
            <w:tcW w:w="915" w:type="dxa"/>
            <w:noWrap w:val="0"/>
            <w:vAlign w:val="center"/>
          </w:tcPr>
          <w:p w14:paraId="04185A09">
            <w:pPr>
              <w:widowControl w:val="0"/>
              <w:adjustRightInd w:val="0"/>
              <w:snapToGrid w:val="0"/>
              <w:jc w:val="both"/>
              <w:rPr>
                <w:rFonts w:eastAsia="仿宋_GB2312"/>
                <w:color w:val="000000"/>
                <w:kern w:val="0"/>
                <w:sz w:val="21"/>
                <w:szCs w:val="21"/>
                <w:lang w:val="en-US" w:eastAsia="zh-CN" w:bidi="ar-SA"/>
              </w:rPr>
            </w:pPr>
          </w:p>
        </w:tc>
        <w:tc>
          <w:tcPr>
            <w:tcW w:w="501" w:type="dxa"/>
            <w:noWrap w:val="0"/>
            <w:vAlign w:val="center"/>
          </w:tcPr>
          <w:p w14:paraId="490736CA">
            <w:pPr>
              <w:widowControl w:val="0"/>
              <w:adjustRightInd w:val="0"/>
              <w:snapToGrid w:val="0"/>
              <w:jc w:val="center"/>
              <w:rPr>
                <w:rFonts w:eastAsia="仿宋_GB2312"/>
                <w:color w:val="000000"/>
                <w:kern w:val="0"/>
                <w:sz w:val="18"/>
                <w:szCs w:val="18"/>
                <w:lang w:val="en-US" w:eastAsia="zh-CN" w:bidi="ar-SA"/>
              </w:rPr>
            </w:pPr>
          </w:p>
        </w:tc>
      </w:tr>
      <w:tr w14:paraId="06EE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1074" w:type="dxa"/>
            <w:vMerge w:val="continue"/>
            <w:noWrap w:val="0"/>
            <w:tcMar>
              <w:top w:w="12" w:type="dxa"/>
              <w:left w:w="12" w:type="dxa"/>
              <w:right w:w="12" w:type="dxa"/>
            </w:tcMar>
            <w:vAlign w:val="center"/>
          </w:tcPr>
          <w:p w14:paraId="56137DBA">
            <w:pPr>
              <w:widowControl w:val="0"/>
              <w:adjustRightInd w:val="0"/>
              <w:snapToGrid w:val="0"/>
              <w:jc w:val="center"/>
              <w:rPr>
                <w:rFonts w:eastAsia="仿宋_GB2312"/>
                <w:color w:val="000000"/>
                <w:kern w:val="0"/>
                <w:sz w:val="21"/>
                <w:szCs w:val="21"/>
                <w:lang w:val="en-US" w:eastAsia="zh-CN" w:bidi="ar-SA"/>
              </w:rPr>
            </w:pPr>
          </w:p>
        </w:tc>
        <w:tc>
          <w:tcPr>
            <w:tcW w:w="1050" w:type="dxa"/>
            <w:noWrap w:val="0"/>
            <w:tcMar>
              <w:top w:w="12" w:type="dxa"/>
              <w:left w:w="12" w:type="dxa"/>
              <w:right w:w="12" w:type="dxa"/>
            </w:tcMar>
            <w:vAlign w:val="center"/>
          </w:tcPr>
          <w:p w14:paraId="18FFF7C8">
            <w:pPr>
              <w:widowControl w:val="0"/>
              <w:adjustRightInd w:val="0"/>
              <w:snapToGrid w:val="0"/>
              <w:jc w:val="center"/>
              <w:rPr>
                <w:rFonts w:hint="eastAsia"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2治理要求（5分）</w:t>
            </w:r>
          </w:p>
        </w:tc>
        <w:tc>
          <w:tcPr>
            <w:tcW w:w="771" w:type="dxa"/>
            <w:gridSpan w:val="2"/>
            <w:noWrap w:val="0"/>
            <w:tcMar>
              <w:top w:w="12" w:type="dxa"/>
              <w:left w:w="12" w:type="dxa"/>
              <w:right w:w="12" w:type="dxa"/>
            </w:tcMar>
            <w:vAlign w:val="center"/>
          </w:tcPr>
          <w:p w14:paraId="0799A134">
            <w:pPr>
              <w:widowControl w:val="0"/>
              <w:adjustRightInd w:val="0"/>
              <w:snapToGrid w:val="0"/>
              <w:jc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40</w:t>
            </w:r>
            <w:r>
              <w:rPr>
                <w:rFonts w:eastAsia="仿宋_GB2312"/>
                <w:color w:val="000000"/>
                <w:kern w:val="0"/>
                <w:sz w:val="21"/>
                <w:szCs w:val="21"/>
                <w:lang w:val="en-US" w:eastAsia="zh-CN" w:bidi="ar-SA"/>
              </w:rPr>
              <w:t>治理效果</w:t>
            </w:r>
          </w:p>
        </w:tc>
        <w:tc>
          <w:tcPr>
            <w:tcW w:w="694" w:type="dxa"/>
            <w:noWrap w:val="0"/>
            <w:tcMar>
              <w:top w:w="12" w:type="dxa"/>
              <w:left w:w="12" w:type="dxa"/>
              <w:right w:w="12" w:type="dxa"/>
            </w:tcMar>
            <w:vAlign w:val="center"/>
          </w:tcPr>
          <w:p w14:paraId="582DBD3B">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5</w:t>
            </w:r>
          </w:p>
        </w:tc>
        <w:tc>
          <w:tcPr>
            <w:tcW w:w="5646" w:type="dxa"/>
            <w:noWrap w:val="0"/>
            <w:tcMar>
              <w:top w:w="12" w:type="dxa"/>
              <w:left w:w="12" w:type="dxa"/>
              <w:right w:w="12" w:type="dxa"/>
            </w:tcMar>
            <w:vAlign w:val="center"/>
          </w:tcPr>
          <w:p w14:paraId="44213076">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不</w:t>
            </w:r>
            <w:r>
              <w:rPr>
                <w:rFonts w:hint="eastAsia" w:eastAsia="仿宋_GB2312"/>
                <w:color w:val="000000"/>
                <w:kern w:val="0"/>
                <w:sz w:val="21"/>
                <w:szCs w:val="21"/>
                <w:lang w:val="en-US" w:eastAsia="zh-CN" w:bidi="ar-SA"/>
              </w:rPr>
              <w:t>新</w:t>
            </w:r>
            <w:r>
              <w:rPr>
                <w:rFonts w:eastAsia="仿宋_GB2312"/>
                <w:color w:val="000000"/>
                <w:kern w:val="0"/>
                <w:sz w:val="21"/>
                <w:szCs w:val="21"/>
                <w:lang w:val="en-US" w:eastAsia="zh-CN" w:bidi="ar-SA"/>
              </w:rPr>
              <w:t>设永久排矸场</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排土场、尾矿库、露天采场、矿区专用道路、矿山工业场地、塌陷区、废石场等区域生态修复</w:t>
            </w:r>
            <w:r>
              <w:rPr>
                <w:rFonts w:hint="eastAsia" w:eastAsia="仿宋_GB2312"/>
                <w:color w:val="000000"/>
                <w:kern w:val="0"/>
                <w:sz w:val="21"/>
                <w:szCs w:val="21"/>
                <w:lang w:val="en-US" w:eastAsia="zh-CN" w:bidi="ar-SA"/>
              </w:rPr>
              <w:t>与环境治理</w:t>
            </w:r>
            <w:r>
              <w:rPr>
                <w:rFonts w:eastAsia="仿宋_GB2312"/>
                <w:color w:val="000000"/>
                <w:kern w:val="0"/>
                <w:sz w:val="21"/>
                <w:szCs w:val="21"/>
                <w:lang w:val="en-US" w:eastAsia="zh-CN" w:bidi="ar-SA"/>
              </w:rPr>
              <w:t>符合要求。</w:t>
            </w:r>
            <w:r>
              <w:rPr>
                <w:rFonts w:hint="eastAsia" w:eastAsia="仿宋_GB2312"/>
                <w:color w:val="000000"/>
                <w:kern w:val="0"/>
                <w:sz w:val="21"/>
                <w:szCs w:val="21"/>
                <w:lang w:val="en-US" w:eastAsia="zh-CN" w:bidi="ar-SA"/>
              </w:rPr>
              <w:t>落实“边开采、边修复”要求，矿山生态修复能够分区、分期进行的，要分区、分期开展。</w:t>
            </w:r>
            <w:r>
              <w:rPr>
                <w:rFonts w:eastAsia="仿宋_GB2312"/>
                <w:color w:val="000000"/>
                <w:kern w:val="0"/>
                <w:sz w:val="21"/>
                <w:szCs w:val="21"/>
                <w:lang w:val="en-US" w:eastAsia="zh-CN" w:bidi="ar-SA"/>
              </w:rPr>
              <w:t>治理后的各类场地对周边环境不产生污染，与周边自然环境相协调，周边水体质量恢复至原水平，区域生态功能得到保护和恢复。符合要求得5分，不符合得0分。</w:t>
            </w:r>
          </w:p>
        </w:tc>
        <w:tc>
          <w:tcPr>
            <w:tcW w:w="866" w:type="dxa"/>
            <w:noWrap w:val="0"/>
            <w:tcMar>
              <w:top w:w="12" w:type="dxa"/>
              <w:left w:w="12" w:type="dxa"/>
              <w:right w:w="12" w:type="dxa"/>
            </w:tcMar>
            <w:vAlign w:val="center"/>
          </w:tcPr>
          <w:p w14:paraId="57951FDD">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查资料、查现场</w:t>
            </w:r>
          </w:p>
        </w:tc>
        <w:tc>
          <w:tcPr>
            <w:tcW w:w="2640" w:type="dxa"/>
            <w:noWrap w:val="0"/>
            <w:tcMar>
              <w:top w:w="12" w:type="dxa"/>
              <w:left w:w="12" w:type="dxa"/>
              <w:right w:w="12" w:type="dxa"/>
            </w:tcMar>
            <w:vAlign w:val="center"/>
          </w:tcPr>
          <w:p w14:paraId="20E5655B">
            <w:pPr>
              <w:widowControl w:val="0"/>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《矿山生态环境保护与恢复治理技术规范》（HJ 651）</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《土地复垦质量控制标准》</w:t>
            </w:r>
            <w:r>
              <w:rPr>
                <w:rFonts w:hint="eastAsia" w:ascii="Calibri" w:hAnsi="Calibri" w:eastAsia="仿宋_GB2312"/>
                <w:color w:val="000000"/>
                <w:kern w:val="0"/>
                <w:sz w:val="21"/>
                <w:szCs w:val="21"/>
                <w:lang w:val="en-US" w:eastAsia="zh-CN" w:bidi="ar-SA"/>
              </w:rPr>
              <w:t>（</w:t>
            </w:r>
            <w:r>
              <w:rPr>
                <w:rFonts w:eastAsia="仿宋_GB2312"/>
                <w:color w:val="000000"/>
                <w:kern w:val="0"/>
                <w:sz w:val="21"/>
                <w:szCs w:val="21"/>
                <w:lang w:val="en-US" w:eastAsia="zh-CN" w:bidi="ar-SA"/>
              </w:rPr>
              <w:t>TD</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T</w:t>
            </w:r>
            <w:r>
              <w:rPr>
                <w:rFonts w:hint="eastAsia" w:eastAsia="仿宋_GB2312"/>
                <w:color w:val="000000"/>
                <w:kern w:val="0"/>
                <w:sz w:val="21"/>
                <w:szCs w:val="21"/>
                <w:lang w:val="en-US" w:eastAsia="zh-CN" w:bidi="ar-SA"/>
              </w:rPr>
              <w:t xml:space="preserve"> </w:t>
            </w:r>
            <w:r>
              <w:rPr>
                <w:rFonts w:eastAsia="仿宋_GB2312"/>
                <w:color w:val="000000"/>
                <w:kern w:val="0"/>
                <w:sz w:val="21"/>
                <w:szCs w:val="21"/>
                <w:lang w:val="en-US" w:eastAsia="zh-CN" w:bidi="ar-SA"/>
              </w:rPr>
              <w:t xml:space="preserve">1036) </w:t>
            </w:r>
            <w:r>
              <w:rPr>
                <w:rFonts w:hint="eastAsia" w:eastAsia="仿宋_GB2312"/>
                <w:color w:val="000000"/>
                <w:kern w:val="0"/>
                <w:sz w:val="21"/>
                <w:szCs w:val="21"/>
                <w:lang w:val="en-US" w:eastAsia="zh-CN" w:bidi="ar-SA"/>
              </w:rPr>
              <w:t>、《矿山生态修复技术规范》</w:t>
            </w:r>
            <w:r>
              <w:rPr>
                <w:rFonts w:hint="eastAsia" w:ascii="Calibri" w:hAnsi="Calibri" w:eastAsia="仿宋_GB2312"/>
                <w:color w:val="000000"/>
                <w:kern w:val="0"/>
                <w:sz w:val="21"/>
                <w:szCs w:val="21"/>
                <w:lang w:val="en-US" w:eastAsia="zh-CN" w:bidi="ar-SA"/>
              </w:rPr>
              <w:t>（</w:t>
            </w:r>
            <w:r>
              <w:rPr>
                <w:rFonts w:hint="eastAsia" w:eastAsia="仿宋_GB2312"/>
                <w:color w:val="000000"/>
                <w:kern w:val="0"/>
                <w:sz w:val="21"/>
                <w:szCs w:val="21"/>
                <w:lang w:val="en-US" w:eastAsia="zh-CN" w:bidi="ar-SA"/>
              </w:rPr>
              <w:t>TD/T 1070</w:t>
            </w:r>
            <w:r>
              <w:rPr>
                <w:rFonts w:hint="eastAsia" w:ascii="Calibri" w:hAnsi="Calibri" w:eastAsia="仿宋_GB2312"/>
                <w:color w:val="000000"/>
                <w:kern w:val="0"/>
                <w:sz w:val="21"/>
                <w:szCs w:val="21"/>
                <w:lang w:val="en-US" w:eastAsia="zh-CN" w:bidi="ar-SA"/>
              </w:rPr>
              <w:t>）</w:t>
            </w:r>
            <w:r>
              <w:rPr>
                <w:rFonts w:hint="eastAsia" w:eastAsia="仿宋_GB2312"/>
                <w:color w:val="000000"/>
                <w:kern w:val="0"/>
                <w:sz w:val="21"/>
                <w:szCs w:val="21"/>
                <w:lang w:val="en-US" w:eastAsia="zh-CN" w:bidi="ar-SA"/>
              </w:rPr>
              <w:t>、《生态保护修复成效评估技术指南（试行）》（HJ 1272—2022），</w:t>
            </w:r>
            <w:r>
              <w:rPr>
                <w:rFonts w:eastAsia="仿宋_GB2312"/>
                <w:color w:val="000000"/>
                <w:kern w:val="0"/>
                <w:sz w:val="21"/>
                <w:szCs w:val="21"/>
                <w:lang w:val="en-US" w:eastAsia="zh-CN" w:bidi="ar-SA"/>
              </w:rPr>
              <w:t>其他文件证明材料</w:t>
            </w:r>
          </w:p>
        </w:tc>
        <w:tc>
          <w:tcPr>
            <w:tcW w:w="915" w:type="dxa"/>
            <w:noWrap w:val="0"/>
            <w:tcMar>
              <w:top w:w="12" w:type="dxa"/>
              <w:left w:w="12" w:type="dxa"/>
              <w:right w:w="12" w:type="dxa"/>
            </w:tcMar>
            <w:vAlign w:val="center"/>
          </w:tcPr>
          <w:p w14:paraId="397D2380">
            <w:pPr>
              <w:widowControl w:val="0"/>
              <w:adjustRightInd w:val="0"/>
              <w:snapToGrid w:val="0"/>
              <w:jc w:val="center"/>
              <w:rPr>
                <w:rFonts w:hint="eastAsia"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约束性</w:t>
            </w:r>
          </w:p>
        </w:tc>
        <w:tc>
          <w:tcPr>
            <w:tcW w:w="915" w:type="dxa"/>
            <w:noWrap w:val="0"/>
            <w:vAlign w:val="center"/>
          </w:tcPr>
          <w:p w14:paraId="17470B51">
            <w:pPr>
              <w:widowControl w:val="0"/>
              <w:adjustRightInd w:val="0"/>
              <w:snapToGrid w:val="0"/>
              <w:jc w:val="both"/>
              <w:rPr>
                <w:rFonts w:eastAsia="仿宋_GB2312"/>
                <w:color w:val="000000"/>
                <w:kern w:val="0"/>
                <w:sz w:val="21"/>
                <w:szCs w:val="21"/>
                <w:lang w:val="en-US" w:eastAsia="zh-CN" w:bidi="ar-SA"/>
              </w:rPr>
            </w:pPr>
          </w:p>
        </w:tc>
        <w:tc>
          <w:tcPr>
            <w:tcW w:w="501" w:type="dxa"/>
            <w:noWrap w:val="0"/>
            <w:vAlign w:val="center"/>
          </w:tcPr>
          <w:p w14:paraId="5EAC5C52">
            <w:pPr>
              <w:widowControl w:val="0"/>
              <w:adjustRightInd w:val="0"/>
              <w:snapToGrid w:val="0"/>
              <w:jc w:val="center"/>
              <w:rPr>
                <w:rFonts w:eastAsia="仿宋_GB2312"/>
                <w:color w:val="000000"/>
                <w:kern w:val="0"/>
                <w:sz w:val="18"/>
                <w:szCs w:val="18"/>
                <w:lang w:val="en-US" w:eastAsia="zh-CN" w:bidi="ar-SA"/>
              </w:rPr>
            </w:pPr>
          </w:p>
        </w:tc>
      </w:tr>
      <w:tr w14:paraId="553C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1074" w:type="dxa"/>
            <w:vMerge w:val="continue"/>
            <w:noWrap w:val="0"/>
            <w:tcMar>
              <w:top w:w="12" w:type="dxa"/>
              <w:left w:w="12" w:type="dxa"/>
              <w:right w:w="12" w:type="dxa"/>
            </w:tcMar>
            <w:vAlign w:val="center"/>
          </w:tcPr>
          <w:p w14:paraId="6276C7BB">
            <w:pPr>
              <w:widowControl w:val="0"/>
              <w:adjustRightInd w:val="0"/>
              <w:snapToGrid w:val="0"/>
              <w:jc w:val="center"/>
              <w:rPr>
                <w:rFonts w:eastAsia="仿宋_GB2312"/>
                <w:color w:val="000000"/>
                <w:kern w:val="0"/>
                <w:sz w:val="21"/>
                <w:szCs w:val="21"/>
                <w:lang w:val="en-US" w:eastAsia="zh-CN" w:bidi="ar-SA"/>
              </w:rPr>
            </w:pPr>
          </w:p>
        </w:tc>
        <w:tc>
          <w:tcPr>
            <w:tcW w:w="1050" w:type="dxa"/>
            <w:noWrap w:val="0"/>
            <w:tcMar>
              <w:top w:w="12" w:type="dxa"/>
              <w:left w:w="12" w:type="dxa"/>
              <w:right w:w="12" w:type="dxa"/>
            </w:tcMar>
            <w:vAlign w:val="center"/>
          </w:tcPr>
          <w:p w14:paraId="0CCD2BA7">
            <w:pPr>
              <w:widowControl w:val="0"/>
              <w:adjustRightInd w:val="0"/>
              <w:snapToGrid w:val="0"/>
              <w:jc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3</w:t>
            </w:r>
            <w:r>
              <w:rPr>
                <w:rFonts w:eastAsia="仿宋_GB2312"/>
                <w:color w:val="000000"/>
                <w:kern w:val="0"/>
                <w:sz w:val="21"/>
                <w:szCs w:val="21"/>
                <w:lang w:val="en-US" w:eastAsia="zh-CN" w:bidi="ar-SA"/>
              </w:rPr>
              <w:t>矿山环境动态监测（</w:t>
            </w:r>
            <w:r>
              <w:rPr>
                <w:rFonts w:hint="eastAsia" w:eastAsia="仿宋_GB2312"/>
                <w:color w:val="000000"/>
                <w:kern w:val="0"/>
                <w:sz w:val="21"/>
                <w:szCs w:val="21"/>
                <w:lang w:val="en-US" w:eastAsia="zh-CN" w:bidi="ar-SA"/>
              </w:rPr>
              <w:t>3</w:t>
            </w:r>
            <w:r>
              <w:rPr>
                <w:rFonts w:eastAsia="仿宋_GB2312"/>
                <w:color w:val="000000"/>
                <w:kern w:val="0"/>
                <w:sz w:val="21"/>
                <w:szCs w:val="21"/>
                <w:lang w:val="en-US" w:eastAsia="zh-CN" w:bidi="ar-SA"/>
              </w:rPr>
              <w:t>分）</w:t>
            </w:r>
          </w:p>
        </w:tc>
        <w:tc>
          <w:tcPr>
            <w:tcW w:w="771" w:type="dxa"/>
            <w:gridSpan w:val="2"/>
            <w:noWrap w:val="0"/>
            <w:tcMar>
              <w:top w:w="12" w:type="dxa"/>
              <w:left w:w="12" w:type="dxa"/>
              <w:right w:w="12" w:type="dxa"/>
            </w:tcMar>
            <w:vAlign w:val="center"/>
          </w:tcPr>
          <w:p w14:paraId="29510F2E">
            <w:pPr>
              <w:widowControl w:val="0"/>
              <w:adjustRightInd w:val="0"/>
              <w:snapToGrid w:val="0"/>
              <w:jc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41</w:t>
            </w:r>
            <w:r>
              <w:rPr>
                <w:rFonts w:eastAsia="仿宋_GB2312"/>
                <w:color w:val="000000"/>
                <w:kern w:val="0"/>
                <w:sz w:val="21"/>
                <w:szCs w:val="21"/>
                <w:lang w:val="en-US" w:eastAsia="zh-CN" w:bidi="ar-SA"/>
              </w:rPr>
              <w:t>动态监测要求</w:t>
            </w:r>
          </w:p>
        </w:tc>
        <w:tc>
          <w:tcPr>
            <w:tcW w:w="694" w:type="dxa"/>
            <w:noWrap w:val="0"/>
            <w:tcMar>
              <w:top w:w="12" w:type="dxa"/>
              <w:left w:w="12" w:type="dxa"/>
              <w:right w:w="12" w:type="dxa"/>
            </w:tcMar>
            <w:vAlign w:val="center"/>
          </w:tcPr>
          <w:p w14:paraId="1D8A1D72">
            <w:pPr>
              <w:widowControl w:val="0"/>
              <w:adjustRightInd w:val="0"/>
              <w:snapToGrid w:val="0"/>
              <w:jc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3</w:t>
            </w:r>
          </w:p>
        </w:tc>
        <w:tc>
          <w:tcPr>
            <w:tcW w:w="5646" w:type="dxa"/>
            <w:noWrap w:val="0"/>
            <w:tcMar>
              <w:top w:w="12" w:type="dxa"/>
              <w:left w:w="12" w:type="dxa"/>
              <w:right w:w="12" w:type="dxa"/>
            </w:tcMar>
            <w:vAlign w:val="center"/>
          </w:tcPr>
          <w:p w14:paraId="2DD25663">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建立动态监测体系，对选矿废水、矿井水、尾矿库、矸石山、排土场、废石堆场、地下水等定期进行环境监测，并根据监测结果，采取了有效保护措施。</w:t>
            </w:r>
            <w:r>
              <w:rPr>
                <w:rFonts w:hint="eastAsia" w:eastAsia="仿宋_GB2312"/>
                <w:color w:val="000000"/>
                <w:kern w:val="0"/>
                <w:sz w:val="21"/>
                <w:szCs w:val="21"/>
                <w:lang w:val="en-US" w:eastAsia="zh-CN" w:bidi="ar-SA"/>
              </w:rPr>
              <w:t>对地质环境破坏与恢复治理、土地损毁与复垦利用、生态系统破坏（退化）与恢复进行了动态监测。</w:t>
            </w:r>
            <w:r>
              <w:rPr>
                <w:rFonts w:eastAsia="仿宋_GB2312"/>
                <w:color w:val="000000"/>
                <w:kern w:val="0"/>
                <w:sz w:val="21"/>
                <w:szCs w:val="21"/>
                <w:lang w:val="en-US" w:eastAsia="zh-CN" w:bidi="ar-SA"/>
              </w:rPr>
              <w:t>符合要求得</w:t>
            </w:r>
            <w:r>
              <w:rPr>
                <w:rFonts w:hint="eastAsia" w:eastAsia="仿宋_GB2312"/>
                <w:color w:val="000000"/>
                <w:kern w:val="0"/>
                <w:sz w:val="21"/>
                <w:szCs w:val="21"/>
                <w:lang w:val="en-US" w:eastAsia="zh-CN" w:bidi="ar-SA"/>
              </w:rPr>
              <w:t>3</w:t>
            </w:r>
            <w:r>
              <w:rPr>
                <w:rFonts w:eastAsia="仿宋_GB2312"/>
                <w:color w:val="000000"/>
                <w:kern w:val="0"/>
                <w:sz w:val="21"/>
                <w:szCs w:val="21"/>
                <w:lang w:val="en-US" w:eastAsia="zh-CN" w:bidi="ar-SA"/>
              </w:rPr>
              <w:t>分，</w:t>
            </w:r>
            <w:r>
              <w:rPr>
                <w:rFonts w:hint="eastAsia" w:eastAsia="仿宋_GB2312"/>
                <w:color w:val="000000"/>
                <w:kern w:val="0"/>
                <w:sz w:val="21"/>
                <w:szCs w:val="21"/>
                <w:lang w:val="en-US" w:eastAsia="zh-CN" w:bidi="ar-SA"/>
              </w:rPr>
              <w:t>不符合得0分</w:t>
            </w:r>
            <w:r>
              <w:rPr>
                <w:rFonts w:eastAsia="仿宋_GB2312"/>
                <w:color w:val="000000"/>
                <w:kern w:val="0"/>
                <w:sz w:val="21"/>
                <w:szCs w:val="21"/>
                <w:lang w:val="en-US" w:eastAsia="zh-CN" w:bidi="ar-SA"/>
              </w:rPr>
              <w:t>。</w:t>
            </w:r>
          </w:p>
        </w:tc>
        <w:tc>
          <w:tcPr>
            <w:tcW w:w="866" w:type="dxa"/>
            <w:noWrap w:val="0"/>
            <w:tcMar>
              <w:top w:w="12" w:type="dxa"/>
              <w:left w:w="12" w:type="dxa"/>
              <w:right w:w="12" w:type="dxa"/>
            </w:tcMar>
            <w:vAlign w:val="center"/>
          </w:tcPr>
          <w:p w14:paraId="4624168C">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查资料、查现场</w:t>
            </w:r>
          </w:p>
        </w:tc>
        <w:tc>
          <w:tcPr>
            <w:tcW w:w="2640" w:type="dxa"/>
            <w:noWrap w:val="0"/>
            <w:tcMar>
              <w:top w:w="12" w:type="dxa"/>
              <w:left w:w="12" w:type="dxa"/>
              <w:right w:w="12" w:type="dxa"/>
            </w:tcMar>
            <w:vAlign w:val="center"/>
          </w:tcPr>
          <w:p w14:paraId="5303B657">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监测记录</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《生态保护修复成效评估技术指南（试行）》（HJ 1272—2022）</w:t>
            </w:r>
            <w:r>
              <w:rPr>
                <w:rFonts w:hint="eastAsia" w:eastAsia="仿宋_GB2312"/>
                <w:color w:val="000000"/>
                <w:kern w:val="0"/>
                <w:sz w:val="21"/>
                <w:szCs w:val="21"/>
                <w:lang w:val="en-US" w:eastAsia="zh-CN" w:bidi="ar-SA"/>
              </w:rPr>
              <w:t>、《矿山生态修复技术规范》</w:t>
            </w:r>
            <w:r>
              <w:rPr>
                <w:rFonts w:hint="eastAsia" w:ascii="Calibri" w:hAnsi="Calibri" w:eastAsia="仿宋_GB2312"/>
                <w:color w:val="000000"/>
                <w:kern w:val="0"/>
                <w:sz w:val="21"/>
                <w:szCs w:val="21"/>
                <w:lang w:val="en-US" w:eastAsia="zh-CN" w:bidi="ar-SA"/>
              </w:rPr>
              <w:t>（</w:t>
            </w:r>
            <w:r>
              <w:rPr>
                <w:rFonts w:hint="eastAsia" w:eastAsia="仿宋_GB2312"/>
                <w:color w:val="000000"/>
                <w:kern w:val="0"/>
                <w:sz w:val="21"/>
                <w:szCs w:val="21"/>
                <w:lang w:val="en-US" w:eastAsia="zh-CN" w:bidi="ar-SA"/>
              </w:rPr>
              <w:t>TD/T 1070</w:t>
            </w:r>
            <w:r>
              <w:rPr>
                <w:rFonts w:hint="eastAsia" w:ascii="Calibri" w:hAnsi="Calibri" w:eastAsia="仿宋_GB2312"/>
                <w:color w:val="000000"/>
                <w:kern w:val="0"/>
                <w:sz w:val="21"/>
                <w:szCs w:val="21"/>
                <w:lang w:val="en-US" w:eastAsia="zh-CN" w:bidi="ar-SA"/>
              </w:rPr>
              <w:t>）</w:t>
            </w:r>
            <w:r>
              <w:rPr>
                <w:rFonts w:hint="eastAsia" w:eastAsia="仿宋_GB2312"/>
                <w:color w:val="000000"/>
                <w:kern w:val="0"/>
                <w:sz w:val="21"/>
                <w:szCs w:val="21"/>
                <w:lang w:val="en-US" w:eastAsia="zh-CN" w:bidi="ar-SA"/>
              </w:rPr>
              <w:t>等相关标准规范</w:t>
            </w:r>
            <w:r>
              <w:rPr>
                <w:rFonts w:eastAsia="仿宋_GB2312"/>
                <w:color w:val="000000"/>
                <w:kern w:val="0"/>
                <w:sz w:val="21"/>
                <w:szCs w:val="21"/>
                <w:lang w:val="en-US" w:eastAsia="zh-CN" w:bidi="ar-SA"/>
              </w:rPr>
              <w:t>或</w:t>
            </w:r>
            <w:r>
              <w:rPr>
                <w:rFonts w:eastAsia="仿宋_GB2312"/>
                <w:color w:val="000000"/>
                <w:kern w:val="0"/>
                <w:sz w:val="21"/>
                <w:szCs w:val="21"/>
                <w:lang w:val="en-US" w:eastAsia="zh-CN" w:bidi="ar"/>
              </w:rPr>
              <w:t>其他证明材料</w:t>
            </w:r>
          </w:p>
        </w:tc>
        <w:tc>
          <w:tcPr>
            <w:tcW w:w="915" w:type="dxa"/>
            <w:noWrap w:val="0"/>
            <w:tcMar>
              <w:top w:w="12" w:type="dxa"/>
              <w:left w:w="12" w:type="dxa"/>
              <w:right w:w="12" w:type="dxa"/>
            </w:tcMar>
            <w:vAlign w:val="center"/>
          </w:tcPr>
          <w:p w14:paraId="4227FD72">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约束性</w:t>
            </w:r>
          </w:p>
        </w:tc>
        <w:tc>
          <w:tcPr>
            <w:tcW w:w="915" w:type="dxa"/>
            <w:noWrap w:val="0"/>
            <w:vAlign w:val="center"/>
          </w:tcPr>
          <w:p w14:paraId="5AAFAEFA">
            <w:pPr>
              <w:widowControl w:val="0"/>
              <w:adjustRightInd w:val="0"/>
              <w:snapToGrid w:val="0"/>
              <w:jc w:val="both"/>
              <w:rPr>
                <w:rFonts w:eastAsia="仿宋_GB2312"/>
                <w:color w:val="000000"/>
                <w:kern w:val="0"/>
                <w:sz w:val="21"/>
                <w:szCs w:val="21"/>
                <w:lang w:val="en-US" w:eastAsia="zh-CN" w:bidi="ar-SA"/>
              </w:rPr>
            </w:pPr>
          </w:p>
        </w:tc>
        <w:tc>
          <w:tcPr>
            <w:tcW w:w="501" w:type="dxa"/>
            <w:noWrap w:val="0"/>
            <w:vAlign w:val="center"/>
          </w:tcPr>
          <w:p w14:paraId="55554CB5">
            <w:pPr>
              <w:widowControl w:val="0"/>
              <w:adjustRightInd w:val="0"/>
              <w:snapToGrid w:val="0"/>
              <w:jc w:val="center"/>
              <w:rPr>
                <w:rFonts w:eastAsia="仿宋_GB2312"/>
                <w:color w:val="000000"/>
                <w:kern w:val="0"/>
                <w:sz w:val="18"/>
                <w:szCs w:val="18"/>
                <w:lang w:val="en-US" w:eastAsia="zh-CN" w:bidi="ar-SA"/>
              </w:rPr>
            </w:pPr>
          </w:p>
        </w:tc>
      </w:tr>
      <w:tr w14:paraId="7D7D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1074" w:type="dxa"/>
            <w:vMerge w:val="continue"/>
            <w:noWrap w:val="0"/>
            <w:tcMar>
              <w:top w:w="12" w:type="dxa"/>
              <w:left w:w="12" w:type="dxa"/>
              <w:right w:w="12" w:type="dxa"/>
            </w:tcMar>
            <w:vAlign w:val="center"/>
          </w:tcPr>
          <w:p w14:paraId="20F7F752">
            <w:pPr>
              <w:widowControl w:val="0"/>
              <w:adjustRightInd w:val="0"/>
              <w:snapToGrid w:val="0"/>
              <w:jc w:val="center"/>
              <w:rPr>
                <w:rFonts w:eastAsia="仿宋_GB2312"/>
                <w:color w:val="000000"/>
                <w:kern w:val="0"/>
                <w:sz w:val="21"/>
                <w:szCs w:val="21"/>
                <w:lang w:val="en-US" w:eastAsia="zh-CN" w:bidi="ar-SA"/>
              </w:rPr>
            </w:pPr>
          </w:p>
        </w:tc>
        <w:tc>
          <w:tcPr>
            <w:tcW w:w="1050" w:type="dxa"/>
            <w:noWrap w:val="0"/>
            <w:tcMar>
              <w:top w:w="12" w:type="dxa"/>
              <w:left w:w="12" w:type="dxa"/>
              <w:right w:w="12" w:type="dxa"/>
            </w:tcMar>
            <w:vAlign w:val="center"/>
          </w:tcPr>
          <w:p w14:paraId="434AC79A">
            <w:pPr>
              <w:widowControl w:val="0"/>
              <w:adjustRightInd w:val="0"/>
              <w:snapToGrid w:val="0"/>
              <w:jc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4</w:t>
            </w:r>
            <w:r>
              <w:rPr>
                <w:rFonts w:eastAsia="仿宋_GB2312"/>
                <w:color w:val="000000"/>
                <w:kern w:val="0"/>
                <w:sz w:val="21"/>
                <w:szCs w:val="21"/>
                <w:lang w:val="en-US" w:eastAsia="zh-CN" w:bidi="ar-SA"/>
              </w:rPr>
              <w:t>环境管理体系（3分）</w:t>
            </w:r>
          </w:p>
        </w:tc>
        <w:tc>
          <w:tcPr>
            <w:tcW w:w="771" w:type="dxa"/>
            <w:gridSpan w:val="2"/>
            <w:noWrap w:val="0"/>
            <w:tcMar>
              <w:top w:w="12" w:type="dxa"/>
              <w:left w:w="12" w:type="dxa"/>
              <w:right w:w="12" w:type="dxa"/>
            </w:tcMar>
            <w:vAlign w:val="center"/>
          </w:tcPr>
          <w:p w14:paraId="3D69337C">
            <w:pPr>
              <w:widowControl w:val="0"/>
              <w:adjustRightInd w:val="0"/>
              <w:snapToGrid w:val="0"/>
              <w:jc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42</w:t>
            </w:r>
            <w:r>
              <w:rPr>
                <w:rFonts w:eastAsia="仿宋_GB2312"/>
                <w:color w:val="000000"/>
                <w:kern w:val="0"/>
                <w:sz w:val="21"/>
                <w:szCs w:val="21"/>
                <w:lang w:val="en-US" w:eastAsia="zh-CN" w:bidi="ar-SA"/>
              </w:rPr>
              <w:t>环境管理体系要求</w:t>
            </w:r>
          </w:p>
        </w:tc>
        <w:tc>
          <w:tcPr>
            <w:tcW w:w="694" w:type="dxa"/>
            <w:noWrap w:val="0"/>
            <w:tcMar>
              <w:top w:w="12" w:type="dxa"/>
              <w:left w:w="12" w:type="dxa"/>
              <w:right w:w="12" w:type="dxa"/>
            </w:tcMar>
            <w:vAlign w:val="center"/>
          </w:tcPr>
          <w:p w14:paraId="574704DC">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3</w:t>
            </w:r>
          </w:p>
        </w:tc>
        <w:tc>
          <w:tcPr>
            <w:tcW w:w="5646" w:type="dxa"/>
            <w:noWrap w:val="0"/>
            <w:tcMar>
              <w:top w:w="12" w:type="dxa"/>
              <w:left w:w="12" w:type="dxa"/>
              <w:right w:w="12" w:type="dxa"/>
            </w:tcMar>
            <w:vAlign w:val="center"/>
          </w:tcPr>
          <w:p w14:paraId="1E86225E">
            <w:pPr>
              <w:widowControl w:val="0"/>
              <w:adjustRightInd w:val="0"/>
              <w:snapToGrid w:val="0"/>
              <w:jc w:val="both"/>
              <w:rPr>
                <w:rFonts w:eastAsia="仿宋_GB2312"/>
                <w:color w:val="000000"/>
                <w:kern w:val="0"/>
                <w:sz w:val="21"/>
                <w:szCs w:val="21"/>
                <w:lang w:val="en-US" w:eastAsia="zh-CN" w:bidi="ar-SA"/>
              </w:rPr>
            </w:pPr>
            <w:r>
              <w:rPr>
                <w:rFonts w:eastAsia="仿宋_GB2312"/>
                <w:color w:val="000000"/>
                <w:kern w:val="0"/>
                <w:sz w:val="21"/>
                <w:szCs w:val="21"/>
                <w:lang w:val="en-US" w:eastAsia="zh-CN" w:bidi="ar-SA"/>
              </w:rPr>
              <w:t>建立环境管理机制，有完善的环境管理制度，配备了必要的环境管理机构和生态环境保护等专业技术人员</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得1分。有环境管理日常监管记录，采取了环境风险防范措施</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得1分。获得环境管理体系认证，得1分。</w:t>
            </w:r>
          </w:p>
        </w:tc>
        <w:tc>
          <w:tcPr>
            <w:tcW w:w="866" w:type="dxa"/>
            <w:noWrap w:val="0"/>
            <w:tcMar>
              <w:top w:w="12" w:type="dxa"/>
              <w:left w:w="12" w:type="dxa"/>
              <w:right w:w="12" w:type="dxa"/>
            </w:tcMar>
            <w:vAlign w:val="center"/>
          </w:tcPr>
          <w:p w14:paraId="333326DB">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查资料、查现场</w:t>
            </w:r>
          </w:p>
        </w:tc>
        <w:tc>
          <w:tcPr>
            <w:tcW w:w="2640" w:type="dxa"/>
            <w:noWrap w:val="0"/>
            <w:tcMar>
              <w:top w:w="12" w:type="dxa"/>
              <w:left w:w="12" w:type="dxa"/>
              <w:right w:w="12" w:type="dxa"/>
            </w:tcMar>
            <w:vAlign w:val="center"/>
          </w:tcPr>
          <w:p w14:paraId="56F64711">
            <w:pPr>
              <w:widowControl w:val="0"/>
              <w:adjustRightInd w:val="0"/>
              <w:snapToGrid w:val="0"/>
              <w:jc w:val="left"/>
              <w:rPr>
                <w:rFonts w:hint="eastAsia" w:eastAsia="仿宋_GB2312"/>
                <w:color w:val="000000"/>
                <w:kern w:val="0"/>
                <w:sz w:val="21"/>
                <w:szCs w:val="21"/>
                <w:lang w:val="en-US" w:eastAsia="zh-CN" w:bidi="ar-SA"/>
              </w:rPr>
            </w:pPr>
            <w:r>
              <w:rPr>
                <w:rFonts w:eastAsia="仿宋_GB2312"/>
                <w:color w:val="000000"/>
                <w:kern w:val="0"/>
                <w:sz w:val="21"/>
                <w:szCs w:val="21"/>
                <w:lang w:val="en-US" w:eastAsia="zh-CN" w:bidi="ar-SA"/>
              </w:rPr>
              <w:t>环境管理制度、突发事件预案、认证证书</w:t>
            </w:r>
            <w:r>
              <w:rPr>
                <w:rFonts w:hint="eastAsia" w:eastAsia="仿宋_GB2312"/>
                <w:color w:val="000000"/>
                <w:kern w:val="0"/>
                <w:sz w:val="21"/>
                <w:szCs w:val="21"/>
                <w:lang w:val="en-US" w:eastAsia="zh-CN" w:bidi="ar-SA"/>
              </w:rPr>
              <w:t>，</w:t>
            </w:r>
            <w:r>
              <w:rPr>
                <w:rFonts w:eastAsia="仿宋_GB2312"/>
                <w:color w:val="000000"/>
                <w:kern w:val="0"/>
                <w:sz w:val="21"/>
                <w:szCs w:val="21"/>
                <w:lang w:val="en-US" w:eastAsia="zh-CN" w:bidi="ar-SA"/>
              </w:rPr>
              <w:t>《生态保护修复成效评估技术指南（试行）》（HJ 1272—2022）</w:t>
            </w:r>
          </w:p>
        </w:tc>
        <w:tc>
          <w:tcPr>
            <w:tcW w:w="915" w:type="dxa"/>
            <w:noWrap w:val="0"/>
            <w:tcMar>
              <w:top w:w="12" w:type="dxa"/>
              <w:left w:w="12" w:type="dxa"/>
              <w:right w:w="12" w:type="dxa"/>
            </w:tcMar>
            <w:vAlign w:val="center"/>
          </w:tcPr>
          <w:p w14:paraId="4A3A4F9D">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7A311A80">
            <w:pPr>
              <w:widowControl w:val="0"/>
              <w:adjustRightInd w:val="0"/>
              <w:snapToGrid w:val="0"/>
              <w:jc w:val="both"/>
              <w:rPr>
                <w:rFonts w:eastAsia="仿宋_GB2312"/>
                <w:color w:val="000000"/>
                <w:kern w:val="0"/>
                <w:sz w:val="21"/>
                <w:szCs w:val="21"/>
                <w:lang w:val="en-US" w:eastAsia="zh-CN" w:bidi="ar-SA"/>
              </w:rPr>
            </w:pPr>
          </w:p>
        </w:tc>
        <w:tc>
          <w:tcPr>
            <w:tcW w:w="501" w:type="dxa"/>
            <w:noWrap w:val="0"/>
            <w:vAlign w:val="center"/>
          </w:tcPr>
          <w:p w14:paraId="52F8586E">
            <w:pPr>
              <w:widowControl w:val="0"/>
              <w:adjustRightInd w:val="0"/>
              <w:snapToGrid w:val="0"/>
              <w:jc w:val="center"/>
              <w:rPr>
                <w:rFonts w:eastAsia="仿宋_GB2312"/>
                <w:color w:val="000000"/>
                <w:kern w:val="0"/>
                <w:sz w:val="18"/>
                <w:szCs w:val="18"/>
                <w:lang w:val="en-US" w:eastAsia="zh-CN" w:bidi="ar-SA"/>
              </w:rPr>
            </w:pPr>
          </w:p>
        </w:tc>
      </w:tr>
      <w:tr w14:paraId="07F0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1074" w:type="dxa"/>
            <w:vMerge w:val="restart"/>
            <w:noWrap w:val="0"/>
            <w:tcMar>
              <w:top w:w="12" w:type="dxa"/>
              <w:left w:w="12" w:type="dxa"/>
              <w:right w:w="12" w:type="dxa"/>
            </w:tcMar>
            <w:vAlign w:val="center"/>
          </w:tcPr>
          <w:p w14:paraId="749D14B4">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六、科技创新与规范管理（7项，12分）</w:t>
            </w:r>
          </w:p>
        </w:tc>
        <w:tc>
          <w:tcPr>
            <w:tcW w:w="1050" w:type="dxa"/>
            <w:vMerge w:val="restart"/>
            <w:noWrap w:val="0"/>
            <w:tcMar>
              <w:top w:w="12" w:type="dxa"/>
              <w:left w:w="12" w:type="dxa"/>
              <w:right w:w="12" w:type="dxa"/>
            </w:tcMar>
            <w:vAlign w:val="center"/>
          </w:tcPr>
          <w:p w14:paraId="425E9538">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1科技创新（3分）</w:t>
            </w:r>
          </w:p>
        </w:tc>
        <w:tc>
          <w:tcPr>
            <w:tcW w:w="771" w:type="dxa"/>
            <w:gridSpan w:val="2"/>
            <w:noWrap w:val="0"/>
            <w:tcMar>
              <w:top w:w="12" w:type="dxa"/>
              <w:left w:w="12" w:type="dxa"/>
              <w:right w:w="12" w:type="dxa"/>
            </w:tcMar>
            <w:vAlign w:val="center"/>
          </w:tcPr>
          <w:p w14:paraId="2C20ED8A">
            <w:pPr>
              <w:widowControl/>
              <w:adjustRightInd w:val="0"/>
              <w:snapToGrid w:val="0"/>
              <w:jc w:val="center"/>
              <w:textAlignment w:val="center"/>
              <w:rPr>
                <w:rFonts w:eastAsia="仿宋_GB2312"/>
                <w:color w:val="000000"/>
                <w:kern w:val="0"/>
                <w:sz w:val="21"/>
                <w:szCs w:val="21"/>
                <w:lang w:val="en-US" w:eastAsia="zh-CN" w:bidi="ar"/>
              </w:rPr>
            </w:pPr>
            <w:r>
              <w:rPr>
                <w:rFonts w:hint="eastAsia" w:eastAsia="仿宋_GB2312"/>
                <w:color w:val="000000"/>
                <w:kern w:val="0"/>
                <w:sz w:val="21"/>
                <w:szCs w:val="21"/>
                <w:lang w:val="en-US" w:eastAsia="zh-CN" w:bidi="ar"/>
              </w:rPr>
              <w:t>43</w:t>
            </w:r>
            <w:r>
              <w:rPr>
                <w:rFonts w:eastAsia="仿宋_GB2312"/>
                <w:color w:val="000000"/>
                <w:kern w:val="0"/>
                <w:sz w:val="21"/>
                <w:szCs w:val="21"/>
                <w:lang w:val="en-US" w:eastAsia="zh-CN" w:bidi="ar"/>
              </w:rPr>
              <w:t>研发及技改投入</w:t>
            </w:r>
          </w:p>
        </w:tc>
        <w:tc>
          <w:tcPr>
            <w:tcW w:w="694" w:type="dxa"/>
            <w:noWrap w:val="0"/>
            <w:tcMar>
              <w:top w:w="12" w:type="dxa"/>
              <w:left w:w="12" w:type="dxa"/>
              <w:right w:w="12" w:type="dxa"/>
            </w:tcMar>
            <w:vAlign w:val="center"/>
          </w:tcPr>
          <w:p w14:paraId="6FC91F8B">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1</w:t>
            </w:r>
          </w:p>
        </w:tc>
        <w:tc>
          <w:tcPr>
            <w:tcW w:w="5646" w:type="dxa"/>
            <w:noWrap w:val="0"/>
            <w:tcMar>
              <w:top w:w="12" w:type="dxa"/>
              <w:left w:w="12" w:type="dxa"/>
              <w:right w:w="12" w:type="dxa"/>
            </w:tcMar>
            <w:vAlign w:val="top"/>
          </w:tcPr>
          <w:p w14:paraId="00B6AEB1">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具有技术研发队伍和专业技术人员</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得0.5分；研发及技改投入不低于上年度主营业务收入的1.5%</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得0.5分</w:t>
            </w:r>
            <w:r>
              <w:rPr>
                <w:rFonts w:hint="eastAsia" w:eastAsia="仿宋_GB2312"/>
                <w:color w:val="000000"/>
                <w:kern w:val="0"/>
                <w:sz w:val="21"/>
                <w:szCs w:val="21"/>
                <w:lang w:val="en-US" w:eastAsia="zh-CN" w:bidi="ar"/>
              </w:rPr>
              <w:t>；完成环评要求的专项研究，得0.5分</w:t>
            </w:r>
            <w:r>
              <w:rPr>
                <w:rFonts w:eastAsia="仿宋_GB2312"/>
                <w:color w:val="000000"/>
                <w:kern w:val="0"/>
                <w:sz w:val="21"/>
                <w:szCs w:val="21"/>
                <w:lang w:val="en-US" w:eastAsia="zh-CN" w:bidi="ar"/>
              </w:rPr>
              <w:t>。</w:t>
            </w:r>
            <w:r>
              <w:rPr>
                <w:rFonts w:hint="eastAsia" w:eastAsia="仿宋_GB2312"/>
                <w:color w:val="000000"/>
                <w:kern w:val="0"/>
                <w:sz w:val="21"/>
                <w:szCs w:val="21"/>
                <w:lang w:val="en-US" w:eastAsia="zh-CN" w:bidi="ar"/>
              </w:rPr>
              <w:t>最多得1分。</w:t>
            </w:r>
          </w:p>
        </w:tc>
        <w:tc>
          <w:tcPr>
            <w:tcW w:w="866" w:type="dxa"/>
            <w:noWrap w:val="0"/>
            <w:tcMar>
              <w:top w:w="12" w:type="dxa"/>
              <w:left w:w="12" w:type="dxa"/>
              <w:right w:w="12" w:type="dxa"/>
            </w:tcMar>
            <w:vAlign w:val="center"/>
          </w:tcPr>
          <w:p w14:paraId="716D8013">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w:t>
            </w:r>
          </w:p>
        </w:tc>
        <w:tc>
          <w:tcPr>
            <w:tcW w:w="2640" w:type="dxa"/>
            <w:noWrap w:val="0"/>
            <w:tcMar>
              <w:top w:w="12" w:type="dxa"/>
              <w:left w:w="12" w:type="dxa"/>
              <w:right w:w="12" w:type="dxa"/>
            </w:tcMar>
            <w:vAlign w:val="top"/>
          </w:tcPr>
          <w:p w14:paraId="662C12EF">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生产报表（调度报表）或其他证明材料</w:t>
            </w:r>
          </w:p>
        </w:tc>
        <w:tc>
          <w:tcPr>
            <w:tcW w:w="915" w:type="dxa"/>
            <w:noWrap w:val="0"/>
            <w:tcMar>
              <w:top w:w="12" w:type="dxa"/>
              <w:left w:w="12" w:type="dxa"/>
              <w:right w:w="12" w:type="dxa"/>
            </w:tcMar>
            <w:vAlign w:val="center"/>
          </w:tcPr>
          <w:p w14:paraId="4FAD5157">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69C2E94C">
            <w:pPr>
              <w:widowControl w:val="0"/>
              <w:adjustRightInd w:val="0"/>
              <w:snapToGrid w:val="0"/>
              <w:jc w:val="both"/>
              <w:rPr>
                <w:rFonts w:eastAsia="仿宋_GB2312"/>
                <w:color w:val="000000"/>
                <w:kern w:val="0"/>
                <w:sz w:val="21"/>
                <w:szCs w:val="21"/>
                <w:lang w:val="en-US" w:eastAsia="zh-CN" w:bidi="ar-SA"/>
              </w:rPr>
            </w:pPr>
          </w:p>
        </w:tc>
        <w:tc>
          <w:tcPr>
            <w:tcW w:w="501" w:type="dxa"/>
            <w:noWrap w:val="0"/>
            <w:vAlign w:val="center"/>
          </w:tcPr>
          <w:p w14:paraId="43882644">
            <w:pPr>
              <w:widowControl w:val="0"/>
              <w:adjustRightInd w:val="0"/>
              <w:snapToGrid w:val="0"/>
              <w:jc w:val="center"/>
              <w:rPr>
                <w:rFonts w:eastAsia="仿宋_GB2312"/>
                <w:color w:val="000000"/>
                <w:kern w:val="0"/>
                <w:sz w:val="18"/>
                <w:szCs w:val="18"/>
                <w:lang w:val="en-US" w:eastAsia="zh-CN" w:bidi="ar-SA"/>
              </w:rPr>
            </w:pPr>
          </w:p>
        </w:tc>
      </w:tr>
      <w:tr w14:paraId="6D1C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1074" w:type="dxa"/>
            <w:vMerge w:val="continue"/>
            <w:noWrap w:val="0"/>
            <w:tcMar>
              <w:top w:w="12" w:type="dxa"/>
              <w:left w:w="12" w:type="dxa"/>
              <w:right w:w="12" w:type="dxa"/>
            </w:tcMar>
            <w:vAlign w:val="center"/>
          </w:tcPr>
          <w:p w14:paraId="7465DA65">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55857513">
            <w:pPr>
              <w:widowControl w:val="0"/>
              <w:adjustRightInd w:val="0"/>
              <w:snapToGrid w:val="0"/>
              <w:jc w:val="center"/>
              <w:textAlignment w:val="center"/>
              <w:rPr>
                <w:rFonts w:eastAsia="仿宋_GB2312"/>
                <w:color w:val="000000"/>
                <w:kern w:val="0"/>
                <w:sz w:val="21"/>
                <w:szCs w:val="21"/>
                <w:lang w:val="en-US" w:eastAsia="zh-CN" w:bidi="ar-SA"/>
              </w:rPr>
            </w:pPr>
          </w:p>
        </w:tc>
        <w:tc>
          <w:tcPr>
            <w:tcW w:w="771" w:type="dxa"/>
            <w:gridSpan w:val="2"/>
            <w:noWrap w:val="0"/>
            <w:tcMar>
              <w:top w:w="12" w:type="dxa"/>
              <w:left w:w="12" w:type="dxa"/>
              <w:right w:w="12" w:type="dxa"/>
            </w:tcMar>
            <w:vAlign w:val="center"/>
          </w:tcPr>
          <w:p w14:paraId="4E9B5307">
            <w:pPr>
              <w:widowControl/>
              <w:adjustRightInd w:val="0"/>
              <w:snapToGrid w:val="0"/>
              <w:jc w:val="center"/>
              <w:textAlignment w:val="center"/>
              <w:rPr>
                <w:rFonts w:eastAsia="仿宋_GB2312"/>
                <w:color w:val="000000"/>
                <w:kern w:val="0"/>
                <w:sz w:val="21"/>
                <w:szCs w:val="21"/>
                <w:lang w:val="en-US" w:eastAsia="zh-CN" w:bidi="ar"/>
              </w:rPr>
            </w:pPr>
            <w:r>
              <w:rPr>
                <w:rFonts w:hint="eastAsia" w:eastAsia="仿宋_GB2312"/>
                <w:color w:val="000000"/>
                <w:kern w:val="0"/>
                <w:sz w:val="21"/>
                <w:szCs w:val="21"/>
                <w:lang w:val="en-US" w:eastAsia="zh-CN" w:bidi="ar"/>
              </w:rPr>
              <w:t>44</w:t>
            </w:r>
            <w:r>
              <w:rPr>
                <w:rFonts w:eastAsia="仿宋_GB2312"/>
                <w:color w:val="000000"/>
                <w:kern w:val="0"/>
                <w:sz w:val="21"/>
                <w:szCs w:val="21"/>
                <w:lang w:val="en-US" w:eastAsia="zh-CN" w:bidi="ar"/>
              </w:rPr>
              <w:t>创新成果</w:t>
            </w:r>
          </w:p>
        </w:tc>
        <w:tc>
          <w:tcPr>
            <w:tcW w:w="694" w:type="dxa"/>
            <w:noWrap w:val="0"/>
            <w:tcMar>
              <w:top w:w="12" w:type="dxa"/>
              <w:left w:w="12" w:type="dxa"/>
              <w:right w:w="12" w:type="dxa"/>
            </w:tcMar>
            <w:vAlign w:val="center"/>
          </w:tcPr>
          <w:p w14:paraId="0C4BC564">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2</w:t>
            </w:r>
          </w:p>
        </w:tc>
        <w:tc>
          <w:tcPr>
            <w:tcW w:w="5646" w:type="dxa"/>
            <w:noWrap w:val="0"/>
            <w:tcMar>
              <w:top w:w="12" w:type="dxa"/>
              <w:left w:w="12" w:type="dxa"/>
              <w:right w:w="12" w:type="dxa"/>
            </w:tcMar>
            <w:vAlign w:val="center"/>
          </w:tcPr>
          <w:p w14:paraId="64E89A4B">
            <w:pPr>
              <w:widowControl/>
              <w:adjustRightInd w:val="0"/>
              <w:snapToGrid w:val="0"/>
              <w:jc w:val="both"/>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获得1项发明专利得0.5分，最多得2分；入选</w:t>
            </w:r>
            <w:r>
              <w:rPr>
                <w:rFonts w:hint="eastAsia" w:eastAsia="仿宋_GB2312"/>
                <w:color w:val="000000"/>
                <w:kern w:val="0"/>
                <w:sz w:val="21"/>
                <w:szCs w:val="21"/>
                <w:lang w:val="en-US" w:eastAsia="zh-CN" w:bidi="ar"/>
              </w:rPr>
              <w:t>《节地技术和节地模式推荐目录》或</w:t>
            </w:r>
            <w:r>
              <w:rPr>
                <w:rFonts w:eastAsia="仿宋_GB2312"/>
                <w:color w:val="000000"/>
                <w:kern w:val="0"/>
                <w:sz w:val="21"/>
                <w:szCs w:val="21"/>
                <w:lang w:val="en-US" w:eastAsia="zh-CN" w:bidi="ar"/>
              </w:rPr>
              <w:t>最新版《矿产资源节约和综合利用先进适用技术目录》1项得1分</w:t>
            </w:r>
            <w:r>
              <w:rPr>
                <w:rFonts w:hint="eastAsia" w:eastAsia="仿宋_GB2312"/>
                <w:color w:val="000000"/>
                <w:kern w:val="0"/>
                <w:sz w:val="21"/>
                <w:szCs w:val="21"/>
                <w:lang w:val="en-US" w:eastAsia="zh-CN" w:bidi="ar"/>
              </w:rPr>
              <w:t>，最多得2分</w:t>
            </w:r>
            <w:r>
              <w:rPr>
                <w:rFonts w:eastAsia="仿宋_GB2312"/>
                <w:color w:val="000000"/>
                <w:kern w:val="0"/>
                <w:sz w:val="21"/>
                <w:szCs w:val="21"/>
                <w:lang w:val="en-US" w:eastAsia="zh-CN" w:bidi="ar"/>
              </w:rPr>
              <w:t>；获得高新技术企业证书</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得2分。</w:t>
            </w:r>
          </w:p>
        </w:tc>
        <w:tc>
          <w:tcPr>
            <w:tcW w:w="866" w:type="dxa"/>
            <w:noWrap w:val="0"/>
            <w:tcMar>
              <w:top w:w="12" w:type="dxa"/>
              <w:left w:w="12" w:type="dxa"/>
              <w:right w:w="12" w:type="dxa"/>
            </w:tcMar>
            <w:vAlign w:val="center"/>
          </w:tcPr>
          <w:p w14:paraId="7C9E13B4">
            <w:pPr>
              <w:widowControl/>
              <w:adjustRightInd w:val="0"/>
              <w:snapToGrid w:val="0"/>
              <w:jc w:val="center"/>
              <w:textAlignment w:val="center"/>
              <w:rPr>
                <w:rFonts w:hint="eastAsia" w:eastAsia="仿宋_GB2312"/>
                <w:color w:val="000000"/>
                <w:kern w:val="0"/>
                <w:sz w:val="21"/>
                <w:szCs w:val="21"/>
                <w:lang w:val="en-US" w:eastAsia="zh-CN" w:bidi="ar"/>
              </w:rPr>
            </w:pPr>
            <w:r>
              <w:rPr>
                <w:rFonts w:eastAsia="仿宋_GB2312"/>
                <w:color w:val="000000"/>
                <w:kern w:val="0"/>
                <w:sz w:val="21"/>
                <w:szCs w:val="21"/>
                <w:lang w:val="en-US" w:eastAsia="zh-CN" w:bidi="ar"/>
              </w:rPr>
              <w:t>查</w:t>
            </w:r>
            <w:r>
              <w:rPr>
                <w:rFonts w:hint="eastAsia" w:eastAsia="仿宋_GB2312"/>
                <w:color w:val="000000"/>
                <w:kern w:val="0"/>
                <w:sz w:val="21"/>
                <w:szCs w:val="21"/>
                <w:lang w:val="en-US" w:eastAsia="zh-CN" w:bidi="ar"/>
              </w:rPr>
              <w:t>资料</w:t>
            </w:r>
          </w:p>
        </w:tc>
        <w:tc>
          <w:tcPr>
            <w:tcW w:w="2640" w:type="dxa"/>
            <w:noWrap w:val="0"/>
            <w:tcMar>
              <w:top w:w="12" w:type="dxa"/>
              <w:left w:w="12" w:type="dxa"/>
              <w:right w:w="12" w:type="dxa"/>
            </w:tcMar>
            <w:vAlign w:val="center"/>
          </w:tcPr>
          <w:p w14:paraId="6BEF718F">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证书</w:t>
            </w:r>
            <w:r>
              <w:rPr>
                <w:rFonts w:hint="eastAsia" w:eastAsia="仿宋_GB2312"/>
                <w:color w:val="000000"/>
                <w:kern w:val="0"/>
                <w:sz w:val="21"/>
                <w:szCs w:val="21"/>
                <w:lang w:val="en-US" w:eastAsia="zh-CN" w:bidi="ar"/>
              </w:rPr>
              <w:t>或其他证明材料</w:t>
            </w:r>
          </w:p>
        </w:tc>
        <w:tc>
          <w:tcPr>
            <w:tcW w:w="915" w:type="dxa"/>
            <w:noWrap w:val="0"/>
            <w:tcMar>
              <w:top w:w="12" w:type="dxa"/>
              <w:left w:w="12" w:type="dxa"/>
              <w:right w:w="12" w:type="dxa"/>
            </w:tcMar>
            <w:vAlign w:val="center"/>
          </w:tcPr>
          <w:p w14:paraId="119AFD9A">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07BDB887">
            <w:pPr>
              <w:widowControl w:val="0"/>
              <w:adjustRightInd w:val="0"/>
              <w:snapToGrid w:val="0"/>
              <w:jc w:val="both"/>
              <w:rPr>
                <w:rFonts w:eastAsia="仿宋_GB2312"/>
                <w:color w:val="000000"/>
                <w:kern w:val="0"/>
                <w:sz w:val="21"/>
                <w:szCs w:val="21"/>
                <w:lang w:val="en-US" w:eastAsia="zh-CN" w:bidi="ar-SA"/>
              </w:rPr>
            </w:pPr>
          </w:p>
        </w:tc>
        <w:tc>
          <w:tcPr>
            <w:tcW w:w="501" w:type="dxa"/>
            <w:noWrap w:val="0"/>
            <w:vAlign w:val="center"/>
          </w:tcPr>
          <w:p w14:paraId="23C9759A">
            <w:pPr>
              <w:widowControl w:val="0"/>
              <w:adjustRightInd w:val="0"/>
              <w:snapToGrid w:val="0"/>
              <w:jc w:val="center"/>
              <w:rPr>
                <w:rFonts w:eastAsia="仿宋_GB2312"/>
                <w:color w:val="000000"/>
                <w:kern w:val="0"/>
                <w:sz w:val="18"/>
                <w:szCs w:val="18"/>
                <w:lang w:val="en-US" w:eastAsia="zh-CN" w:bidi="ar-SA"/>
              </w:rPr>
            </w:pPr>
          </w:p>
        </w:tc>
      </w:tr>
      <w:tr w14:paraId="070D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1074" w:type="dxa"/>
            <w:vMerge w:val="continue"/>
            <w:noWrap w:val="0"/>
            <w:tcMar>
              <w:top w:w="12" w:type="dxa"/>
              <w:left w:w="12" w:type="dxa"/>
              <w:right w:w="12" w:type="dxa"/>
            </w:tcMar>
            <w:vAlign w:val="center"/>
          </w:tcPr>
          <w:p w14:paraId="4A9073CE">
            <w:pPr>
              <w:widowControl w:val="0"/>
              <w:adjustRightInd w:val="0"/>
              <w:snapToGrid w:val="0"/>
              <w:jc w:val="center"/>
              <w:rPr>
                <w:rFonts w:eastAsia="仿宋_GB2312"/>
                <w:color w:val="000000"/>
                <w:kern w:val="0"/>
                <w:sz w:val="21"/>
                <w:szCs w:val="21"/>
                <w:lang w:val="en-US" w:eastAsia="zh-CN" w:bidi="ar-SA"/>
              </w:rPr>
            </w:pPr>
          </w:p>
        </w:tc>
        <w:tc>
          <w:tcPr>
            <w:tcW w:w="1050" w:type="dxa"/>
            <w:vMerge w:val="restart"/>
            <w:noWrap w:val="0"/>
            <w:tcMar>
              <w:top w:w="12" w:type="dxa"/>
              <w:left w:w="12" w:type="dxa"/>
              <w:right w:w="12" w:type="dxa"/>
            </w:tcMar>
            <w:vAlign w:val="center"/>
          </w:tcPr>
          <w:p w14:paraId="5D55EA52">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2数字化矿山（4分）</w:t>
            </w:r>
          </w:p>
        </w:tc>
        <w:tc>
          <w:tcPr>
            <w:tcW w:w="771" w:type="dxa"/>
            <w:gridSpan w:val="2"/>
            <w:noWrap w:val="0"/>
            <w:tcMar>
              <w:top w:w="12" w:type="dxa"/>
              <w:left w:w="12" w:type="dxa"/>
              <w:right w:w="12" w:type="dxa"/>
            </w:tcMar>
            <w:vAlign w:val="center"/>
          </w:tcPr>
          <w:p w14:paraId="1E074AE0">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SA"/>
              </w:rPr>
              <w:t>45</w:t>
            </w:r>
            <w:r>
              <w:rPr>
                <w:rFonts w:eastAsia="仿宋_GB2312"/>
                <w:color w:val="000000"/>
                <w:kern w:val="0"/>
                <w:sz w:val="21"/>
                <w:szCs w:val="21"/>
                <w:lang w:val="en-US" w:eastAsia="zh-CN" w:bidi="ar"/>
              </w:rPr>
              <w:t>集中管控平台</w:t>
            </w:r>
          </w:p>
        </w:tc>
        <w:tc>
          <w:tcPr>
            <w:tcW w:w="694" w:type="dxa"/>
            <w:noWrap w:val="0"/>
            <w:tcMar>
              <w:top w:w="12" w:type="dxa"/>
              <w:left w:w="12" w:type="dxa"/>
              <w:right w:w="12" w:type="dxa"/>
            </w:tcMar>
            <w:vAlign w:val="center"/>
          </w:tcPr>
          <w:p w14:paraId="6CEC35F0">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2</w:t>
            </w:r>
          </w:p>
        </w:tc>
        <w:tc>
          <w:tcPr>
            <w:tcW w:w="5646" w:type="dxa"/>
            <w:noWrap w:val="0"/>
            <w:tcMar>
              <w:top w:w="12" w:type="dxa"/>
              <w:left w:w="12" w:type="dxa"/>
              <w:right w:w="12" w:type="dxa"/>
            </w:tcMar>
            <w:vAlign w:val="center"/>
          </w:tcPr>
          <w:p w14:paraId="2A6FC58B">
            <w:pPr>
              <w:widowControl/>
              <w:adjustRightInd w:val="0"/>
              <w:snapToGrid w:val="0"/>
              <w:jc w:val="both"/>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建设集中管控平台，能够将远程监控系统、自动控制系统、储量管理系统、生态环境监测管理系统等集中在大屏幕展示。符合要求得2分</w:t>
            </w:r>
            <w:r>
              <w:rPr>
                <w:rFonts w:hint="eastAsia" w:eastAsia="仿宋_GB2312"/>
                <w:color w:val="000000"/>
                <w:kern w:val="0"/>
                <w:sz w:val="21"/>
                <w:szCs w:val="21"/>
                <w:lang w:val="en-US" w:eastAsia="zh-CN" w:bidi="ar"/>
              </w:rPr>
              <w:t>，发现一项不符合</w:t>
            </w:r>
            <w:r>
              <w:rPr>
                <w:rFonts w:eastAsia="仿宋_GB2312"/>
                <w:color w:val="000000"/>
                <w:kern w:val="0"/>
                <w:sz w:val="21"/>
                <w:szCs w:val="21"/>
                <w:lang w:val="en-US" w:eastAsia="zh-CN" w:bidi="ar"/>
              </w:rPr>
              <w:t>扣</w:t>
            </w:r>
            <w:r>
              <w:rPr>
                <w:rFonts w:hint="eastAsia" w:eastAsia="仿宋_GB2312"/>
                <w:color w:val="000000"/>
                <w:kern w:val="0"/>
                <w:sz w:val="21"/>
                <w:szCs w:val="21"/>
                <w:lang w:val="en-US" w:eastAsia="zh-CN" w:bidi="ar"/>
              </w:rPr>
              <w:t>0.5分</w:t>
            </w:r>
            <w:r>
              <w:rPr>
                <w:rFonts w:eastAsia="仿宋_GB2312"/>
                <w:color w:val="000000"/>
                <w:kern w:val="0"/>
                <w:sz w:val="21"/>
                <w:szCs w:val="21"/>
                <w:lang w:val="en-US" w:eastAsia="zh-CN" w:bidi="ar"/>
              </w:rPr>
              <w:t>。</w:t>
            </w:r>
          </w:p>
        </w:tc>
        <w:tc>
          <w:tcPr>
            <w:tcW w:w="866" w:type="dxa"/>
            <w:noWrap w:val="0"/>
            <w:tcMar>
              <w:top w:w="12" w:type="dxa"/>
              <w:left w:w="12" w:type="dxa"/>
              <w:right w:w="12" w:type="dxa"/>
            </w:tcMar>
            <w:vAlign w:val="center"/>
          </w:tcPr>
          <w:p w14:paraId="1E5F290E">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40E509C1">
            <w:pPr>
              <w:widowControl/>
              <w:adjustRightInd w:val="0"/>
              <w:snapToGrid w:val="0"/>
              <w:jc w:val="left"/>
              <w:textAlignment w:val="center"/>
              <w:rPr>
                <w:rFonts w:eastAsia="仿宋_GB2312"/>
                <w:color w:val="000000"/>
                <w:kern w:val="0"/>
                <w:sz w:val="21"/>
                <w:szCs w:val="21"/>
                <w:lang w:val="en-US" w:eastAsia="zh-CN" w:bidi="ar-SA"/>
              </w:rPr>
            </w:pPr>
          </w:p>
        </w:tc>
        <w:tc>
          <w:tcPr>
            <w:tcW w:w="915" w:type="dxa"/>
            <w:noWrap w:val="0"/>
            <w:tcMar>
              <w:top w:w="12" w:type="dxa"/>
              <w:left w:w="12" w:type="dxa"/>
              <w:right w:w="12" w:type="dxa"/>
            </w:tcMar>
            <w:vAlign w:val="center"/>
          </w:tcPr>
          <w:p w14:paraId="185D489C">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11AE6240">
            <w:pPr>
              <w:widowControl w:val="0"/>
              <w:adjustRightInd w:val="0"/>
              <w:snapToGrid w:val="0"/>
              <w:jc w:val="both"/>
              <w:rPr>
                <w:rFonts w:eastAsia="仿宋_GB2312"/>
                <w:color w:val="000000"/>
                <w:kern w:val="0"/>
                <w:sz w:val="21"/>
                <w:szCs w:val="21"/>
                <w:lang w:val="en-US" w:eastAsia="zh-CN" w:bidi="ar-SA"/>
              </w:rPr>
            </w:pPr>
          </w:p>
        </w:tc>
        <w:tc>
          <w:tcPr>
            <w:tcW w:w="501" w:type="dxa"/>
            <w:noWrap w:val="0"/>
            <w:vAlign w:val="center"/>
          </w:tcPr>
          <w:p w14:paraId="213FD65B">
            <w:pPr>
              <w:widowControl w:val="0"/>
              <w:adjustRightInd w:val="0"/>
              <w:snapToGrid w:val="0"/>
              <w:jc w:val="center"/>
              <w:rPr>
                <w:rFonts w:eastAsia="仿宋_GB2312"/>
                <w:color w:val="000000"/>
                <w:kern w:val="0"/>
                <w:sz w:val="18"/>
                <w:szCs w:val="18"/>
                <w:lang w:val="en-US" w:eastAsia="zh-CN" w:bidi="ar-SA"/>
              </w:rPr>
            </w:pPr>
          </w:p>
        </w:tc>
      </w:tr>
      <w:tr w14:paraId="0F9D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074" w:type="dxa"/>
            <w:vMerge w:val="continue"/>
            <w:noWrap w:val="0"/>
            <w:tcMar>
              <w:top w:w="12" w:type="dxa"/>
              <w:left w:w="12" w:type="dxa"/>
              <w:right w:w="12" w:type="dxa"/>
            </w:tcMar>
            <w:vAlign w:val="center"/>
          </w:tcPr>
          <w:p w14:paraId="3D4A8015">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0D640319">
            <w:pPr>
              <w:widowControl w:val="0"/>
              <w:adjustRightInd w:val="0"/>
              <w:snapToGrid w:val="0"/>
              <w:jc w:val="center"/>
              <w:rPr>
                <w:rFonts w:eastAsia="仿宋_GB2312"/>
                <w:color w:val="000000"/>
                <w:kern w:val="0"/>
                <w:sz w:val="21"/>
                <w:szCs w:val="21"/>
                <w:lang w:val="en-US" w:eastAsia="zh-CN" w:bidi="ar-SA"/>
              </w:rPr>
            </w:pPr>
          </w:p>
        </w:tc>
        <w:tc>
          <w:tcPr>
            <w:tcW w:w="771" w:type="dxa"/>
            <w:gridSpan w:val="2"/>
            <w:noWrap w:val="0"/>
            <w:tcMar>
              <w:top w:w="12" w:type="dxa"/>
              <w:left w:w="12" w:type="dxa"/>
              <w:right w:w="12" w:type="dxa"/>
            </w:tcMar>
            <w:vAlign w:val="center"/>
          </w:tcPr>
          <w:p w14:paraId="5BA47CCF">
            <w:pPr>
              <w:widowControl/>
              <w:adjustRightInd w:val="0"/>
              <w:snapToGrid w:val="0"/>
              <w:jc w:val="center"/>
              <w:textAlignment w:val="center"/>
              <w:rPr>
                <w:rFonts w:eastAsia="仿宋_GB2312"/>
                <w:color w:val="000000"/>
                <w:kern w:val="0"/>
                <w:sz w:val="21"/>
                <w:szCs w:val="21"/>
                <w:lang w:val="en-US" w:eastAsia="zh-CN" w:bidi="ar-SA"/>
              </w:rPr>
            </w:pPr>
            <w:r>
              <w:rPr>
                <w:rFonts w:hint="eastAsia" w:eastAsia="仿宋_GB2312"/>
                <w:color w:val="000000"/>
                <w:kern w:val="0"/>
                <w:sz w:val="21"/>
                <w:szCs w:val="21"/>
                <w:lang w:val="en-US" w:eastAsia="zh-CN" w:bidi="ar"/>
              </w:rPr>
              <w:t>46</w:t>
            </w:r>
            <w:r>
              <w:rPr>
                <w:rFonts w:eastAsia="仿宋_GB2312"/>
                <w:color w:val="000000"/>
                <w:kern w:val="0"/>
                <w:sz w:val="21"/>
                <w:szCs w:val="21"/>
                <w:lang w:val="en-US" w:eastAsia="zh-CN" w:bidi="ar"/>
              </w:rPr>
              <w:t>智能化应用</w:t>
            </w:r>
          </w:p>
        </w:tc>
        <w:tc>
          <w:tcPr>
            <w:tcW w:w="694" w:type="dxa"/>
            <w:noWrap w:val="0"/>
            <w:tcMar>
              <w:top w:w="12" w:type="dxa"/>
              <w:left w:w="12" w:type="dxa"/>
              <w:right w:w="12" w:type="dxa"/>
            </w:tcMar>
            <w:vAlign w:val="center"/>
          </w:tcPr>
          <w:p w14:paraId="6E9A1595">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2</w:t>
            </w:r>
          </w:p>
        </w:tc>
        <w:tc>
          <w:tcPr>
            <w:tcW w:w="5646" w:type="dxa"/>
            <w:noWrap w:val="0"/>
            <w:tcMar>
              <w:top w:w="12" w:type="dxa"/>
              <w:left w:w="12" w:type="dxa"/>
              <w:right w:w="12" w:type="dxa"/>
            </w:tcMar>
            <w:vAlign w:val="center"/>
          </w:tcPr>
          <w:p w14:paraId="59E226F9">
            <w:pPr>
              <w:widowControl/>
              <w:adjustRightInd w:val="0"/>
              <w:snapToGrid w:val="0"/>
              <w:jc w:val="left"/>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按照《智能矿山建设规范》（DZ/T 0376-2021）等标准开展智能矿山建设。符合要求得2分。</w:t>
            </w:r>
          </w:p>
        </w:tc>
        <w:tc>
          <w:tcPr>
            <w:tcW w:w="866" w:type="dxa"/>
            <w:noWrap w:val="0"/>
            <w:tcMar>
              <w:top w:w="12" w:type="dxa"/>
              <w:left w:w="12" w:type="dxa"/>
              <w:right w:w="12" w:type="dxa"/>
            </w:tcMar>
            <w:vAlign w:val="center"/>
          </w:tcPr>
          <w:p w14:paraId="3544F6D9">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查资料、查现场</w:t>
            </w:r>
          </w:p>
        </w:tc>
        <w:tc>
          <w:tcPr>
            <w:tcW w:w="2640" w:type="dxa"/>
            <w:noWrap w:val="0"/>
            <w:tcMar>
              <w:top w:w="12" w:type="dxa"/>
              <w:left w:w="12" w:type="dxa"/>
              <w:right w:w="12" w:type="dxa"/>
            </w:tcMar>
            <w:vAlign w:val="center"/>
          </w:tcPr>
          <w:p w14:paraId="1ED12395">
            <w:pPr>
              <w:widowControl/>
              <w:adjustRightInd w:val="0"/>
              <w:snapToGrid w:val="0"/>
              <w:jc w:val="left"/>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《智能矿山建设规范》（DZ/T 0376-2021）</w:t>
            </w:r>
          </w:p>
        </w:tc>
        <w:tc>
          <w:tcPr>
            <w:tcW w:w="915" w:type="dxa"/>
            <w:noWrap w:val="0"/>
            <w:tcMar>
              <w:top w:w="12" w:type="dxa"/>
              <w:left w:w="12" w:type="dxa"/>
              <w:right w:w="12" w:type="dxa"/>
            </w:tcMar>
            <w:vAlign w:val="center"/>
          </w:tcPr>
          <w:p w14:paraId="26782D8F">
            <w:pPr>
              <w:widowControl w:val="0"/>
              <w:adjustRightInd w:val="0"/>
              <w:snapToGrid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04A5E314">
            <w:pPr>
              <w:widowControl w:val="0"/>
              <w:adjustRightInd w:val="0"/>
              <w:snapToGrid w:val="0"/>
              <w:jc w:val="both"/>
              <w:rPr>
                <w:rFonts w:eastAsia="仿宋_GB2312"/>
                <w:color w:val="000000"/>
                <w:kern w:val="0"/>
                <w:sz w:val="21"/>
                <w:szCs w:val="21"/>
                <w:lang w:val="en-US" w:eastAsia="zh-CN" w:bidi="ar-SA"/>
              </w:rPr>
            </w:pPr>
          </w:p>
        </w:tc>
        <w:tc>
          <w:tcPr>
            <w:tcW w:w="501" w:type="dxa"/>
            <w:noWrap w:val="0"/>
            <w:vAlign w:val="center"/>
          </w:tcPr>
          <w:p w14:paraId="4E4DD558">
            <w:pPr>
              <w:widowControl w:val="0"/>
              <w:adjustRightInd w:val="0"/>
              <w:snapToGrid w:val="0"/>
              <w:jc w:val="center"/>
              <w:rPr>
                <w:rFonts w:eastAsia="仿宋_GB2312"/>
                <w:color w:val="000000"/>
                <w:kern w:val="0"/>
                <w:sz w:val="18"/>
                <w:szCs w:val="18"/>
                <w:lang w:val="en-US" w:eastAsia="zh-CN" w:bidi="ar-SA"/>
              </w:rPr>
            </w:pPr>
          </w:p>
        </w:tc>
      </w:tr>
      <w:tr w14:paraId="6C7A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1074" w:type="dxa"/>
            <w:vMerge w:val="continue"/>
            <w:noWrap w:val="0"/>
            <w:tcMar>
              <w:top w:w="12" w:type="dxa"/>
              <w:left w:w="12" w:type="dxa"/>
              <w:right w:w="12" w:type="dxa"/>
            </w:tcMar>
            <w:vAlign w:val="center"/>
          </w:tcPr>
          <w:p w14:paraId="07052746">
            <w:pPr>
              <w:widowControl w:val="0"/>
              <w:adjustRightInd w:val="0"/>
              <w:snapToGrid w:val="0"/>
              <w:jc w:val="center"/>
              <w:rPr>
                <w:rFonts w:eastAsia="仿宋_GB2312"/>
                <w:color w:val="000000"/>
                <w:kern w:val="0"/>
                <w:sz w:val="21"/>
                <w:szCs w:val="21"/>
                <w:lang w:val="en-US" w:eastAsia="zh-CN" w:bidi="ar-SA"/>
              </w:rPr>
            </w:pPr>
          </w:p>
        </w:tc>
        <w:tc>
          <w:tcPr>
            <w:tcW w:w="1050" w:type="dxa"/>
            <w:vMerge w:val="restart"/>
            <w:noWrap w:val="0"/>
            <w:tcMar>
              <w:top w:w="12" w:type="dxa"/>
              <w:left w:w="12" w:type="dxa"/>
              <w:right w:w="12" w:type="dxa"/>
            </w:tcMar>
            <w:vAlign w:val="center"/>
          </w:tcPr>
          <w:p w14:paraId="66C3C6BB">
            <w:pPr>
              <w:widowControl/>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3规范管理（5分）</w:t>
            </w:r>
          </w:p>
          <w:p w14:paraId="12CE96EA">
            <w:pPr>
              <w:widowControl/>
              <w:jc w:val="center"/>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207C5342">
            <w:pPr>
              <w:widowControl/>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4</w:t>
            </w:r>
            <w:r>
              <w:rPr>
                <w:rFonts w:hint="eastAsia" w:eastAsia="仿宋_GB2312"/>
                <w:color w:val="000000"/>
                <w:kern w:val="0"/>
                <w:sz w:val="21"/>
                <w:szCs w:val="21"/>
                <w:lang w:val="en-US" w:eastAsia="zh-CN" w:bidi="ar"/>
              </w:rPr>
              <w:t>7</w:t>
            </w:r>
            <w:r>
              <w:rPr>
                <w:rFonts w:eastAsia="仿宋_GB2312"/>
                <w:color w:val="000000"/>
                <w:kern w:val="0"/>
                <w:sz w:val="21"/>
                <w:szCs w:val="21"/>
                <w:lang w:val="en-US" w:eastAsia="zh-CN" w:bidi="ar"/>
              </w:rPr>
              <w:t>企业文化</w:t>
            </w:r>
          </w:p>
        </w:tc>
        <w:tc>
          <w:tcPr>
            <w:tcW w:w="694" w:type="dxa"/>
            <w:noWrap w:val="0"/>
            <w:tcMar>
              <w:top w:w="12" w:type="dxa"/>
              <w:left w:w="12" w:type="dxa"/>
              <w:right w:w="12" w:type="dxa"/>
            </w:tcMar>
            <w:vAlign w:val="center"/>
          </w:tcPr>
          <w:p w14:paraId="48E300BC">
            <w:pPr>
              <w:widowControl/>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1</w:t>
            </w:r>
          </w:p>
        </w:tc>
        <w:tc>
          <w:tcPr>
            <w:tcW w:w="5646" w:type="dxa"/>
            <w:noWrap w:val="0"/>
            <w:tcMar>
              <w:top w:w="12" w:type="dxa"/>
              <w:left w:w="12" w:type="dxa"/>
              <w:right w:w="12" w:type="dxa"/>
            </w:tcMar>
            <w:vAlign w:val="center"/>
          </w:tcPr>
          <w:p w14:paraId="5822A007">
            <w:pPr>
              <w:widowControl/>
              <w:adjustRightInd w:val="0"/>
              <w:snapToGrid w:val="0"/>
              <w:jc w:val="both"/>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制定绿色矿山建设年度计划，定期开展自评。制作绿色矿山宣传展板、标语和宣传片；建立人员目视化管理制度；建立职工收入随企业业绩同步增长机制；建设职工休闲、娱乐、文化体育设施并开展活动；职工满意度不低于70%。符合要求得1分，发现一项不符合扣0.</w:t>
            </w:r>
            <w:r>
              <w:rPr>
                <w:rFonts w:hint="eastAsia" w:eastAsia="仿宋_GB2312"/>
                <w:color w:val="000000"/>
                <w:kern w:val="0"/>
                <w:sz w:val="21"/>
                <w:szCs w:val="21"/>
                <w:lang w:val="en-US" w:eastAsia="zh-CN" w:bidi="ar"/>
              </w:rPr>
              <w:t>2</w:t>
            </w:r>
            <w:r>
              <w:rPr>
                <w:rFonts w:eastAsia="仿宋_GB2312"/>
                <w:color w:val="000000"/>
                <w:kern w:val="0"/>
                <w:sz w:val="21"/>
                <w:szCs w:val="21"/>
                <w:lang w:val="en-US" w:eastAsia="zh-CN" w:bidi="ar"/>
              </w:rPr>
              <w:t>分。</w:t>
            </w:r>
          </w:p>
        </w:tc>
        <w:tc>
          <w:tcPr>
            <w:tcW w:w="866" w:type="dxa"/>
            <w:noWrap w:val="0"/>
            <w:tcMar>
              <w:top w:w="12" w:type="dxa"/>
              <w:left w:w="12" w:type="dxa"/>
              <w:right w:w="12" w:type="dxa"/>
            </w:tcMar>
            <w:vAlign w:val="center"/>
          </w:tcPr>
          <w:p w14:paraId="3B20047D">
            <w:pPr>
              <w:widowControl/>
              <w:adjustRightInd w:val="0"/>
              <w:snapToGrid w:val="0"/>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查资料、查现场、调查走访</w:t>
            </w:r>
          </w:p>
        </w:tc>
        <w:tc>
          <w:tcPr>
            <w:tcW w:w="2640" w:type="dxa"/>
            <w:noWrap w:val="0"/>
            <w:tcMar>
              <w:top w:w="12" w:type="dxa"/>
              <w:left w:w="12" w:type="dxa"/>
              <w:right w:w="12" w:type="dxa"/>
            </w:tcMar>
            <w:vAlign w:val="center"/>
          </w:tcPr>
          <w:p w14:paraId="1A9A122B">
            <w:pPr>
              <w:widowControl/>
              <w:adjustRightInd w:val="0"/>
              <w:snapToGrid w:val="0"/>
              <w:jc w:val="both"/>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企业管理文件、自评材料、宣传片、活动证明、认证、证书、调查问卷原始记录等材料</w:t>
            </w:r>
          </w:p>
        </w:tc>
        <w:tc>
          <w:tcPr>
            <w:tcW w:w="915" w:type="dxa"/>
            <w:noWrap w:val="0"/>
            <w:tcMar>
              <w:top w:w="12" w:type="dxa"/>
              <w:left w:w="12" w:type="dxa"/>
              <w:right w:w="12" w:type="dxa"/>
            </w:tcMar>
            <w:vAlign w:val="center"/>
          </w:tcPr>
          <w:p w14:paraId="6E0948E6">
            <w:pPr>
              <w:widowControl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提升性</w:t>
            </w:r>
          </w:p>
        </w:tc>
        <w:tc>
          <w:tcPr>
            <w:tcW w:w="915" w:type="dxa"/>
            <w:noWrap w:val="0"/>
            <w:vAlign w:val="center"/>
          </w:tcPr>
          <w:p w14:paraId="2A44F15E">
            <w:pPr>
              <w:widowControl w:val="0"/>
              <w:jc w:val="left"/>
              <w:rPr>
                <w:rFonts w:eastAsia="仿宋_GB2312"/>
                <w:color w:val="000000"/>
                <w:kern w:val="0"/>
                <w:sz w:val="21"/>
                <w:szCs w:val="21"/>
                <w:lang w:val="en-US" w:eastAsia="zh-CN" w:bidi="ar-SA"/>
              </w:rPr>
            </w:pPr>
          </w:p>
        </w:tc>
        <w:tc>
          <w:tcPr>
            <w:tcW w:w="501" w:type="dxa"/>
            <w:noWrap w:val="0"/>
            <w:vAlign w:val="center"/>
          </w:tcPr>
          <w:p w14:paraId="2178AC03">
            <w:pPr>
              <w:widowControl w:val="0"/>
              <w:adjustRightInd w:val="0"/>
              <w:snapToGrid w:val="0"/>
              <w:jc w:val="center"/>
              <w:rPr>
                <w:rFonts w:eastAsia="仿宋_GB2312"/>
                <w:color w:val="000000"/>
                <w:kern w:val="0"/>
                <w:sz w:val="18"/>
                <w:szCs w:val="18"/>
                <w:lang w:val="en-US" w:eastAsia="zh-CN" w:bidi="ar-SA"/>
              </w:rPr>
            </w:pPr>
          </w:p>
        </w:tc>
      </w:tr>
      <w:tr w14:paraId="4992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1074" w:type="dxa"/>
            <w:vMerge w:val="continue"/>
            <w:noWrap w:val="0"/>
            <w:tcMar>
              <w:top w:w="12" w:type="dxa"/>
              <w:left w:w="12" w:type="dxa"/>
              <w:right w:w="12" w:type="dxa"/>
            </w:tcMar>
            <w:vAlign w:val="center"/>
          </w:tcPr>
          <w:p w14:paraId="40E4F029">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27B25CB7">
            <w:pPr>
              <w:widowControl w:val="0"/>
              <w:jc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49B20CCB">
            <w:pPr>
              <w:widowControl/>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4</w:t>
            </w:r>
            <w:r>
              <w:rPr>
                <w:rFonts w:hint="eastAsia" w:eastAsia="仿宋_GB2312"/>
                <w:color w:val="000000"/>
                <w:kern w:val="0"/>
                <w:sz w:val="21"/>
                <w:szCs w:val="21"/>
                <w:lang w:val="en-US" w:eastAsia="zh-CN" w:bidi="ar"/>
              </w:rPr>
              <w:t>8</w:t>
            </w:r>
            <w:r>
              <w:rPr>
                <w:rFonts w:eastAsia="仿宋_GB2312"/>
                <w:color w:val="000000"/>
                <w:kern w:val="0"/>
                <w:sz w:val="21"/>
                <w:szCs w:val="21"/>
                <w:lang w:val="en-US" w:eastAsia="zh-CN" w:bidi="ar"/>
              </w:rPr>
              <w:t>企业诚信</w:t>
            </w:r>
          </w:p>
        </w:tc>
        <w:tc>
          <w:tcPr>
            <w:tcW w:w="694" w:type="dxa"/>
            <w:noWrap w:val="0"/>
            <w:tcMar>
              <w:top w:w="12" w:type="dxa"/>
              <w:left w:w="12" w:type="dxa"/>
              <w:right w:w="12" w:type="dxa"/>
            </w:tcMar>
            <w:vAlign w:val="center"/>
          </w:tcPr>
          <w:p w14:paraId="65209C8C">
            <w:pPr>
              <w:widowControl/>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2</w:t>
            </w:r>
          </w:p>
        </w:tc>
        <w:tc>
          <w:tcPr>
            <w:tcW w:w="5646" w:type="dxa"/>
            <w:noWrap w:val="0"/>
            <w:tcMar>
              <w:top w:w="12" w:type="dxa"/>
              <w:left w:w="12" w:type="dxa"/>
              <w:right w:w="12" w:type="dxa"/>
            </w:tcMar>
            <w:vAlign w:val="center"/>
          </w:tcPr>
          <w:p w14:paraId="00A111D6">
            <w:pPr>
              <w:widowControl/>
              <w:adjustRightInd w:val="0"/>
              <w:snapToGrid w:val="0"/>
              <w:jc w:val="both"/>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依法纳税，</w:t>
            </w:r>
            <w:r>
              <w:rPr>
                <w:rFonts w:hint="eastAsia" w:eastAsia="仿宋_GB2312"/>
                <w:color w:val="000000"/>
                <w:kern w:val="0"/>
                <w:sz w:val="21"/>
                <w:szCs w:val="21"/>
                <w:lang w:val="en-US" w:eastAsia="zh-CN" w:bidi="ar"/>
              </w:rPr>
              <w:t>按要求提交储量年报、储量表及矿产资源统计基础表</w:t>
            </w:r>
            <w:r>
              <w:rPr>
                <w:rFonts w:eastAsia="仿宋_GB2312"/>
                <w:color w:val="000000"/>
                <w:kern w:val="0"/>
                <w:sz w:val="21"/>
                <w:szCs w:val="21"/>
                <w:lang w:val="en-US" w:eastAsia="zh-CN" w:bidi="ar"/>
              </w:rPr>
              <w:t>，</w:t>
            </w:r>
            <w:r>
              <w:rPr>
                <w:rFonts w:hint="eastAsia" w:eastAsia="仿宋_GB2312"/>
                <w:color w:val="000000"/>
                <w:kern w:val="0"/>
                <w:sz w:val="21"/>
                <w:szCs w:val="21"/>
                <w:lang w:val="en-US" w:eastAsia="zh-CN" w:bidi="ar"/>
              </w:rPr>
              <w:t>按规定缴存矿业权出让收益</w:t>
            </w:r>
            <w:r>
              <w:rPr>
                <w:rFonts w:eastAsia="仿宋_GB2312"/>
                <w:color w:val="000000"/>
                <w:kern w:val="0"/>
                <w:sz w:val="21"/>
                <w:szCs w:val="21"/>
                <w:lang w:val="en-US" w:eastAsia="zh-CN" w:bidi="ar"/>
              </w:rPr>
              <w:t>。符合要求得2分，不符</w:t>
            </w:r>
            <w:r>
              <w:rPr>
                <w:rFonts w:hint="eastAsia" w:eastAsia="仿宋_GB2312"/>
                <w:color w:val="000000"/>
                <w:kern w:val="0"/>
                <w:sz w:val="21"/>
                <w:szCs w:val="21"/>
                <w:lang w:val="en-US" w:eastAsia="zh-CN" w:bidi="ar"/>
              </w:rPr>
              <w:t>合得0</w:t>
            </w:r>
            <w:r>
              <w:rPr>
                <w:rFonts w:eastAsia="仿宋_GB2312"/>
                <w:color w:val="000000"/>
                <w:kern w:val="0"/>
                <w:sz w:val="21"/>
                <w:szCs w:val="21"/>
                <w:lang w:val="en-US" w:eastAsia="zh-CN" w:bidi="ar"/>
              </w:rPr>
              <w:t>分。</w:t>
            </w:r>
          </w:p>
        </w:tc>
        <w:tc>
          <w:tcPr>
            <w:tcW w:w="866" w:type="dxa"/>
            <w:noWrap w:val="0"/>
            <w:tcMar>
              <w:top w:w="12" w:type="dxa"/>
              <w:left w:w="12" w:type="dxa"/>
              <w:right w:w="12" w:type="dxa"/>
            </w:tcMar>
            <w:vAlign w:val="center"/>
          </w:tcPr>
          <w:p w14:paraId="19C8DEA3">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w:t>
            </w:r>
          </w:p>
        </w:tc>
        <w:tc>
          <w:tcPr>
            <w:tcW w:w="2640" w:type="dxa"/>
            <w:noWrap w:val="0"/>
            <w:tcMar>
              <w:top w:w="12" w:type="dxa"/>
              <w:left w:w="12" w:type="dxa"/>
              <w:right w:w="12" w:type="dxa"/>
            </w:tcMar>
            <w:vAlign w:val="center"/>
          </w:tcPr>
          <w:p w14:paraId="3F446A40">
            <w:pPr>
              <w:widowControl/>
              <w:adjustRightInd w:val="0"/>
              <w:snapToGrid w:val="0"/>
              <w:jc w:val="both"/>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税务及相关部门证明</w:t>
            </w:r>
          </w:p>
        </w:tc>
        <w:tc>
          <w:tcPr>
            <w:tcW w:w="915" w:type="dxa"/>
            <w:noWrap w:val="0"/>
            <w:tcMar>
              <w:top w:w="12" w:type="dxa"/>
              <w:left w:w="12" w:type="dxa"/>
              <w:right w:w="12" w:type="dxa"/>
            </w:tcMar>
            <w:vAlign w:val="center"/>
          </w:tcPr>
          <w:p w14:paraId="3E351216">
            <w:pPr>
              <w:widowControl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约束性</w:t>
            </w:r>
          </w:p>
        </w:tc>
        <w:tc>
          <w:tcPr>
            <w:tcW w:w="915" w:type="dxa"/>
            <w:noWrap w:val="0"/>
            <w:vAlign w:val="center"/>
          </w:tcPr>
          <w:p w14:paraId="19EE4918">
            <w:pPr>
              <w:widowControl w:val="0"/>
              <w:jc w:val="left"/>
              <w:rPr>
                <w:rFonts w:eastAsia="仿宋_GB2312"/>
                <w:color w:val="000000"/>
                <w:kern w:val="0"/>
                <w:sz w:val="21"/>
                <w:szCs w:val="21"/>
                <w:lang w:val="en-US" w:eastAsia="zh-CN" w:bidi="ar-SA"/>
              </w:rPr>
            </w:pPr>
          </w:p>
        </w:tc>
        <w:tc>
          <w:tcPr>
            <w:tcW w:w="501" w:type="dxa"/>
            <w:noWrap w:val="0"/>
            <w:vAlign w:val="center"/>
          </w:tcPr>
          <w:p w14:paraId="785FD4CF">
            <w:pPr>
              <w:widowControl w:val="0"/>
              <w:adjustRightInd w:val="0"/>
              <w:snapToGrid w:val="0"/>
              <w:jc w:val="center"/>
              <w:rPr>
                <w:rFonts w:eastAsia="仿宋_GB2312"/>
                <w:color w:val="000000"/>
                <w:kern w:val="0"/>
                <w:sz w:val="18"/>
                <w:szCs w:val="18"/>
                <w:lang w:val="en-US" w:eastAsia="zh-CN" w:bidi="ar-SA"/>
              </w:rPr>
            </w:pPr>
          </w:p>
        </w:tc>
      </w:tr>
      <w:tr w14:paraId="4719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1074" w:type="dxa"/>
            <w:vMerge w:val="continue"/>
            <w:noWrap w:val="0"/>
            <w:tcMar>
              <w:top w:w="12" w:type="dxa"/>
              <w:left w:w="12" w:type="dxa"/>
              <w:right w:w="12" w:type="dxa"/>
            </w:tcMar>
            <w:vAlign w:val="center"/>
          </w:tcPr>
          <w:p w14:paraId="67AAE6DD">
            <w:pPr>
              <w:widowControl w:val="0"/>
              <w:adjustRightInd w:val="0"/>
              <w:snapToGrid w:val="0"/>
              <w:jc w:val="center"/>
              <w:rPr>
                <w:rFonts w:eastAsia="仿宋_GB2312"/>
                <w:color w:val="000000"/>
                <w:kern w:val="0"/>
                <w:sz w:val="21"/>
                <w:szCs w:val="21"/>
                <w:lang w:val="en-US" w:eastAsia="zh-CN" w:bidi="ar-SA"/>
              </w:rPr>
            </w:pPr>
          </w:p>
        </w:tc>
        <w:tc>
          <w:tcPr>
            <w:tcW w:w="1050" w:type="dxa"/>
            <w:vMerge w:val="continue"/>
            <w:noWrap w:val="0"/>
            <w:tcMar>
              <w:top w:w="12" w:type="dxa"/>
              <w:left w:w="12" w:type="dxa"/>
              <w:right w:w="12" w:type="dxa"/>
            </w:tcMar>
            <w:vAlign w:val="center"/>
          </w:tcPr>
          <w:p w14:paraId="317B02DF">
            <w:pPr>
              <w:widowControl/>
              <w:jc w:val="center"/>
              <w:textAlignment w:val="center"/>
              <w:rPr>
                <w:rFonts w:eastAsia="仿宋_GB2312"/>
                <w:color w:val="000000"/>
                <w:kern w:val="0"/>
                <w:sz w:val="21"/>
                <w:szCs w:val="21"/>
                <w:lang w:val="en-US" w:eastAsia="zh-CN" w:bidi="ar"/>
              </w:rPr>
            </w:pPr>
          </w:p>
        </w:tc>
        <w:tc>
          <w:tcPr>
            <w:tcW w:w="771" w:type="dxa"/>
            <w:gridSpan w:val="2"/>
            <w:noWrap w:val="0"/>
            <w:tcMar>
              <w:top w:w="12" w:type="dxa"/>
              <w:left w:w="12" w:type="dxa"/>
              <w:right w:w="12" w:type="dxa"/>
            </w:tcMar>
            <w:vAlign w:val="center"/>
          </w:tcPr>
          <w:p w14:paraId="65EF8FC8">
            <w:pPr>
              <w:widowControl/>
              <w:jc w:val="center"/>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4</w:t>
            </w:r>
            <w:r>
              <w:rPr>
                <w:rFonts w:hint="eastAsia" w:eastAsia="仿宋_GB2312"/>
                <w:color w:val="000000"/>
                <w:kern w:val="0"/>
                <w:sz w:val="21"/>
                <w:szCs w:val="21"/>
                <w:lang w:val="en-US" w:eastAsia="zh-CN" w:bidi="ar"/>
              </w:rPr>
              <w:t>9</w:t>
            </w:r>
            <w:r>
              <w:rPr>
                <w:rFonts w:eastAsia="仿宋_GB2312"/>
                <w:color w:val="000000"/>
                <w:kern w:val="0"/>
                <w:sz w:val="21"/>
                <w:szCs w:val="21"/>
                <w:lang w:val="en-US" w:eastAsia="zh-CN" w:bidi="ar"/>
              </w:rPr>
              <w:t>矿地和谐</w:t>
            </w:r>
          </w:p>
        </w:tc>
        <w:tc>
          <w:tcPr>
            <w:tcW w:w="694" w:type="dxa"/>
            <w:noWrap w:val="0"/>
            <w:tcMar>
              <w:top w:w="12" w:type="dxa"/>
              <w:left w:w="12" w:type="dxa"/>
              <w:right w:w="12" w:type="dxa"/>
            </w:tcMar>
            <w:vAlign w:val="center"/>
          </w:tcPr>
          <w:p w14:paraId="247077D1">
            <w:pPr>
              <w:widowControl/>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2</w:t>
            </w:r>
          </w:p>
        </w:tc>
        <w:tc>
          <w:tcPr>
            <w:tcW w:w="5646" w:type="dxa"/>
            <w:noWrap w:val="0"/>
            <w:tcMar>
              <w:top w:w="12" w:type="dxa"/>
              <w:left w:w="12" w:type="dxa"/>
              <w:right w:w="12" w:type="dxa"/>
            </w:tcMar>
            <w:vAlign w:val="center"/>
          </w:tcPr>
          <w:p w14:paraId="1C8952FC">
            <w:pPr>
              <w:widowControl/>
              <w:adjustRightInd w:val="0"/>
              <w:snapToGrid w:val="0"/>
              <w:jc w:val="both"/>
              <w:textAlignment w:val="center"/>
              <w:rPr>
                <w:rFonts w:eastAsia="仿宋_GB2312"/>
                <w:color w:val="000000"/>
                <w:kern w:val="0"/>
                <w:sz w:val="21"/>
                <w:szCs w:val="21"/>
                <w:lang w:val="en-US" w:eastAsia="zh-CN" w:bidi="ar"/>
              </w:rPr>
            </w:pPr>
            <w:r>
              <w:rPr>
                <w:rFonts w:eastAsia="仿宋_GB2312"/>
                <w:color w:val="000000"/>
                <w:kern w:val="0"/>
                <w:sz w:val="21"/>
                <w:szCs w:val="21"/>
                <w:lang w:val="en-US" w:eastAsia="zh-CN" w:bidi="ar"/>
              </w:rPr>
              <w:t>建立职业健康管理制度。建立良好矿地关系，制定和公开申诉回</w:t>
            </w:r>
            <w:r>
              <w:rPr>
                <w:rFonts w:hint="eastAsia" w:eastAsia="仿宋_GB2312"/>
                <w:color w:val="000000"/>
                <w:kern w:val="0"/>
                <w:sz w:val="21"/>
                <w:szCs w:val="21"/>
                <w:lang w:val="en-US" w:eastAsia="zh-CN" w:bidi="ar"/>
              </w:rPr>
              <w:t>应</w:t>
            </w:r>
            <w:r>
              <w:rPr>
                <w:rFonts w:eastAsia="仿宋_GB2312"/>
                <w:color w:val="000000"/>
                <w:kern w:val="0"/>
                <w:sz w:val="21"/>
                <w:szCs w:val="21"/>
                <w:lang w:val="en-US" w:eastAsia="zh-CN" w:bidi="ar"/>
              </w:rPr>
              <w:t>制度</w:t>
            </w:r>
            <w:r>
              <w:rPr>
                <w:rFonts w:hint="eastAsia" w:eastAsia="仿宋_GB2312"/>
                <w:color w:val="000000"/>
                <w:kern w:val="0"/>
                <w:sz w:val="21"/>
                <w:szCs w:val="21"/>
                <w:lang w:val="en-US" w:eastAsia="zh-CN" w:bidi="ar"/>
              </w:rPr>
              <w:t>，具有</w:t>
            </w:r>
            <w:r>
              <w:rPr>
                <w:rFonts w:eastAsia="仿宋_GB2312"/>
                <w:color w:val="000000"/>
                <w:kern w:val="0"/>
                <w:sz w:val="21"/>
                <w:szCs w:val="21"/>
                <w:lang w:val="en-US" w:eastAsia="zh-CN" w:bidi="ar"/>
              </w:rPr>
              <w:t>联系机构与人员</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及时妥善处理</w:t>
            </w:r>
            <w:r>
              <w:rPr>
                <w:rFonts w:hint="eastAsia" w:eastAsia="仿宋_GB2312"/>
                <w:color w:val="000000"/>
                <w:kern w:val="0"/>
                <w:sz w:val="21"/>
                <w:szCs w:val="21"/>
                <w:lang w:val="en-US" w:eastAsia="zh-CN" w:bidi="ar"/>
              </w:rPr>
              <w:t>与</w:t>
            </w:r>
            <w:r>
              <w:rPr>
                <w:rFonts w:eastAsia="仿宋_GB2312"/>
                <w:color w:val="000000"/>
                <w:kern w:val="0"/>
                <w:sz w:val="21"/>
                <w:szCs w:val="21"/>
                <w:lang w:val="en-US" w:eastAsia="zh-CN" w:bidi="ar"/>
              </w:rPr>
              <w:t>受采矿活动影响的社区等</w:t>
            </w:r>
            <w:r>
              <w:rPr>
                <w:rFonts w:hint="eastAsia" w:eastAsia="仿宋_GB2312"/>
                <w:color w:val="000000"/>
                <w:kern w:val="0"/>
                <w:sz w:val="21"/>
                <w:szCs w:val="21"/>
                <w:lang w:val="en-US" w:eastAsia="zh-CN" w:bidi="ar"/>
              </w:rPr>
              <w:t>利益</w:t>
            </w:r>
            <w:r>
              <w:rPr>
                <w:rFonts w:eastAsia="仿宋_GB2312"/>
                <w:color w:val="000000"/>
                <w:kern w:val="0"/>
                <w:sz w:val="21"/>
                <w:szCs w:val="21"/>
                <w:lang w:val="en-US" w:eastAsia="zh-CN" w:bidi="ar"/>
              </w:rPr>
              <w:t>相关者</w:t>
            </w:r>
            <w:r>
              <w:rPr>
                <w:rFonts w:hint="eastAsia" w:eastAsia="仿宋_GB2312"/>
                <w:color w:val="000000"/>
                <w:kern w:val="0"/>
                <w:sz w:val="21"/>
                <w:szCs w:val="21"/>
                <w:lang w:val="en-US" w:eastAsia="zh-CN" w:bidi="ar"/>
              </w:rPr>
              <w:t>间的</w:t>
            </w:r>
            <w:r>
              <w:rPr>
                <w:rFonts w:eastAsia="仿宋_GB2312"/>
                <w:color w:val="000000"/>
                <w:kern w:val="0"/>
                <w:sz w:val="21"/>
                <w:szCs w:val="21"/>
                <w:lang w:val="en-US" w:eastAsia="zh-CN" w:bidi="ar"/>
              </w:rPr>
              <w:t>纠纷矛盾</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维护当地生产、生活相关生态环境</w:t>
            </w:r>
            <w:r>
              <w:rPr>
                <w:rFonts w:hint="eastAsia" w:eastAsia="仿宋_GB2312"/>
                <w:color w:val="000000"/>
                <w:kern w:val="0"/>
                <w:sz w:val="21"/>
                <w:szCs w:val="21"/>
                <w:lang w:val="en-US" w:eastAsia="zh-CN" w:bidi="ar"/>
              </w:rPr>
              <w:t>。</w:t>
            </w:r>
            <w:r>
              <w:rPr>
                <w:rFonts w:eastAsia="仿宋_GB2312"/>
                <w:color w:val="000000"/>
                <w:kern w:val="0"/>
                <w:sz w:val="21"/>
                <w:szCs w:val="21"/>
                <w:lang w:val="en-US" w:eastAsia="zh-CN" w:bidi="ar"/>
              </w:rPr>
              <w:t>在劳务用工、基础设施、公益募捐、教育</w:t>
            </w:r>
            <w:r>
              <w:rPr>
                <w:rFonts w:hint="eastAsia" w:eastAsia="仿宋_GB2312"/>
                <w:color w:val="000000"/>
                <w:kern w:val="0"/>
                <w:sz w:val="21"/>
                <w:szCs w:val="21"/>
                <w:lang w:val="en-US" w:eastAsia="zh-CN" w:bidi="ar"/>
              </w:rPr>
              <w:t>医疗</w:t>
            </w:r>
            <w:r>
              <w:rPr>
                <w:rFonts w:eastAsia="仿宋_GB2312"/>
                <w:color w:val="000000"/>
                <w:kern w:val="0"/>
                <w:sz w:val="21"/>
                <w:szCs w:val="21"/>
                <w:lang w:val="en-US" w:eastAsia="zh-CN" w:bidi="ar"/>
              </w:rPr>
              <w:t>支持等</w:t>
            </w:r>
            <w:r>
              <w:rPr>
                <w:rFonts w:hint="eastAsia" w:eastAsia="仿宋_GB2312"/>
                <w:color w:val="000000"/>
                <w:kern w:val="0"/>
                <w:sz w:val="21"/>
                <w:szCs w:val="21"/>
                <w:lang w:val="en-US" w:eastAsia="zh-CN" w:bidi="ar"/>
              </w:rPr>
              <w:t>一个及以上</w:t>
            </w:r>
            <w:r>
              <w:rPr>
                <w:rFonts w:eastAsia="仿宋_GB2312"/>
                <w:color w:val="000000"/>
                <w:kern w:val="0"/>
                <w:sz w:val="21"/>
                <w:szCs w:val="21"/>
                <w:lang w:val="en-US" w:eastAsia="zh-CN" w:bidi="ar"/>
              </w:rPr>
              <w:t>方面开展帮扶，助力乡村振兴。符合要求得2分，不符合得0分。</w:t>
            </w:r>
          </w:p>
        </w:tc>
        <w:tc>
          <w:tcPr>
            <w:tcW w:w="866" w:type="dxa"/>
            <w:noWrap w:val="0"/>
            <w:tcMar>
              <w:top w:w="12" w:type="dxa"/>
              <w:left w:w="12" w:type="dxa"/>
              <w:right w:w="12" w:type="dxa"/>
            </w:tcMar>
            <w:vAlign w:val="center"/>
          </w:tcPr>
          <w:p w14:paraId="3FFC043E">
            <w:pPr>
              <w:widowControl/>
              <w:adjustRightInd w:val="0"/>
              <w:snapToGrid w:val="0"/>
              <w:jc w:val="center"/>
              <w:textAlignment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
              </w:rPr>
              <w:t>查资料、调查走访</w:t>
            </w:r>
          </w:p>
        </w:tc>
        <w:tc>
          <w:tcPr>
            <w:tcW w:w="2640" w:type="dxa"/>
            <w:noWrap w:val="0"/>
            <w:tcMar>
              <w:top w:w="12" w:type="dxa"/>
              <w:left w:w="12" w:type="dxa"/>
              <w:right w:w="12" w:type="dxa"/>
            </w:tcMar>
            <w:vAlign w:val="center"/>
          </w:tcPr>
          <w:p w14:paraId="60991B4E">
            <w:pPr>
              <w:widowControl w:val="0"/>
              <w:adjustRightInd w:val="0"/>
              <w:snapToGrid w:val="0"/>
              <w:jc w:val="left"/>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相关文件、票据等证明材料</w:t>
            </w:r>
          </w:p>
        </w:tc>
        <w:tc>
          <w:tcPr>
            <w:tcW w:w="915" w:type="dxa"/>
            <w:noWrap w:val="0"/>
            <w:tcMar>
              <w:top w:w="12" w:type="dxa"/>
              <w:left w:w="12" w:type="dxa"/>
              <w:right w:w="12" w:type="dxa"/>
            </w:tcMar>
            <w:vAlign w:val="center"/>
          </w:tcPr>
          <w:p w14:paraId="08E9F5FD">
            <w:pPr>
              <w:widowControl w:val="0"/>
              <w:jc w:val="center"/>
              <w:rPr>
                <w:rFonts w:eastAsia="仿宋_GB2312"/>
                <w:color w:val="000000"/>
                <w:kern w:val="0"/>
                <w:sz w:val="21"/>
                <w:szCs w:val="21"/>
                <w:lang w:val="en-US" w:eastAsia="zh-CN" w:bidi="ar-SA"/>
              </w:rPr>
            </w:pPr>
            <w:r>
              <w:rPr>
                <w:rFonts w:eastAsia="仿宋_GB2312"/>
                <w:color w:val="000000"/>
                <w:kern w:val="0"/>
                <w:sz w:val="21"/>
                <w:szCs w:val="21"/>
                <w:lang w:val="en-US" w:eastAsia="zh-CN" w:bidi="ar-SA"/>
              </w:rPr>
              <w:t>约束性</w:t>
            </w:r>
          </w:p>
        </w:tc>
        <w:tc>
          <w:tcPr>
            <w:tcW w:w="915" w:type="dxa"/>
            <w:noWrap w:val="0"/>
            <w:vAlign w:val="center"/>
          </w:tcPr>
          <w:p w14:paraId="67E00A99">
            <w:pPr>
              <w:widowControl w:val="0"/>
              <w:jc w:val="left"/>
              <w:rPr>
                <w:rFonts w:eastAsia="仿宋_GB2312"/>
                <w:color w:val="000000"/>
                <w:kern w:val="0"/>
                <w:sz w:val="21"/>
                <w:szCs w:val="21"/>
                <w:lang w:val="en-US" w:eastAsia="zh-CN" w:bidi="ar-SA"/>
              </w:rPr>
            </w:pPr>
          </w:p>
        </w:tc>
        <w:tc>
          <w:tcPr>
            <w:tcW w:w="501" w:type="dxa"/>
            <w:noWrap w:val="0"/>
            <w:vAlign w:val="center"/>
          </w:tcPr>
          <w:p w14:paraId="3CBE27A6">
            <w:pPr>
              <w:widowControl w:val="0"/>
              <w:adjustRightInd w:val="0"/>
              <w:snapToGrid w:val="0"/>
              <w:jc w:val="center"/>
              <w:rPr>
                <w:rFonts w:eastAsia="仿宋_GB2312"/>
                <w:color w:val="000000"/>
                <w:kern w:val="0"/>
                <w:sz w:val="18"/>
                <w:szCs w:val="18"/>
                <w:lang w:val="en-US" w:eastAsia="zh-CN" w:bidi="ar-SA"/>
              </w:rPr>
            </w:pPr>
          </w:p>
        </w:tc>
      </w:tr>
    </w:tbl>
    <w:p w14:paraId="5299388A">
      <w:pPr>
        <w:ind w:left="0" w:leftChars="0"/>
        <w:outlineLvl w:val="0"/>
        <w:rPr>
          <w:rFonts w:hint="eastAsia" w:ascii="方正小标宋_GBK" w:hAnsi="方正小标宋_GBK" w:eastAsia="方正小标宋_GBK" w:cs="方正小标宋_GBK"/>
          <w:color w:val="000000"/>
          <w:kern w:val="0"/>
          <w:sz w:val="44"/>
          <w:szCs w:val="44"/>
        </w:rPr>
        <w:sectPr>
          <w:type w:val="continuous"/>
          <w:pgSz w:w="16838" w:h="11906" w:orient="landscape"/>
          <w:pgMar w:top="1440" w:right="1797" w:bottom="1440" w:left="1797" w:header="851" w:footer="992" w:gutter="0"/>
          <w:pgNumType w:fmt="decimal"/>
          <w:cols w:space="720" w:num="1"/>
          <w:docGrid w:type="linesAndChars" w:linePitch="312" w:charSpace="0"/>
        </w:sectPr>
      </w:pPr>
    </w:p>
    <w:p w14:paraId="5EA51920">
      <w:pPr>
        <w:keepNext w:val="0"/>
        <w:keepLines w:val="0"/>
        <w:pageBreakBefore w:val="0"/>
        <w:widowControl w:val="0"/>
        <w:kinsoku/>
        <w:wordWrap/>
        <w:overflowPunct/>
        <w:topLinePunct w:val="0"/>
        <w:autoSpaceDE/>
        <w:autoSpaceDN/>
        <w:bidi w:val="0"/>
        <w:adjustRightInd/>
        <w:snapToGrid/>
        <w:ind w:left="0" w:leftChars="0"/>
        <w:textAlignment w:val="auto"/>
        <w:outlineLvl w:val="0"/>
        <w:rPr>
          <w:rFonts w:hint="eastAsia" w:ascii="方正小标宋_GBK" w:hAnsi="方正小标宋_GBK" w:eastAsia="方正小标宋_GBK" w:cs="方正小标宋_GBK"/>
          <w:color w:val="000000"/>
          <w:kern w:val="0"/>
          <w:sz w:val="32"/>
          <w:szCs w:val="32"/>
        </w:rPr>
      </w:pPr>
    </w:p>
    <w:p w14:paraId="4B9B81FF">
      <w:pPr>
        <w:keepNext w:val="0"/>
        <w:keepLines w:val="0"/>
        <w:pageBreakBefore w:val="0"/>
        <w:widowControl w:val="0"/>
        <w:kinsoku/>
        <w:wordWrap/>
        <w:overflowPunct/>
        <w:topLinePunct w:val="0"/>
        <w:autoSpaceDE/>
        <w:autoSpaceDN/>
        <w:bidi w:val="0"/>
        <w:adjustRightInd/>
        <w:snapToGrid/>
        <w:ind w:left="-567" w:leftChars="-270"/>
        <w:jc w:val="center"/>
        <w:textAlignment w:val="auto"/>
        <w:outlineLvl w:val="0"/>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说 明</w:t>
      </w:r>
    </w:p>
    <w:p w14:paraId="632DF99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Calibri" w:hAnsi="Calibri" w:eastAsia="仿宋_GB2312"/>
          <w:color w:val="000000"/>
          <w:kern w:val="0"/>
          <w:sz w:val="32"/>
          <w:szCs w:val="32"/>
        </w:rPr>
      </w:pPr>
    </w:p>
    <w:p w14:paraId="68D89171">
      <w:pPr>
        <w:keepNext w:val="0"/>
        <w:keepLines w:val="0"/>
        <w:pageBreakBefore w:val="0"/>
        <w:kinsoku/>
        <w:wordWrap/>
        <w:overflowPunct/>
        <w:topLinePunct w:val="0"/>
        <w:autoSpaceDE/>
        <w:autoSpaceDN/>
        <w:bidi w:val="0"/>
        <w:adjustRightInd/>
        <w:snapToGrid/>
        <w:ind w:left="0" w:leftChars="0" w:firstLine="640" w:firstLineChars="200"/>
        <w:textAlignment w:val="auto"/>
        <w:rPr>
          <w:rFonts w:eastAsia="仿宋_GB2312"/>
          <w:b/>
          <w:bCs/>
          <w:color w:val="000000"/>
          <w:kern w:val="0"/>
          <w:sz w:val="32"/>
          <w:szCs w:val="32"/>
        </w:rPr>
      </w:pPr>
      <w:r>
        <w:rPr>
          <w:rFonts w:hint="eastAsia" w:ascii="Calibri" w:hAnsi="Calibri" w:eastAsia="仿宋_GB2312"/>
          <w:color w:val="000000"/>
          <w:kern w:val="0"/>
          <w:sz w:val="32"/>
          <w:szCs w:val="32"/>
        </w:rPr>
        <w:t>《湖南省绿色矿山建设评价指标》参照</w:t>
      </w:r>
      <w:r>
        <w:rPr>
          <w:rFonts w:eastAsia="仿宋_GB2312"/>
          <w:color w:val="000000"/>
          <w:kern w:val="0"/>
          <w:sz w:val="32"/>
          <w:szCs w:val="32"/>
        </w:rPr>
        <w:t>《</w:t>
      </w:r>
      <w:r>
        <w:rPr>
          <w:rFonts w:hint="eastAsia" w:eastAsia="仿宋_GB2312"/>
          <w:color w:val="000000"/>
          <w:kern w:val="0"/>
          <w:sz w:val="32"/>
          <w:szCs w:val="32"/>
        </w:rPr>
        <w:t>国家级</w:t>
      </w:r>
      <w:r>
        <w:rPr>
          <w:rFonts w:eastAsia="仿宋_GB2312"/>
          <w:color w:val="000000"/>
          <w:kern w:val="0"/>
          <w:sz w:val="32"/>
          <w:szCs w:val="32"/>
        </w:rPr>
        <w:t>绿色矿山建设评价指标》</w:t>
      </w:r>
      <w:r>
        <w:rPr>
          <w:rFonts w:hint="eastAsia" w:ascii="Calibri" w:hAnsi="Calibri" w:eastAsia="仿宋_GB2312"/>
          <w:color w:val="000000"/>
          <w:kern w:val="0"/>
          <w:sz w:val="32"/>
          <w:szCs w:val="32"/>
        </w:rPr>
        <w:t>执行，</w:t>
      </w:r>
      <w:r>
        <w:rPr>
          <w:rFonts w:eastAsia="仿宋_GB2312"/>
          <w:color w:val="000000"/>
          <w:kern w:val="0"/>
          <w:sz w:val="32"/>
          <w:szCs w:val="32"/>
        </w:rPr>
        <w:t>包含先决条件和评分表两部分。先决条件属于否决项，有一项达不到要求，则不能参与绿色矿山遴选工作</w:t>
      </w:r>
      <w:r>
        <w:rPr>
          <w:rFonts w:hint="eastAsia" w:ascii="Calibri" w:hAnsi="Calibri" w:eastAsia="仿宋_GB2312"/>
          <w:color w:val="000000"/>
          <w:kern w:val="0"/>
          <w:sz w:val="32"/>
          <w:szCs w:val="32"/>
        </w:rPr>
        <w:t>。</w:t>
      </w:r>
    </w:p>
    <w:p w14:paraId="3B9A45AA">
      <w:pPr>
        <w:keepNext w:val="0"/>
        <w:keepLines w:val="0"/>
        <w:pageBreakBefore w:val="0"/>
        <w:kinsoku/>
        <w:wordWrap/>
        <w:overflowPunct/>
        <w:topLinePunct w:val="0"/>
        <w:autoSpaceDE/>
        <w:autoSpaceDN/>
        <w:bidi w:val="0"/>
        <w:adjustRightInd/>
        <w:snapToGrid/>
        <w:ind w:left="0" w:leftChars="0" w:firstLine="640" w:firstLineChars="200"/>
        <w:textAlignment w:val="auto"/>
        <w:outlineLvl w:val="0"/>
        <w:rPr>
          <w:rFonts w:eastAsia="黑体"/>
          <w:color w:val="000000"/>
          <w:kern w:val="0"/>
          <w:sz w:val="32"/>
          <w:szCs w:val="32"/>
        </w:rPr>
      </w:pPr>
      <w:r>
        <w:rPr>
          <w:rFonts w:eastAsia="黑体"/>
          <w:color w:val="000000"/>
          <w:kern w:val="0"/>
          <w:sz w:val="32"/>
          <w:szCs w:val="32"/>
        </w:rPr>
        <w:t>一、计分办法与达标说明</w:t>
      </w:r>
    </w:p>
    <w:p w14:paraId="56A2EF13">
      <w:pPr>
        <w:keepNext w:val="0"/>
        <w:keepLines w:val="0"/>
        <w:pageBreakBefore w:val="0"/>
        <w:kinsoku/>
        <w:wordWrap/>
        <w:overflowPunct w:val="0"/>
        <w:topLinePunct w:val="0"/>
        <w:autoSpaceDE/>
        <w:autoSpaceDN/>
        <w:bidi w:val="0"/>
        <w:adjustRightInd/>
        <w:snapToGrid/>
        <w:ind w:left="0" w:leftChars="0" w:firstLine="640" w:firstLineChars="200"/>
        <w:textAlignment w:val="auto"/>
        <w:rPr>
          <w:rFonts w:eastAsia="仿宋_GB2312"/>
          <w:color w:val="000000"/>
          <w:kern w:val="0"/>
          <w:sz w:val="32"/>
          <w:szCs w:val="32"/>
        </w:rPr>
      </w:pPr>
      <w:r>
        <w:rPr>
          <w:rFonts w:eastAsia="仿宋_GB2312"/>
          <w:color w:val="000000"/>
          <w:kern w:val="0"/>
          <w:sz w:val="32"/>
          <w:szCs w:val="32"/>
        </w:rPr>
        <w:t>（一）</w:t>
      </w:r>
      <w:r>
        <w:rPr>
          <w:rFonts w:hint="eastAsia" w:ascii="Calibri" w:hAnsi="Calibri" w:eastAsia="仿宋_GB2312"/>
          <w:color w:val="000000"/>
          <w:kern w:val="0"/>
          <w:sz w:val="32"/>
          <w:szCs w:val="32"/>
        </w:rPr>
        <w:t>非金属、化工、黄金、冶金、有色、油气、煤炭、地热、矿泉水等行业</w:t>
      </w:r>
      <w:r>
        <w:rPr>
          <w:rFonts w:eastAsia="仿宋_GB2312"/>
          <w:color w:val="000000"/>
          <w:kern w:val="0"/>
          <w:sz w:val="32"/>
          <w:szCs w:val="32"/>
        </w:rPr>
        <w:t>评价指标共</w:t>
      </w:r>
      <w:r>
        <w:rPr>
          <w:rFonts w:hint="default" w:ascii="Times New Roman" w:hAnsi="Times New Roman" w:eastAsia="仿宋_GB2312"/>
          <w:color w:val="000000"/>
          <w:kern w:val="0"/>
          <w:sz w:val="32"/>
          <w:szCs w:val="32"/>
        </w:rPr>
        <w:t>45项，其中</w:t>
      </w:r>
      <w:r>
        <w:rPr>
          <w:rFonts w:eastAsia="仿宋_GB2312"/>
          <w:color w:val="000000"/>
          <w:kern w:val="0"/>
          <w:sz w:val="32"/>
          <w:szCs w:val="32"/>
        </w:rPr>
        <w:t>约束性指标</w:t>
      </w:r>
      <w:r>
        <w:rPr>
          <w:rFonts w:hint="eastAsia" w:eastAsia="仿宋_GB2312"/>
          <w:color w:val="000000"/>
          <w:kern w:val="0"/>
          <w:sz w:val="32"/>
          <w:szCs w:val="32"/>
        </w:rPr>
        <w:t>20</w:t>
      </w:r>
      <w:r>
        <w:rPr>
          <w:rFonts w:eastAsia="仿宋_GB2312"/>
          <w:color w:val="000000"/>
          <w:kern w:val="0"/>
          <w:sz w:val="32"/>
          <w:szCs w:val="32"/>
        </w:rPr>
        <w:t>项，所有约束性指标必须得满分，若一项不得</w:t>
      </w:r>
      <w:r>
        <w:rPr>
          <w:rFonts w:hint="eastAsia" w:eastAsia="仿宋_GB2312"/>
          <w:color w:val="000000"/>
          <w:kern w:val="0"/>
          <w:sz w:val="32"/>
          <w:szCs w:val="32"/>
        </w:rPr>
        <w:t>满</w:t>
      </w:r>
      <w:r>
        <w:rPr>
          <w:rFonts w:eastAsia="仿宋_GB2312"/>
          <w:color w:val="000000"/>
          <w:kern w:val="0"/>
          <w:sz w:val="32"/>
          <w:szCs w:val="32"/>
        </w:rPr>
        <w:t>分则不达标。提升性指标2</w:t>
      </w:r>
      <w:r>
        <w:rPr>
          <w:rFonts w:hint="default" w:ascii="Times New Roman" w:hAnsi="Times New Roman" w:eastAsia="仿宋_GB2312"/>
          <w:color w:val="000000"/>
          <w:kern w:val="0"/>
          <w:sz w:val="32"/>
          <w:szCs w:val="32"/>
        </w:rPr>
        <w:t>5</w:t>
      </w:r>
      <w:r>
        <w:rPr>
          <w:rFonts w:eastAsia="仿宋_GB2312"/>
          <w:color w:val="000000"/>
          <w:kern w:val="0"/>
          <w:sz w:val="32"/>
          <w:szCs w:val="32"/>
        </w:rPr>
        <w:t>项</w:t>
      </w:r>
      <w:r>
        <w:rPr>
          <w:rFonts w:hint="default" w:ascii="Times New Roman" w:hAnsi="Times New Roman" w:eastAsia="仿宋_GB2312"/>
          <w:color w:val="000000"/>
          <w:kern w:val="0"/>
          <w:sz w:val="32"/>
          <w:szCs w:val="32"/>
        </w:rPr>
        <w:t>，</w:t>
      </w:r>
      <w:r>
        <w:rPr>
          <w:rFonts w:eastAsia="仿宋_GB2312"/>
          <w:color w:val="000000"/>
          <w:kern w:val="0"/>
          <w:sz w:val="32"/>
          <w:szCs w:val="32"/>
        </w:rPr>
        <w:t>体现差异性，按评分表内的评分说明进行评分。</w:t>
      </w:r>
      <w:r>
        <w:rPr>
          <w:rFonts w:hint="default" w:ascii="Times New Roman" w:hAnsi="Times New Roman" w:eastAsia="仿宋_GB2312"/>
          <w:color w:val="000000"/>
          <w:kern w:val="0"/>
          <w:sz w:val="32"/>
          <w:szCs w:val="32"/>
        </w:rPr>
        <w:t>分别从</w:t>
      </w:r>
      <w:r>
        <w:rPr>
          <w:rFonts w:eastAsia="仿宋_GB2312"/>
          <w:color w:val="000000"/>
          <w:kern w:val="0"/>
          <w:sz w:val="32"/>
          <w:szCs w:val="32"/>
        </w:rPr>
        <w:t>矿区环境</w:t>
      </w:r>
      <w:r>
        <w:rPr>
          <w:rFonts w:hint="default" w:ascii="Times New Roman" w:hAnsi="Times New Roman" w:eastAsia="仿宋_GB2312"/>
          <w:color w:val="000000"/>
          <w:kern w:val="0"/>
          <w:sz w:val="32"/>
          <w:szCs w:val="32"/>
        </w:rPr>
        <w:t>（7项）</w:t>
      </w:r>
      <w:r>
        <w:rPr>
          <w:rFonts w:eastAsia="仿宋_GB2312"/>
          <w:color w:val="000000"/>
          <w:kern w:val="0"/>
          <w:sz w:val="32"/>
          <w:szCs w:val="32"/>
        </w:rPr>
        <w:t>、资源开采</w:t>
      </w:r>
      <w:r>
        <w:rPr>
          <w:rFonts w:hint="default" w:ascii="Times New Roman" w:hAnsi="Times New Roman" w:eastAsia="仿宋_GB2312"/>
          <w:color w:val="000000"/>
          <w:kern w:val="0"/>
          <w:sz w:val="32"/>
          <w:szCs w:val="32"/>
        </w:rPr>
        <w:t>（4项）</w:t>
      </w:r>
      <w:r>
        <w:rPr>
          <w:rFonts w:eastAsia="仿宋_GB2312"/>
          <w:color w:val="000000"/>
          <w:kern w:val="0"/>
          <w:sz w:val="32"/>
          <w:szCs w:val="32"/>
        </w:rPr>
        <w:t>、资源综合利用</w:t>
      </w:r>
      <w:r>
        <w:rPr>
          <w:rFonts w:hint="default" w:ascii="Times New Roman" w:hAnsi="Times New Roman" w:eastAsia="仿宋_GB2312"/>
          <w:color w:val="000000"/>
          <w:kern w:val="0"/>
          <w:sz w:val="32"/>
          <w:szCs w:val="32"/>
        </w:rPr>
        <w:t>（9项）、</w:t>
      </w:r>
      <w:r>
        <w:rPr>
          <w:rFonts w:hint="eastAsia" w:eastAsia="仿宋_GB2312"/>
          <w:color w:val="000000"/>
          <w:kern w:val="0"/>
          <w:sz w:val="32"/>
          <w:szCs w:val="32"/>
        </w:rPr>
        <w:t>绿色低碳</w:t>
      </w:r>
      <w:r>
        <w:rPr>
          <w:rFonts w:hint="default" w:ascii="Times New Roman" w:hAnsi="Times New Roman" w:eastAsia="仿宋_GB2312"/>
          <w:color w:val="000000"/>
          <w:kern w:val="0"/>
          <w:sz w:val="32"/>
          <w:szCs w:val="32"/>
        </w:rPr>
        <w:t>（13项）</w:t>
      </w:r>
      <w:r>
        <w:rPr>
          <w:rFonts w:eastAsia="仿宋_GB2312"/>
          <w:color w:val="000000"/>
          <w:kern w:val="0"/>
          <w:sz w:val="32"/>
          <w:szCs w:val="32"/>
        </w:rPr>
        <w:t>、生态修复</w:t>
      </w:r>
      <w:r>
        <w:rPr>
          <w:rFonts w:hint="eastAsia" w:eastAsia="仿宋_GB2312"/>
          <w:color w:val="000000"/>
          <w:kern w:val="0"/>
          <w:sz w:val="32"/>
          <w:szCs w:val="32"/>
        </w:rPr>
        <w:t>与环境治理</w:t>
      </w:r>
      <w:r>
        <w:rPr>
          <w:rFonts w:hint="default" w:ascii="Times New Roman" w:hAnsi="Times New Roman" w:eastAsia="仿宋_GB2312"/>
          <w:color w:val="000000"/>
          <w:kern w:val="0"/>
          <w:sz w:val="32"/>
          <w:szCs w:val="32"/>
        </w:rPr>
        <w:t>（5项）</w:t>
      </w:r>
      <w:r>
        <w:rPr>
          <w:rFonts w:eastAsia="仿宋_GB2312"/>
          <w:color w:val="000000"/>
          <w:kern w:val="0"/>
          <w:sz w:val="32"/>
          <w:szCs w:val="32"/>
        </w:rPr>
        <w:t>、科技创新与规范管理</w:t>
      </w:r>
      <w:r>
        <w:rPr>
          <w:rFonts w:hint="default" w:ascii="Times New Roman" w:hAnsi="Times New Roman" w:eastAsia="仿宋_GB2312"/>
          <w:color w:val="000000"/>
          <w:kern w:val="0"/>
          <w:sz w:val="32"/>
          <w:szCs w:val="32"/>
        </w:rPr>
        <w:t>（7项）六方面对绿色矿山建设水平进行评分。</w:t>
      </w:r>
    </w:p>
    <w:p w14:paraId="39E5B625">
      <w:pPr>
        <w:keepNext w:val="0"/>
        <w:keepLines w:val="0"/>
        <w:pageBreakBefore w:val="0"/>
        <w:kinsoku/>
        <w:wordWrap/>
        <w:overflowPunct/>
        <w:topLinePunct w:val="0"/>
        <w:autoSpaceDE/>
        <w:autoSpaceDN/>
        <w:bidi w:val="0"/>
        <w:adjustRightInd/>
        <w:snapToGrid/>
        <w:ind w:left="0" w:leftChars="0" w:firstLine="640" w:firstLineChars="200"/>
        <w:textAlignment w:val="auto"/>
        <w:rPr>
          <w:rFonts w:eastAsia="仿宋_GB2312"/>
          <w:color w:val="000000"/>
          <w:kern w:val="0"/>
          <w:sz w:val="32"/>
          <w:szCs w:val="32"/>
        </w:rPr>
      </w:pPr>
      <w:r>
        <w:rPr>
          <w:rFonts w:eastAsia="仿宋_GB2312"/>
          <w:color w:val="000000"/>
          <w:kern w:val="0"/>
          <w:sz w:val="32"/>
          <w:szCs w:val="32"/>
        </w:rPr>
        <w:t>（二）</w:t>
      </w:r>
      <w:r>
        <w:rPr>
          <w:rFonts w:hint="default" w:ascii="Times New Roman" w:hAnsi="Times New Roman" w:eastAsia="仿宋_GB2312"/>
          <w:color w:val="000000"/>
          <w:kern w:val="0"/>
          <w:sz w:val="32"/>
          <w:szCs w:val="32"/>
        </w:rPr>
        <w:t>砂石、水泥灰岩、建筑石材等行业</w:t>
      </w:r>
      <w:r>
        <w:rPr>
          <w:rFonts w:eastAsia="仿宋_GB2312"/>
          <w:color w:val="000000"/>
          <w:kern w:val="0"/>
          <w:sz w:val="32"/>
          <w:szCs w:val="32"/>
        </w:rPr>
        <w:t>评价指标共</w:t>
      </w:r>
      <w:r>
        <w:rPr>
          <w:rFonts w:hint="default" w:ascii="Times New Roman" w:hAnsi="Times New Roman" w:eastAsia="仿宋_GB2312"/>
          <w:color w:val="000000"/>
          <w:kern w:val="0"/>
          <w:sz w:val="32"/>
          <w:szCs w:val="32"/>
        </w:rPr>
        <w:t>40项，其中</w:t>
      </w:r>
      <w:r>
        <w:rPr>
          <w:rFonts w:eastAsia="仿宋_GB2312"/>
          <w:color w:val="000000"/>
          <w:kern w:val="0"/>
          <w:sz w:val="32"/>
          <w:szCs w:val="32"/>
        </w:rPr>
        <w:t>约束性指标共</w:t>
      </w:r>
      <w:r>
        <w:rPr>
          <w:rFonts w:hint="default" w:ascii="Times New Roman" w:hAnsi="Times New Roman" w:eastAsia="仿宋_GB2312"/>
          <w:color w:val="000000"/>
          <w:kern w:val="0"/>
          <w:sz w:val="32"/>
          <w:szCs w:val="32"/>
        </w:rPr>
        <w:t>17</w:t>
      </w:r>
      <w:r>
        <w:rPr>
          <w:rFonts w:eastAsia="仿宋_GB2312"/>
          <w:color w:val="000000"/>
          <w:kern w:val="0"/>
          <w:sz w:val="32"/>
          <w:szCs w:val="32"/>
        </w:rPr>
        <w:t>项，所有约束性指标必须得满分，若一项不得</w:t>
      </w:r>
      <w:r>
        <w:rPr>
          <w:rFonts w:hint="eastAsia" w:eastAsia="仿宋_GB2312"/>
          <w:color w:val="000000"/>
          <w:kern w:val="0"/>
          <w:sz w:val="32"/>
          <w:szCs w:val="32"/>
        </w:rPr>
        <w:t>满</w:t>
      </w:r>
      <w:r>
        <w:rPr>
          <w:rFonts w:eastAsia="仿宋_GB2312"/>
          <w:color w:val="000000"/>
          <w:kern w:val="0"/>
          <w:sz w:val="32"/>
          <w:szCs w:val="32"/>
        </w:rPr>
        <w:t>分则不达标。提升性指标</w:t>
      </w:r>
      <w:r>
        <w:rPr>
          <w:rFonts w:hint="default" w:ascii="Times New Roman" w:hAnsi="Times New Roman" w:eastAsia="仿宋_GB2312"/>
          <w:color w:val="000000"/>
          <w:kern w:val="0"/>
          <w:sz w:val="32"/>
          <w:szCs w:val="32"/>
        </w:rPr>
        <w:t>共</w:t>
      </w:r>
      <w:r>
        <w:rPr>
          <w:rFonts w:eastAsia="仿宋_GB2312"/>
          <w:color w:val="000000"/>
          <w:kern w:val="0"/>
          <w:sz w:val="32"/>
          <w:szCs w:val="32"/>
        </w:rPr>
        <w:t>2</w:t>
      </w:r>
      <w:r>
        <w:rPr>
          <w:rFonts w:hint="default" w:ascii="Times New Roman" w:hAnsi="Times New Roman" w:eastAsia="仿宋_GB2312"/>
          <w:color w:val="000000"/>
          <w:kern w:val="0"/>
          <w:sz w:val="32"/>
          <w:szCs w:val="32"/>
        </w:rPr>
        <w:t>3</w:t>
      </w:r>
      <w:r>
        <w:rPr>
          <w:rFonts w:eastAsia="仿宋_GB2312"/>
          <w:color w:val="000000"/>
          <w:kern w:val="0"/>
          <w:sz w:val="32"/>
          <w:szCs w:val="32"/>
        </w:rPr>
        <w:t>项</w:t>
      </w:r>
      <w:r>
        <w:rPr>
          <w:rFonts w:hint="default" w:ascii="Times New Roman" w:hAnsi="Times New Roman" w:eastAsia="仿宋_GB2312"/>
          <w:color w:val="000000"/>
          <w:kern w:val="0"/>
          <w:sz w:val="32"/>
          <w:szCs w:val="32"/>
        </w:rPr>
        <w:t>，</w:t>
      </w:r>
      <w:r>
        <w:rPr>
          <w:rFonts w:eastAsia="仿宋_GB2312"/>
          <w:color w:val="000000"/>
          <w:kern w:val="0"/>
          <w:sz w:val="32"/>
          <w:szCs w:val="32"/>
        </w:rPr>
        <w:t>体现差异性，按评分表内的评分说明进行评分。</w:t>
      </w:r>
      <w:r>
        <w:rPr>
          <w:rFonts w:hint="default" w:ascii="Times New Roman" w:hAnsi="Times New Roman" w:eastAsia="仿宋_GB2312"/>
          <w:color w:val="000000"/>
          <w:kern w:val="0"/>
          <w:sz w:val="32"/>
          <w:szCs w:val="32"/>
        </w:rPr>
        <w:t>分别从</w:t>
      </w:r>
      <w:r>
        <w:rPr>
          <w:rFonts w:eastAsia="仿宋_GB2312"/>
          <w:color w:val="000000"/>
          <w:kern w:val="0"/>
          <w:sz w:val="32"/>
          <w:szCs w:val="32"/>
        </w:rPr>
        <w:t>矿区环境</w:t>
      </w:r>
      <w:r>
        <w:rPr>
          <w:rFonts w:hint="default" w:ascii="Times New Roman" w:hAnsi="Times New Roman" w:eastAsia="仿宋_GB2312"/>
          <w:color w:val="000000"/>
          <w:kern w:val="0"/>
          <w:sz w:val="32"/>
          <w:szCs w:val="32"/>
        </w:rPr>
        <w:t>（7项）</w:t>
      </w:r>
      <w:r>
        <w:rPr>
          <w:rFonts w:eastAsia="仿宋_GB2312"/>
          <w:color w:val="000000"/>
          <w:kern w:val="0"/>
          <w:sz w:val="32"/>
          <w:szCs w:val="32"/>
        </w:rPr>
        <w:t>、资源开采</w:t>
      </w:r>
      <w:r>
        <w:rPr>
          <w:rFonts w:hint="default" w:ascii="Times New Roman" w:hAnsi="Times New Roman" w:eastAsia="仿宋_GB2312"/>
          <w:color w:val="000000"/>
          <w:kern w:val="0"/>
          <w:sz w:val="32"/>
          <w:szCs w:val="32"/>
        </w:rPr>
        <w:t>（4项）</w:t>
      </w:r>
      <w:r>
        <w:rPr>
          <w:rFonts w:eastAsia="仿宋_GB2312"/>
          <w:color w:val="000000"/>
          <w:kern w:val="0"/>
          <w:sz w:val="32"/>
          <w:szCs w:val="32"/>
        </w:rPr>
        <w:t>、资源综合利用</w:t>
      </w:r>
      <w:r>
        <w:rPr>
          <w:rFonts w:hint="default" w:ascii="Times New Roman" w:hAnsi="Times New Roman" w:eastAsia="仿宋_GB2312"/>
          <w:color w:val="000000"/>
          <w:kern w:val="0"/>
          <w:sz w:val="32"/>
          <w:szCs w:val="32"/>
        </w:rPr>
        <w:t>（4项）、</w:t>
      </w:r>
      <w:r>
        <w:rPr>
          <w:rFonts w:hint="eastAsia" w:eastAsia="仿宋_GB2312"/>
          <w:color w:val="000000"/>
          <w:kern w:val="0"/>
          <w:sz w:val="32"/>
          <w:szCs w:val="32"/>
        </w:rPr>
        <w:t>绿色低碳</w:t>
      </w:r>
      <w:r>
        <w:rPr>
          <w:rFonts w:hint="default" w:ascii="Times New Roman" w:hAnsi="Times New Roman" w:eastAsia="仿宋_GB2312"/>
          <w:color w:val="000000"/>
          <w:kern w:val="0"/>
          <w:sz w:val="32"/>
          <w:szCs w:val="32"/>
        </w:rPr>
        <w:t>（13项）</w:t>
      </w:r>
      <w:r>
        <w:rPr>
          <w:rFonts w:eastAsia="仿宋_GB2312"/>
          <w:color w:val="000000"/>
          <w:kern w:val="0"/>
          <w:sz w:val="32"/>
          <w:szCs w:val="32"/>
        </w:rPr>
        <w:t>、生态修复</w:t>
      </w:r>
      <w:r>
        <w:rPr>
          <w:rFonts w:hint="eastAsia" w:eastAsia="仿宋_GB2312"/>
          <w:color w:val="000000"/>
          <w:kern w:val="0"/>
          <w:sz w:val="32"/>
          <w:szCs w:val="32"/>
        </w:rPr>
        <w:t>与环境治理</w:t>
      </w:r>
      <w:r>
        <w:rPr>
          <w:rFonts w:hint="default" w:ascii="Times New Roman" w:hAnsi="Times New Roman" w:eastAsia="仿宋_GB2312"/>
          <w:color w:val="000000"/>
          <w:kern w:val="0"/>
          <w:sz w:val="32"/>
          <w:szCs w:val="32"/>
        </w:rPr>
        <w:t>（5项）</w:t>
      </w:r>
      <w:r>
        <w:rPr>
          <w:rFonts w:eastAsia="仿宋_GB2312"/>
          <w:color w:val="000000"/>
          <w:kern w:val="0"/>
          <w:sz w:val="32"/>
          <w:szCs w:val="32"/>
        </w:rPr>
        <w:t>、科技创新与规范管理</w:t>
      </w:r>
      <w:r>
        <w:rPr>
          <w:rFonts w:hint="default" w:ascii="Times New Roman" w:hAnsi="Times New Roman" w:eastAsia="仿宋_GB2312"/>
          <w:color w:val="000000"/>
          <w:kern w:val="0"/>
          <w:sz w:val="32"/>
          <w:szCs w:val="32"/>
        </w:rPr>
        <w:t>（7项）六方面对绿色矿山建设水平进</w:t>
      </w:r>
      <w:r>
        <w:rPr>
          <w:rFonts w:hint="eastAsia" w:ascii="Calibri" w:hAnsi="Calibri" w:eastAsia="仿宋_GB2312"/>
          <w:color w:val="000000"/>
          <w:kern w:val="0"/>
          <w:sz w:val="32"/>
          <w:szCs w:val="32"/>
        </w:rPr>
        <w:t>行评分。</w:t>
      </w:r>
    </w:p>
    <w:p w14:paraId="3741FE56">
      <w:pPr>
        <w:ind w:firstLine="640" w:firstLineChars="200"/>
        <w:rPr>
          <w:rFonts w:hint="eastAsia" w:eastAsia="仿宋_GB2312"/>
          <w:color w:val="000000"/>
          <w:kern w:val="0"/>
          <w:sz w:val="32"/>
          <w:szCs w:val="32"/>
        </w:rPr>
      </w:pPr>
      <w:r>
        <w:rPr>
          <w:rFonts w:eastAsia="仿宋_GB2312"/>
          <w:color w:val="000000"/>
          <w:kern w:val="0"/>
          <w:sz w:val="32"/>
          <w:szCs w:val="32"/>
        </w:rPr>
        <w:t>（三）</w:t>
      </w:r>
      <w:r>
        <w:rPr>
          <w:rFonts w:hint="eastAsia" w:eastAsia="仿宋_GB2312"/>
          <w:color w:val="000000"/>
          <w:kern w:val="0"/>
          <w:sz w:val="32"/>
          <w:szCs w:val="32"/>
        </w:rPr>
        <w:t>不</w:t>
      </w:r>
      <w:r>
        <w:rPr>
          <w:rFonts w:eastAsia="仿宋_GB2312"/>
          <w:color w:val="000000"/>
          <w:kern w:val="0"/>
          <w:sz w:val="32"/>
          <w:szCs w:val="32"/>
        </w:rPr>
        <w:t>涉及项</w:t>
      </w:r>
      <w:r>
        <w:rPr>
          <w:rFonts w:hint="eastAsia" w:eastAsia="仿宋_GB2312"/>
          <w:color w:val="000000"/>
          <w:kern w:val="0"/>
          <w:sz w:val="32"/>
          <w:szCs w:val="32"/>
        </w:rPr>
        <w:t>计分</w:t>
      </w:r>
      <w:r>
        <w:rPr>
          <w:rFonts w:eastAsia="仿宋_GB2312"/>
          <w:color w:val="000000"/>
          <w:kern w:val="0"/>
          <w:sz w:val="32"/>
          <w:szCs w:val="32"/>
        </w:rPr>
        <w:t>。</w:t>
      </w:r>
      <w:r>
        <w:rPr>
          <w:rFonts w:hint="eastAsia" w:eastAsia="仿宋_GB2312"/>
          <w:color w:val="000000"/>
          <w:kern w:val="0"/>
          <w:sz w:val="32"/>
          <w:szCs w:val="32"/>
        </w:rPr>
        <w:t>经判定某项指标属于不涉及项的，按大类采用折合法计分。不涉及</w:t>
      </w:r>
      <w:r>
        <w:rPr>
          <w:rFonts w:eastAsia="仿宋_GB2312"/>
          <w:color w:val="000000"/>
          <w:kern w:val="0"/>
          <w:sz w:val="32"/>
          <w:szCs w:val="32"/>
        </w:rPr>
        <w:t>项</w:t>
      </w:r>
      <w:r>
        <w:rPr>
          <w:rFonts w:hint="eastAsia" w:eastAsia="仿宋_GB2312"/>
          <w:color w:val="000000"/>
          <w:kern w:val="0"/>
          <w:sz w:val="32"/>
          <w:szCs w:val="32"/>
        </w:rPr>
        <w:t>要</w:t>
      </w:r>
      <w:r>
        <w:rPr>
          <w:rFonts w:hint="eastAsia" w:eastAsia="仿宋_GB2312"/>
          <w:color w:val="000000"/>
          <w:sz w:val="32"/>
          <w:szCs w:val="32"/>
        </w:rPr>
        <w:t>在评分表中明确说明判定依据和理由</w:t>
      </w:r>
      <w:r>
        <w:rPr>
          <w:rFonts w:eastAsia="仿宋_GB2312"/>
          <w:color w:val="000000"/>
          <w:sz w:val="32"/>
          <w:szCs w:val="32"/>
        </w:rPr>
        <w:t>。</w:t>
      </w:r>
    </w:p>
    <w:p w14:paraId="59D21321">
      <w:pPr>
        <w:keepNext w:val="0"/>
        <w:keepLines w:val="0"/>
        <w:pageBreakBefore w:val="0"/>
        <w:kinsoku/>
        <w:wordWrap/>
        <w:overflowPunct/>
        <w:topLinePunct w:val="0"/>
        <w:autoSpaceDE/>
        <w:autoSpaceDN/>
        <w:bidi w:val="0"/>
        <w:adjustRightInd/>
        <w:snapToGrid/>
        <w:ind w:left="0" w:leftChars="0" w:firstLine="640" w:firstLineChars="200"/>
        <w:textAlignment w:val="auto"/>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四</w:t>
      </w:r>
      <w:r>
        <w:rPr>
          <w:rFonts w:eastAsia="仿宋_GB2312"/>
          <w:color w:val="000000"/>
          <w:kern w:val="0"/>
          <w:sz w:val="32"/>
          <w:szCs w:val="32"/>
        </w:rPr>
        <w:t>）评价指标总分100分，省级绿色矿山</w:t>
      </w:r>
      <w:r>
        <w:rPr>
          <w:rFonts w:hint="eastAsia" w:ascii="Calibri" w:hAnsi="Calibri" w:eastAsia="仿宋_GB2312"/>
          <w:color w:val="000000"/>
          <w:kern w:val="0"/>
          <w:sz w:val="32"/>
          <w:szCs w:val="32"/>
        </w:rPr>
        <w:t>及</w:t>
      </w:r>
      <w:r>
        <w:rPr>
          <w:rFonts w:eastAsia="仿宋_GB2312"/>
          <w:color w:val="000000"/>
          <w:kern w:val="0"/>
          <w:sz w:val="32"/>
          <w:szCs w:val="32"/>
        </w:rPr>
        <w:t>国家级绿色矿山总得分原则上不低于80分。</w:t>
      </w:r>
    </w:p>
    <w:p w14:paraId="775D839C">
      <w:pPr>
        <w:keepNext w:val="0"/>
        <w:keepLines w:val="0"/>
        <w:pageBreakBefore w:val="0"/>
        <w:kinsoku/>
        <w:wordWrap/>
        <w:overflowPunct/>
        <w:topLinePunct w:val="0"/>
        <w:autoSpaceDE/>
        <w:autoSpaceDN/>
        <w:bidi w:val="0"/>
        <w:adjustRightInd/>
        <w:snapToGrid/>
        <w:ind w:left="0" w:leftChars="0" w:firstLine="640" w:firstLineChars="200"/>
        <w:textAlignment w:val="auto"/>
        <w:outlineLvl w:val="0"/>
        <w:rPr>
          <w:rFonts w:eastAsia="黑体"/>
          <w:color w:val="000000"/>
          <w:kern w:val="0"/>
          <w:sz w:val="32"/>
          <w:szCs w:val="32"/>
        </w:rPr>
      </w:pPr>
      <w:r>
        <w:rPr>
          <w:rFonts w:eastAsia="黑体"/>
          <w:color w:val="000000"/>
          <w:kern w:val="0"/>
          <w:sz w:val="32"/>
          <w:szCs w:val="32"/>
        </w:rPr>
        <w:t>二、评分说明</w:t>
      </w:r>
    </w:p>
    <w:p w14:paraId="3CC62C6B">
      <w:pPr>
        <w:keepNext w:val="0"/>
        <w:keepLines w:val="0"/>
        <w:pageBreakBefore w:val="0"/>
        <w:kinsoku/>
        <w:wordWrap/>
        <w:overflowPunct/>
        <w:topLinePunct w:val="0"/>
        <w:autoSpaceDE/>
        <w:autoSpaceDN/>
        <w:bidi w:val="0"/>
        <w:adjustRightInd/>
        <w:snapToGrid/>
        <w:ind w:left="0" w:leftChars="0" w:firstLine="640" w:firstLineChars="200"/>
        <w:textAlignment w:val="auto"/>
        <w:rPr>
          <w:rFonts w:eastAsia="仿宋_GB2312"/>
          <w:color w:val="000000"/>
          <w:kern w:val="0"/>
          <w:sz w:val="32"/>
          <w:szCs w:val="32"/>
        </w:rPr>
      </w:pPr>
      <w:r>
        <w:rPr>
          <w:rFonts w:eastAsia="仿宋_GB2312"/>
          <w:color w:val="000000"/>
          <w:kern w:val="0"/>
          <w:sz w:val="32"/>
          <w:szCs w:val="32"/>
        </w:rPr>
        <w:t>（一）某一指标评分说明属于扣分的，最多扣完</w:t>
      </w:r>
      <w:r>
        <w:rPr>
          <w:rFonts w:hint="eastAsia" w:eastAsia="仿宋_GB2312"/>
          <w:color w:val="000000"/>
          <w:kern w:val="0"/>
          <w:sz w:val="32"/>
          <w:szCs w:val="32"/>
        </w:rPr>
        <w:t>该项分值</w:t>
      </w:r>
      <w:r>
        <w:rPr>
          <w:rFonts w:eastAsia="仿宋_GB2312"/>
          <w:color w:val="000000"/>
          <w:kern w:val="0"/>
          <w:sz w:val="32"/>
          <w:szCs w:val="32"/>
        </w:rPr>
        <w:t>。某一指标评分说明属于增分的，最多增至该项总分。</w:t>
      </w:r>
    </w:p>
    <w:p w14:paraId="2DB19EB0">
      <w:pPr>
        <w:keepNext w:val="0"/>
        <w:keepLines w:val="0"/>
        <w:pageBreakBefore w:val="0"/>
        <w:kinsoku/>
        <w:wordWrap/>
        <w:overflowPunct/>
        <w:topLinePunct w:val="0"/>
        <w:autoSpaceDE/>
        <w:autoSpaceDN/>
        <w:bidi w:val="0"/>
        <w:adjustRightInd/>
        <w:snapToGrid/>
        <w:ind w:left="0" w:leftChars="0" w:firstLine="640" w:firstLineChars="200"/>
        <w:textAlignment w:val="auto"/>
        <w:rPr>
          <w:rFonts w:eastAsia="仿宋_GB2312"/>
          <w:color w:val="000000"/>
          <w:kern w:val="0"/>
          <w:sz w:val="32"/>
          <w:szCs w:val="32"/>
        </w:rPr>
      </w:pPr>
      <w:r>
        <w:rPr>
          <w:rFonts w:eastAsia="仿宋_GB2312"/>
          <w:color w:val="000000"/>
          <w:kern w:val="0"/>
          <w:sz w:val="32"/>
          <w:szCs w:val="32"/>
        </w:rPr>
        <w:t>（二）所有得分必须有依据并要保留证明材料，在</w:t>
      </w:r>
      <w:r>
        <w:rPr>
          <w:rFonts w:hint="eastAsia" w:eastAsia="仿宋_GB2312"/>
          <w:color w:val="000000"/>
          <w:kern w:val="0"/>
          <w:sz w:val="32"/>
          <w:szCs w:val="32"/>
        </w:rPr>
        <w:t>“</w:t>
      </w:r>
      <w:r>
        <w:rPr>
          <w:rFonts w:eastAsia="仿宋_GB2312"/>
          <w:color w:val="000000"/>
          <w:kern w:val="0"/>
          <w:sz w:val="32"/>
          <w:szCs w:val="32"/>
        </w:rPr>
        <w:t>检查记录</w:t>
      </w:r>
      <w:r>
        <w:rPr>
          <w:rFonts w:hint="eastAsia" w:eastAsia="仿宋_GB2312"/>
          <w:color w:val="000000"/>
          <w:kern w:val="0"/>
          <w:sz w:val="32"/>
          <w:szCs w:val="32"/>
        </w:rPr>
        <w:t>”</w:t>
      </w:r>
      <w:r>
        <w:rPr>
          <w:rFonts w:eastAsia="仿宋_GB2312"/>
          <w:color w:val="000000"/>
          <w:kern w:val="0"/>
          <w:sz w:val="32"/>
          <w:szCs w:val="32"/>
        </w:rPr>
        <w:t>栏里写明得到相应分值的原因</w:t>
      </w:r>
      <w:r>
        <w:rPr>
          <w:rFonts w:hint="eastAsia" w:eastAsia="仿宋_GB2312"/>
          <w:color w:val="000000"/>
          <w:kern w:val="0"/>
          <w:sz w:val="32"/>
          <w:szCs w:val="32"/>
        </w:rPr>
        <w:t>，</w:t>
      </w:r>
      <w:r>
        <w:rPr>
          <w:rFonts w:eastAsia="仿宋_GB2312"/>
          <w:color w:val="000000"/>
          <w:kern w:val="0"/>
          <w:sz w:val="32"/>
          <w:szCs w:val="32"/>
        </w:rPr>
        <w:t>缺少支撑材料或证明材料不得分。如需填写内容较多，可在评估报告中重点描述。</w:t>
      </w:r>
    </w:p>
    <w:p w14:paraId="3D64EB66">
      <w:pPr>
        <w:keepNext w:val="0"/>
        <w:keepLines w:val="0"/>
        <w:pageBreakBefore w:val="0"/>
        <w:kinsoku/>
        <w:wordWrap/>
        <w:overflowPunct/>
        <w:topLinePunct w:val="0"/>
        <w:autoSpaceDE/>
        <w:autoSpaceDN/>
        <w:bidi w:val="0"/>
        <w:adjustRightInd/>
        <w:snapToGrid/>
        <w:ind w:left="0" w:leftChars="0" w:firstLine="640" w:firstLineChars="200"/>
        <w:textAlignment w:val="auto"/>
        <w:rPr>
          <w:rFonts w:eastAsia="仿宋_GB2312"/>
          <w:color w:val="000000"/>
          <w:kern w:val="0"/>
          <w:sz w:val="32"/>
          <w:szCs w:val="32"/>
        </w:rPr>
      </w:pPr>
      <w:r>
        <w:rPr>
          <w:rFonts w:eastAsia="仿宋_GB2312"/>
          <w:color w:val="000000"/>
          <w:kern w:val="0"/>
          <w:sz w:val="32"/>
          <w:szCs w:val="32"/>
        </w:rPr>
        <w:t>（三）对于集中建设的选矿加工等配套系统，应明确关联关系，可统一纳入评估考虑。</w:t>
      </w:r>
    </w:p>
    <w:p w14:paraId="1A4D5887">
      <w:pPr>
        <w:keepNext w:val="0"/>
        <w:keepLines w:val="0"/>
        <w:pageBreakBefore w:val="0"/>
        <w:kinsoku/>
        <w:wordWrap/>
        <w:overflowPunct/>
        <w:topLinePunct w:val="0"/>
        <w:autoSpaceDE/>
        <w:autoSpaceDN/>
        <w:bidi w:val="0"/>
        <w:adjustRightInd/>
        <w:snapToGrid/>
        <w:ind w:left="0" w:leftChars="0" w:firstLine="640" w:firstLineChars="200"/>
        <w:textAlignment w:val="auto"/>
        <w:rPr>
          <w:rFonts w:eastAsia="仿宋_GB2312"/>
          <w:color w:val="000000"/>
          <w:kern w:val="0"/>
          <w:sz w:val="32"/>
          <w:szCs w:val="32"/>
        </w:rPr>
      </w:pPr>
      <w:r>
        <w:rPr>
          <w:rFonts w:eastAsia="仿宋_GB2312"/>
          <w:color w:val="000000"/>
          <w:kern w:val="0"/>
          <w:sz w:val="32"/>
          <w:szCs w:val="32"/>
        </w:rPr>
        <w:t>（四）对于调查问卷、现场考核、专家打分取平均值等评估方式，需要在</w:t>
      </w:r>
      <w:r>
        <w:rPr>
          <w:rFonts w:hint="eastAsia" w:eastAsia="仿宋_GB2312"/>
          <w:color w:val="000000"/>
          <w:kern w:val="0"/>
          <w:sz w:val="32"/>
          <w:szCs w:val="32"/>
        </w:rPr>
        <w:t>“</w:t>
      </w:r>
      <w:r>
        <w:rPr>
          <w:rFonts w:eastAsia="仿宋_GB2312"/>
          <w:color w:val="000000"/>
          <w:kern w:val="0"/>
          <w:sz w:val="32"/>
          <w:szCs w:val="32"/>
        </w:rPr>
        <w:t>检查记录</w:t>
      </w:r>
      <w:r>
        <w:rPr>
          <w:rFonts w:hint="eastAsia" w:eastAsia="仿宋_GB2312"/>
          <w:color w:val="000000"/>
          <w:kern w:val="0"/>
          <w:sz w:val="32"/>
          <w:szCs w:val="32"/>
        </w:rPr>
        <w:t>”</w:t>
      </w:r>
      <w:r>
        <w:rPr>
          <w:rFonts w:eastAsia="仿宋_GB2312"/>
          <w:color w:val="000000"/>
          <w:kern w:val="0"/>
          <w:sz w:val="32"/>
          <w:szCs w:val="32"/>
        </w:rPr>
        <w:t>说明里进行详细描述。</w:t>
      </w:r>
    </w:p>
    <w:p w14:paraId="29E7FCC5">
      <w:pPr>
        <w:keepNext w:val="0"/>
        <w:keepLines w:val="0"/>
        <w:pageBreakBefore w:val="0"/>
        <w:kinsoku/>
        <w:wordWrap/>
        <w:overflowPunct/>
        <w:topLinePunct w:val="0"/>
        <w:autoSpaceDE/>
        <w:autoSpaceDN/>
        <w:bidi w:val="0"/>
        <w:adjustRightInd/>
        <w:snapToGrid/>
        <w:ind w:left="0" w:leftChars="0" w:firstLine="640" w:firstLineChars="200"/>
        <w:textAlignment w:val="auto"/>
        <w:rPr>
          <w:rFonts w:eastAsia="仿宋_GB2312"/>
          <w:color w:val="000000"/>
          <w:kern w:val="0"/>
          <w:sz w:val="32"/>
          <w:szCs w:val="32"/>
        </w:rPr>
      </w:pPr>
      <w:r>
        <w:rPr>
          <w:rFonts w:eastAsia="仿宋_GB2312"/>
          <w:color w:val="000000"/>
          <w:kern w:val="0"/>
          <w:sz w:val="32"/>
          <w:szCs w:val="32"/>
        </w:rPr>
        <w:t>（五）需要现场查看的内容，在</w:t>
      </w:r>
      <w:r>
        <w:rPr>
          <w:rFonts w:hint="eastAsia" w:eastAsia="仿宋_GB2312"/>
          <w:color w:val="000000"/>
          <w:kern w:val="0"/>
          <w:sz w:val="32"/>
          <w:szCs w:val="32"/>
        </w:rPr>
        <w:t>“</w:t>
      </w:r>
      <w:r>
        <w:rPr>
          <w:rFonts w:eastAsia="仿宋_GB2312"/>
          <w:color w:val="000000"/>
          <w:kern w:val="0"/>
          <w:sz w:val="32"/>
          <w:szCs w:val="32"/>
        </w:rPr>
        <w:t>检查记录</w:t>
      </w:r>
      <w:r>
        <w:rPr>
          <w:rFonts w:hint="eastAsia" w:eastAsia="仿宋_GB2312"/>
          <w:color w:val="000000"/>
          <w:kern w:val="0"/>
          <w:sz w:val="32"/>
          <w:szCs w:val="32"/>
        </w:rPr>
        <w:t>”</w:t>
      </w:r>
      <w:r>
        <w:rPr>
          <w:rFonts w:eastAsia="仿宋_GB2312"/>
          <w:color w:val="000000"/>
          <w:kern w:val="0"/>
          <w:sz w:val="32"/>
          <w:szCs w:val="32"/>
        </w:rPr>
        <w:t>里应写明哪些工作人员到什么现场看了什么内容（设备、设施、厂地、环境、现场等）。</w:t>
      </w:r>
    </w:p>
    <w:p w14:paraId="2296501B">
      <w:pPr>
        <w:rPr>
          <w:rFonts w:ascii="Calibri" w:hAnsi="Calibri"/>
          <w:color w:val="000000"/>
        </w:rPr>
      </w:pPr>
    </w:p>
    <w:p w14:paraId="0B55FE0B">
      <w:pPr>
        <w:rPr>
          <w:rFonts w:hint="eastAsia" w:ascii="黑体" w:hAnsi="黑体" w:eastAsia="黑体" w:cs="黑体"/>
          <w:bCs/>
          <w:color w:val="000000"/>
          <w:sz w:val="32"/>
          <w:szCs w:val="32"/>
        </w:rPr>
      </w:pPr>
      <w:r>
        <w:rPr>
          <w:rFonts w:ascii="Calibri" w:hAnsi="Calibri"/>
          <w:color w:val="000000"/>
        </w:rPr>
        <w:br w:type="page"/>
      </w:r>
      <w:r>
        <w:rPr>
          <w:rFonts w:hint="eastAsia" w:ascii="黑体" w:hAnsi="黑体" w:eastAsia="黑体" w:cs="黑体"/>
          <w:bCs/>
          <w:color w:val="000000"/>
          <w:sz w:val="32"/>
          <w:szCs w:val="32"/>
        </w:rPr>
        <w:t>附件</w:t>
      </w:r>
      <w:r>
        <w:rPr>
          <w:rFonts w:eastAsia="黑体"/>
          <w:bCs/>
          <w:color w:val="000000"/>
          <w:sz w:val="32"/>
          <w:szCs w:val="32"/>
        </w:rPr>
        <w:t>2</w:t>
      </w:r>
    </w:p>
    <w:p w14:paraId="18308540">
      <w:pPr>
        <w:jc w:val="center"/>
        <w:rPr>
          <w:rFonts w:eastAsia="方正小标宋_GBK"/>
          <w:color w:val="000000"/>
          <w:sz w:val="44"/>
          <w:szCs w:val="44"/>
        </w:rPr>
      </w:pPr>
      <w:r>
        <w:rPr>
          <w:rFonts w:hint="eastAsia" w:ascii="方正小标宋简体" w:hAnsi="方正小标宋简体" w:eastAsia="方正小标宋简体" w:cs="方正小标宋简体"/>
          <w:color w:val="000000"/>
          <w:sz w:val="44"/>
          <w:szCs w:val="44"/>
        </w:rPr>
        <w:t>湖南省绿色矿山申报表</w:t>
      </w:r>
    </w:p>
    <w:tbl>
      <w:tblPr>
        <w:tblStyle w:val="5"/>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967"/>
        <w:gridCol w:w="14"/>
        <w:gridCol w:w="1561"/>
        <w:gridCol w:w="2415"/>
      </w:tblGrid>
      <w:tr w14:paraId="605F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60" w:type="dxa"/>
            <w:noWrap w:val="0"/>
            <w:vAlign w:val="center"/>
          </w:tcPr>
          <w:p w14:paraId="48EAB15F">
            <w:pPr>
              <w:widowControl w:val="0"/>
              <w:jc w:val="center"/>
              <w:rPr>
                <w:rFonts w:eastAsia="仿宋_GB2312"/>
                <w:color w:val="000000"/>
                <w:kern w:val="2"/>
                <w:sz w:val="30"/>
                <w:szCs w:val="30"/>
                <w:lang w:val="en-US" w:eastAsia="zh-CN" w:bidi="ar-SA"/>
              </w:rPr>
            </w:pPr>
            <w:r>
              <w:rPr>
                <w:rFonts w:eastAsia="仿宋_GB2312"/>
                <w:color w:val="000000"/>
                <w:kern w:val="2"/>
                <w:sz w:val="30"/>
                <w:szCs w:val="30"/>
                <w:lang w:val="en-US" w:eastAsia="zh-CN" w:bidi="ar-SA"/>
              </w:rPr>
              <w:t>申请矿山名称</w:t>
            </w:r>
          </w:p>
        </w:tc>
        <w:tc>
          <w:tcPr>
            <w:tcW w:w="6957" w:type="dxa"/>
            <w:gridSpan w:val="4"/>
            <w:noWrap w:val="0"/>
            <w:vAlign w:val="center"/>
          </w:tcPr>
          <w:p w14:paraId="1B8EAD28">
            <w:pPr>
              <w:widowControl w:val="0"/>
              <w:spacing w:line="340" w:lineRule="exact"/>
              <w:jc w:val="center"/>
              <w:rPr>
                <w:rFonts w:eastAsia="仿宋_GB2312"/>
                <w:color w:val="000000"/>
                <w:kern w:val="2"/>
                <w:sz w:val="30"/>
                <w:szCs w:val="30"/>
                <w:lang w:val="en-US" w:eastAsia="zh-CN" w:bidi="ar-SA"/>
              </w:rPr>
            </w:pPr>
          </w:p>
        </w:tc>
      </w:tr>
      <w:tr w14:paraId="10A6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160" w:type="dxa"/>
            <w:noWrap w:val="0"/>
            <w:vAlign w:val="center"/>
          </w:tcPr>
          <w:p w14:paraId="6199DEE3">
            <w:pPr>
              <w:widowControl w:val="0"/>
              <w:jc w:val="center"/>
              <w:rPr>
                <w:rFonts w:eastAsia="仿宋_GB2312"/>
                <w:color w:val="000000"/>
                <w:kern w:val="2"/>
                <w:sz w:val="30"/>
                <w:szCs w:val="30"/>
                <w:lang w:val="en-US" w:eastAsia="zh-CN" w:bidi="ar-SA"/>
              </w:rPr>
            </w:pPr>
            <w:r>
              <w:rPr>
                <w:rFonts w:hint="eastAsia" w:ascii="Calibri" w:hAnsi="Calibri" w:eastAsia="仿宋_GB2312"/>
                <w:color w:val="000000"/>
                <w:kern w:val="2"/>
                <w:sz w:val="30"/>
                <w:szCs w:val="30"/>
                <w:lang w:val="en-US" w:eastAsia="zh-CN" w:bidi="ar-SA"/>
              </w:rPr>
              <w:t>采矿许可证号</w:t>
            </w:r>
          </w:p>
        </w:tc>
        <w:tc>
          <w:tcPr>
            <w:tcW w:w="2982" w:type="dxa"/>
            <w:gridSpan w:val="2"/>
            <w:noWrap w:val="0"/>
            <w:vAlign w:val="center"/>
          </w:tcPr>
          <w:p w14:paraId="1B817AE5">
            <w:pPr>
              <w:widowControl w:val="0"/>
              <w:spacing w:line="340" w:lineRule="exact"/>
              <w:jc w:val="center"/>
              <w:rPr>
                <w:rFonts w:eastAsia="仿宋_GB2312"/>
                <w:color w:val="000000"/>
                <w:kern w:val="2"/>
                <w:sz w:val="30"/>
                <w:szCs w:val="30"/>
                <w:lang w:val="en-US" w:eastAsia="zh-CN" w:bidi="ar-SA"/>
              </w:rPr>
            </w:pPr>
          </w:p>
        </w:tc>
        <w:tc>
          <w:tcPr>
            <w:tcW w:w="1559" w:type="dxa"/>
            <w:noWrap w:val="0"/>
            <w:vAlign w:val="center"/>
          </w:tcPr>
          <w:p w14:paraId="0E1229C5">
            <w:pPr>
              <w:widowControl w:val="0"/>
              <w:spacing w:line="340" w:lineRule="exact"/>
              <w:jc w:val="center"/>
              <w:rPr>
                <w:rFonts w:eastAsia="仿宋_GB2312"/>
                <w:color w:val="000000"/>
                <w:kern w:val="2"/>
                <w:sz w:val="30"/>
                <w:szCs w:val="30"/>
                <w:lang w:val="en-US" w:eastAsia="zh-CN" w:bidi="ar-SA"/>
              </w:rPr>
            </w:pPr>
            <w:r>
              <w:rPr>
                <w:rFonts w:eastAsia="仿宋_GB2312"/>
                <w:color w:val="000000"/>
                <w:kern w:val="2"/>
                <w:sz w:val="30"/>
                <w:szCs w:val="30"/>
                <w:lang w:val="en-US" w:eastAsia="zh-CN" w:bidi="ar-SA"/>
              </w:rPr>
              <w:t>有效期</w:t>
            </w:r>
          </w:p>
        </w:tc>
        <w:tc>
          <w:tcPr>
            <w:tcW w:w="2416" w:type="dxa"/>
            <w:noWrap w:val="0"/>
            <w:vAlign w:val="center"/>
          </w:tcPr>
          <w:p w14:paraId="55FFC4EF">
            <w:pPr>
              <w:widowControl w:val="0"/>
              <w:spacing w:line="340" w:lineRule="exact"/>
              <w:jc w:val="center"/>
              <w:rPr>
                <w:rFonts w:eastAsia="仿宋_GB2312"/>
                <w:color w:val="000000"/>
                <w:kern w:val="2"/>
                <w:sz w:val="30"/>
                <w:szCs w:val="30"/>
                <w:lang w:val="en-US" w:eastAsia="zh-CN" w:bidi="ar-SA"/>
              </w:rPr>
            </w:pPr>
          </w:p>
        </w:tc>
      </w:tr>
      <w:tr w14:paraId="7551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160" w:type="dxa"/>
            <w:noWrap w:val="0"/>
            <w:vAlign w:val="center"/>
          </w:tcPr>
          <w:p w14:paraId="26EDF2F5">
            <w:pPr>
              <w:widowControl w:val="0"/>
              <w:jc w:val="center"/>
              <w:rPr>
                <w:rFonts w:eastAsia="仿宋_GB2312"/>
                <w:color w:val="000000"/>
                <w:kern w:val="2"/>
                <w:sz w:val="30"/>
                <w:szCs w:val="30"/>
                <w:lang w:val="en-US" w:eastAsia="zh-CN" w:bidi="ar-SA"/>
              </w:rPr>
            </w:pPr>
            <w:r>
              <w:rPr>
                <w:rFonts w:eastAsia="仿宋_GB2312"/>
                <w:color w:val="000000"/>
                <w:kern w:val="2"/>
                <w:sz w:val="30"/>
                <w:szCs w:val="30"/>
                <w:lang w:val="en-US" w:eastAsia="zh-CN" w:bidi="ar-SA"/>
              </w:rPr>
              <w:t>发证机关</w:t>
            </w:r>
          </w:p>
        </w:tc>
        <w:tc>
          <w:tcPr>
            <w:tcW w:w="2982" w:type="dxa"/>
            <w:gridSpan w:val="2"/>
            <w:noWrap w:val="0"/>
            <w:vAlign w:val="center"/>
          </w:tcPr>
          <w:p w14:paraId="615BFC5F">
            <w:pPr>
              <w:widowControl w:val="0"/>
              <w:spacing w:line="340" w:lineRule="exact"/>
              <w:jc w:val="center"/>
              <w:rPr>
                <w:rFonts w:eastAsia="仿宋_GB2312"/>
                <w:color w:val="000000"/>
                <w:kern w:val="2"/>
                <w:sz w:val="30"/>
                <w:szCs w:val="30"/>
                <w:lang w:val="en-US" w:eastAsia="zh-CN" w:bidi="ar-SA"/>
              </w:rPr>
            </w:pPr>
          </w:p>
        </w:tc>
        <w:tc>
          <w:tcPr>
            <w:tcW w:w="1559" w:type="dxa"/>
            <w:noWrap w:val="0"/>
            <w:vAlign w:val="center"/>
          </w:tcPr>
          <w:p w14:paraId="4A59F165">
            <w:pPr>
              <w:widowControl w:val="0"/>
              <w:spacing w:line="340" w:lineRule="exact"/>
              <w:jc w:val="center"/>
              <w:rPr>
                <w:rFonts w:eastAsia="仿宋_GB2312"/>
                <w:color w:val="000000"/>
                <w:kern w:val="2"/>
                <w:sz w:val="30"/>
                <w:szCs w:val="30"/>
                <w:lang w:val="en-US" w:eastAsia="zh-CN" w:bidi="ar-SA"/>
              </w:rPr>
            </w:pPr>
            <w:r>
              <w:rPr>
                <w:rFonts w:eastAsia="仿宋_GB2312"/>
                <w:color w:val="000000"/>
                <w:kern w:val="2"/>
                <w:sz w:val="30"/>
                <w:szCs w:val="30"/>
                <w:lang w:val="en-US" w:eastAsia="zh-CN" w:bidi="ar-SA"/>
              </w:rPr>
              <w:t>生产规模</w:t>
            </w:r>
          </w:p>
        </w:tc>
        <w:tc>
          <w:tcPr>
            <w:tcW w:w="2416" w:type="dxa"/>
            <w:noWrap w:val="0"/>
            <w:vAlign w:val="center"/>
          </w:tcPr>
          <w:p w14:paraId="5462ADB6">
            <w:pPr>
              <w:widowControl w:val="0"/>
              <w:spacing w:line="340" w:lineRule="exact"/>
              <w:jc w:val="center"/>
              <w:rPr>
                <w:rFonts w:eastAsia="仿宋_GB2312"/>
                <w:color w:val="000000"/>
                <w:kern w:val="2"/>
                <w:sz w:val="30"/>
                <w:szCs w:val="30"/>
                <w:lang w:val="en-US" w:eastAsia="zh-CN" w:bidi="ar-SA"/>
              </w:rPr>
            </w:pPr>
          </w:p>
        </w:tc>
      </w:tr>
      <w:tr w14:paraId="77D1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160" w:type="dxa"/>
            <w:noWrap w:val="0"/>
            <w:vAlign w:val="center"/>
          </w:tcPr>
          <w:p w14:paraId="2DC942D9">
            <w:pPr>
              <w:widowControl w:val="0"/>
              <w:spacing w:line="400" w:lineRule="exact"/>
              <w:jc w:val="center"/>
              <w:rPr>
                <w:rFonts w:eastAsia="仿宋_GB2312"/>
                <w:color w:val="000000"/>
                <w:kern w:val="2"/>
                <w:sz w:val="30"/>
                <w:szCs w:val="30"/>
                <w:lang w:val="en-US" w:eastAsia="zh-CN" w:bidi="ar-SA"/>
              </w:rPr>
            </w:pPr>
            <w:r>
              <w:rPr>
                <w:rFonts w:eastAsia="仿宋_GB2312"/>
                <w:color w:val="000000"/>
                <w:kern w:val="2"/>
                <w:sz w:val="30"/>
                <w:szCs w:val="30"/>
                <w:lang w:val="en-US" w:eastAsia="zh-CN" w:bidi="ar-SA"/>
              </w:rPr>
              <w:t>统一社会信用代码</w:t>
            </w:r>
          </w:p>
        </w:tc>
        <w:tc>
          <w:tcPr>
            <w:tcW w:w="6957" w:type="dxa"/>
            <w:gridSpan w:val="4"/>
            <w:noWrap w:val="0"/>
            <w:vAlign w:val="center"/>
          </w:tcPr>
          <w:p w14:paraId="10D88079">
            <w:pPr>
              <w:widowControl w:val="0"/>
              <w:spacing w:line="340" w:lineRule="exact"/>
              <w:jc w:val="center"/>
              <w:rPr>
                <w:rFonts w:eastAsia="仿宋_GB2312"/>
                <w:color w:val="000000"/>
                <w:spacing w:val="-20"/>
                <w:kern w:val="2"/>
                <w:sz w:val="30"/>
                <w:szCs w:val="30"/>
                <w:lang w:val="en-US" w:eastAsia="zh-CN" w:bidi="ar-SA"/>
              </w:rPr>
            </w:pPr>
          </w:p>
        </w:tc>
      </w:tr>
      <w:tr w14:paraId="5589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160" w:type="dxa"/>
            <w:noWrap w:val="0"/>
            <w:vAlign w:val="center"/>
          </w:tcPr>
          <w:p w14:paraId="00B4A944">
            <w:pPr>
              <w:widowControl w:val="0"/>
              <w:jc w:val="center"/>
              <w:rPr>
                <w:rFonts w:eastAsia="仿宋_GB2312"/>
                <w:color w:val="000000"/>
                <w:kern w:val="2"/>
                <w:sz w:val="30"/>
                <w:szCs w:val="30"/>
                <w:lang w:val="en-US" w:eastAsia="zh-CN" w:bidi="ar-SA"/>
              </w:rPr>
            </w:pPr>
            <w:r>
              <w:rPr>
                <w:rFonts w:eastAsia="仿宋_GB2312"/>
                <w:color w:val="000000"/>
                <w:kern w:val="2"/>
                <w:sz w:val="30"/>
                <w:szCs w:val="30"/>
                <w:lang w:val="en-US" w:eastAsia="zh-CN" w:bidi="ar-SA"/>
              </w:rPr>
              <w:t>法人代表</w:t>
            </w:r>
          </w:p>
        </w:tc>
        <w:tc>
          <w:tcPr>
            <w:tcW w:w="2968" w:type="dxa"/>
            <w:noWrap w:val="0"/>
            <w:vAlign w:val="center"/>
          </w:tcPr>
          <w:p w14:paraId="3ECA803D">
            <w:pPr>
              <w:widowControl w:val="0"/>
              <w:jc w:val="center"/>
              <w:rPr>
                <w:rFonts w:eastAsia="仿宋_GB2312"/>
                <w:color w:val="000000"/>
                <w:spacing w:val="-20"/>
                <w:kern w:val="2"/>
                <w:sz w:val="30"/>
                <w:szCs w:val="30"/>
                <w:lang w:val="en-US" w:eastAsia="zh-CN" w:bidi="ar-SA"/>
              </w:rPr>
            </w:pPr>
          </w:p>
        </w:tc>
        <w:tc>
          <w:tcPr>
            <w:tcW w:w="1575" w:type="dxa"/>
            <w:gridSpan w:val="2"/>
            <w:noWrap w:val="0"/>
            <w:vAlign w:val="center"/>
          </w:tcPr>
          <w:p w14:paraId="36189E21">
            <w:pPr>
              <w:widowControl w:val="0"/>
              <w:jc w:val="center"/>
              <w:rPr>
                <w:rFonts w:eastAsia="仿宋_GB2312"/>
                <w:color w:val="000000"/>
                <w:spacing w:val="-20"/>
                <w:kern w:val="2"/>
                <w:sz w:val="30"/>
                <w:szCs w:val="30"/>
                <w:lang w:val="en-US" w:eastAsia="zh-CN" w:bidi="ar-SA"/>
              </w:rPr>
            </w:pPr>
            <w:r>
              <w:rPr>
                <w:rFonts w:eastAsia="仿宋_GB2312"/>
                <w:color w:val="000000"/>
                <w:spacing w:val="-20"/>
                <w:kern w:val="2"/>
                <w:sz w:val="30"/>
                <w:szCs w:val="30"/>
                <w:lang w:val="en-US" w:eastAsia="zh-CN" w:bidi="ar-SA"/>
              </w:rPr>
              <w:t>联系电话</w:t>
            </w:r>
          </w:p>
        </w:tc>
        <w:tc>
          <w:tcPr>
            <w:tcW w:w="2414" w:type="dxa"/>
            <w:noWrap w:val="0"/>
            <w:vAlign w:val="center"/>
          </w:tcPr>
          <w:p w14:paraId="5F485084">
            <w:pPr>
              <w:widowControl w:val="0"/>
              <w:jc w:val="center"/>
              <w:rPr>
                <w:rFonts w:eastAsia="仿宋_GB2312"/>
                <w:color w:val="000000"/>
                <w:spacing w:val="-20"/>
                <w:kern w:val="2"/>
                <w:sz w:val="30"/>
                <w:szCs w:val="30"/>
                <w:lang w:val="en-US" w:eastAsia="zh-CN" w:bidi="ar-SA"/>
              </w:rPr>
            </w:pPr>
          </w:p>
        </w:tc>
      </w:tr>
      <w:tr w14:paraId="166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60" w:type="dxa"/>
            <w:noWrap w:val="0"/>
            <w:vAlign w:val="center"/>
          </w:tcPr>
          <w:p w14:paraId="2DEC6610">
            <w:pPr>
              <w:widowControl w:val="0"/>
              <w:jc w:val="center"/>
              <w:rPr>
                <w:rFonts w:eastAsia="仿宋_GB2312"/>
                <w:color w:val="000000"/>
                <w:kern w:val="2"/>
                <w:sz w:val="30"/>
                <w:szCs w:val="30"/>
                <w:lang w:val="en-US" w:eastAsia="zh-CN" w:bidi="ar-SA"/>
              </w:rPr>
            </w:pPr>
            <w:r>
              <w:rPr>
                <w:rFonts w:eastAsia="仿宋_GB2312"/>
                <w:color w:val="000000"/>
                <w:kern w:val="2"/>
                <w:sz w:val="30"/>
                <w:szCs w:val="30"/>
                <w:lang w:val="en-US" w:eastAsia="zh-CN" w:bidi="ar-SA"/>
              </w:rPr>
              <w:t>联系人</w:t>
            </w:r>
          </w:p>
        </w:tc>
        <w:tc>
          <w:tcPr>
            <w:tcW w:w="2968" w:type="dxa"/>
            <w:noWrap w:val="0"/>
            <w:vAlign w:val="center"/>
          </w:tcPr>
          <w:p w14:paraId="2B43B069">
            <w:pPr>
              <w:widowControl w:val="0"/>
              <w:jc w:val="center"/>
              <w:rPr>
                <w:rFonts w:eastAsia="仿宋_GB2312"/>
                <w:color w:val="000000"/>
                <w:spacing w:val="-20"/>
                <w:kern w:val="2"/>
                <w:sz w:val="30"/>
                <w:szCs w:val="30"/>
                <w:lang w:val="en-US" w:eastAsia="zh-CN" w:bidi="ar-SA"/>
              </w:rPr>
            </w:pPr>
          </w:p>
        </w:tc>
        <w:tc>
          <w:tcPr>
            <w:tcW w:w="1575" w:type="dxa"/>
            <w:gridSpan w:val="2"/>
            <w:noWrap w:val="0"/>
            <w:vAlign w:val="center"/>
          </w:tcPr>
          <w:p w14:paraId="7C8698AB">
            <w:pPr>
              <w:widowControl w:val="0"/>
              <w:jc w:val="center"/>
              <w:rPr>
                <w:rFonts w:eastAsia="仿宋_GB2312"/>
                <w:color w:val="000000"/>
                <w:spacing w:val="-20"/>
                <w:kern w:val="2"/>
                <w:sz w:val="30"/>
                <w:szCs w:val="30"/>
                <w:lang w:val="en-US" w:eastAsia="zh-CN" w:bidi="ar-SA"/>
              </w:rPr>
            </w:pPr>
            <w:r>
              <w:rPr>
                <w:rFonts w:eastAsia="仿宋_GB2312"/>
                <w:color w:val="000000"/>
                <w:spacing w:val="-20"/>
                <w:kern w:val="2"/>
                <w:sz w:val="30"/>
                <w:szCs w:val="30"/>
                <w:lang w:val="en-US" w:eastAsia="zh-CN" w:bidi="ar-SA"/>
              </w:rPr>
              <w:t>联系电话</w:t>
            </w:r>
          </w:p>
        </w:tc>
        <w:tc>
          <w:tcPr>
            <w:tcW w:w="2414" w:type="dxa"/>
            <w:noWrap w:val="0"/>
            <w:vAlign w:val="center"/>
          </w:tcPr>
          <w:p w14:paraId="522033DB">
            <w:pPr>
              <w:widowControl w:val="0"/>
              <w:jc w:val="center"/>
              <w:rPr>
                <w:rFonts w:eastAsia="仿宋_GB2312"/>
                <w:color w:val="000000"/>
                <w:spacing w:val="-20"/>
                <w:kern w:val="2"/>
                <w:sz w:val="30"/>
                <w:szCs w:val="30"/>
                <w:lang w:val="en-US" w:eastAsia="zh-CN" w:bidi="ar-SA"/>
              </w:rPr>
            </w:pPr>
          </w:p>
        </w:tc>
      </w:tr>
      <w:tr w14:paraId="5533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60" w:type="dxa"/>
            <w:noWrap w:val="0"/>
            <w:vAlign w:val="center"/>
          </w:tcPr>
          <w:p w14:paraId="3C943168">
            <w:pPr>
              <w:widowControl w:val="0"/>
              <w:jc w:val="center"/>
              <w:rPr>
                <w:rFonts w:eastAsia="仿宋_GB2312"/>
                <w:color w:val="000000"/>
                <w:kern w:val="2"/>
                <w:sz w:val="30"/>
                <w:szCs w:val="30"/>
                <w:lang w:val="en-US" w:eastAsia="zh-CN" w:bidi="ar-SA"/>
              </w:rPr>
            </w:pPr>
            <w:r>
              <w:rPr>
                <w:rFonts w:eastAsia="仿宋_GB2312"/>
                <w:color w:val="000000"/>
                <w:kern w:val="2"/>
                <w:sz w:val="30"/>
                <w:szCs w:val="30"/>
                <w:lang w:val="en-US" w:eastAsia="zh-CN" w:bidi="ar-SA"/>
              </w:rPr>
              <w:t>申报日期</w:t>
            </w:r>
          </w:p>
        </w:tc>
        <w:tc>
          <w:tcPr>
            <w:tcW w:w="6957" w:type="dxa"/>
            <w:gridSpan w:val="4"/>
            <w:noWrap w:val="0"/>
            <w:vAlign w:val="center"/>
          </w:tcPr>
          <w:p w14:paraId="75E920E0">
            <w:pPr>
              <w:widowControl w:val="0"/>
              <w:jc w:val="center"/>
              <w:rPr>
                <w:rFonts w:eastAsia="仿宋_GB2312"/>
                <w:color w:val="000000"/>
                <w:kern w:val="2"/>
                <w:sz w:val="30"/>
                <w:szCs w:val="30"/>
                <w:lang w:val="en-US" w:eastAsia="zh-CN" w:bidi="ar-SA"/>
              </w:rPr>
            </w:pPr>
          </w:p>
        </w:tc>
      </w:tr>
      <w:tr w14:paraId="6CF5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60" w:type="dxa"/>
            <w:noWrap w:val="0"/>
            <w:vAlign w:val="center"/>
          </w:tcPr>
          <w:p w14:paraId="300E198D">
            <w:pPr>
              <w:widowControl w:val="0"/>
              <w:jc w:val="center"/>
              <w:rPr>
                <w:rFonts w:eastAsia="仿宋_GB2312"/>
                <w:color w:val="000000"/>
                <w:kern w:val="2"/>
                <w:sz w:val="30"/>
                <w:szCs w:val="30"/>
                <w:lang w:val="en-US" w:eastAsia="zh-CN" w:bidi="ar-SA"/>
              </w:rPr>
            </w:pPr>
            <w:r>
              <w:rPr>
                <w:rFonts w:eastAsia="仿宋_GB2312"/>
                <w:color w:val="000000"/>
                <w:kern w:val="2"/>
                <w:sz w:val="30"/>
                <w:szCs w:val="30"/>
                <w:lang w:val="en-US" w:eastAsia="zh-CN" w:bidi="ar-SA"/>
              </w:rPr>
              <w:t>申报类型</w:t>
            </w:r>
          </w:p>
        </w:tc>
        <w:tc>
          <w:tcPr>
            <w:tcW w:w="6957" w:type="dxa"/>
            <w:gridSpan w:val="4"/>
            <w:noWrap w:val="0"/>
            <w:vAlign w:val="center"/>
          </w:tcPr>
          <w:p w14:paraId="2EAB88FA">
            <w:pPr>
              <w:widowControl w:val="0"/>
              <w:jc w:val="center"/>
              <w:rPr>
                <w:rFonts w:eastAsia="仿宋_GB2312"/>
                <w:color w:val="000000"/>
                <w:kern w:val="2"/>
                <w:sz w:val="30"/>
                <w:szCs w:val="30"/>
                <w:lang w:val="en-US" w:eastAsia="zh-CN" w:bidi="ar-SA"/>
              </w:rPr>
            </w:pPr>
            <w:r>
              <w:rPr>
                <w:rFonts w:eastAsia="仿宋_GB2312"/>
                <w:color w:val="000000"/>
                <w:kern w:val="2"/>
                <w:sz w:val="30"/>
                <w:szCs w:val="30"/>
                <w:lang w:val="en-US" w:eastAsia="zh-CN" w:bidi="ar-SA"/>
              </w:rPr>
              <w:t>申请创建□      申请复查□</w:t>
            </w:r>
          </w:p>
        </w:tc>
      </w:tr>
      <w:tr w14:paraId="04D6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jc w:val="center"/>
        </w:trPr>
        <w:tc>
          <w:tcPr>
            <w:tcW w:w="2160" w:type="dxa"/>
            <w:noWrap w:val="0"/>
            <w:vAlign w:val="center"/>
          </w:tcPr>
          <w:p w14:paraId="58819C24">
            <w:pPr>
              <w:widowControl w:val="0"/>
              <w:spacing w:line="400" w:lineRule="exact"/>
              <w:jc w:val="center"/>
              <w:rPr>
                <w:rFonts w:eastAsia="仿宋_GB2312"/>
                <w:color w:val="000000"/>
                <w:kern w:val="2"/>
                <w:sz w:val="30"/>
                <w:szCs w:val="30"/>
                <w:lang w:val="en-US" w:eastAsia="zh-CN" w:bidi="ar-SA"/>
              </w:rPr>
            </w:pPr>
            <w:r>
              <w:rPr>
                <w:rFonts w:eastAsia="仿宋_GB2312"/>
                <w:color w:val="000000"/>
                <w:kern w:val="2"/>
                <w:sz w:val="30"/>
                <w:szCs w:val="30"/>
                <w:lang w:val="en-US" w:eastAsia="zh-CN" w:bidi="ar-SA"/>
              </w:rPr>
              <w:t>绿色矿山建设基本情况</w:t>
            </w:r>
          </w:p>
        </w:tc>
        <w:tc>
          <w:tcPr>
            <w:tcW w:w="6957" w:type="dxa"/>
            <w:gridSpan w:val="4"/>
            <w:noWrap w:val="0"/>
            <w:vAlign w:val="center"/>
          </w:tcPr>
          <w:p w14:paraId="1715FB8E">
            <w:pPr>
              <w:widowControl w:val="0"/>
              <w:spacing w:line="340" w:lineRule="exact"/>
              <w:jc w:val="both"/>
              <w:rPr>
                <w:rFonts w:eastAsia="仿宋_GB2312"/>
                <w:color w:val="000000"/>
                <w:kern w:val="2"/>
                <w:sz w:val="30"/>
                <w:szCs w:val="30"/>
                <w:lang w:val="en-US" w:eastAsia="zh-CN" w:bidi="ar-SA"/>
              </w:rPr>
            </w:pPr>
          </w:p>
        </w:tc>
      </w:tr>
    </w:tbl>
    <w:p w14:paraId="2AE76AC6">
      <w:pPr>
        <w:bidi w:val="0"/>
        <w:rPr>
          <w:rFonts w:ascii="Calibri" w:hAnsi="Calibri"/>
          <w:color w:val="000000"/>
        </w:rPr>
      </w:pPr>
    </w:p>
    <w:p w14:paraId="02891127">
      <w:pPr>
        <w:spacing w:before="0" w:after="0"/>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附件</w:t>
      </w:r>
      <w:r>
        <w:rPr>
          <w:rFonts w:eastAsia="黑体"/>
          <w:bCs/>
          <w:color w:val="000000"/>
          <w:sz w:val="32"/>
          <w:szCs w:val="32"/>
        </w:rPr>
        <w:t>3</w:t>
      </w:r>
      <w:r>
        <w:rPr>
          <w:rFonts w:hint="eastAsia" w:ascii="黑体" w:hAnsi="黑体" w:eastAsia="黑体" w:cs="黑体"/>
          <w:bCs/>
          <w:color w:val="000000"/>
          <w:sz w:val="32"/>
          <w:szCs w:val="32"/>
        </w:rPr>
        <w:t xml:space="preserve"> </w:t>
      </w:r>
    </w:p>
    <w:p w14:paraId="18F7DE68">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湖南省绿色矿山申报初审、复审意见表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1309"/>
        <w:gridCol w:w="1319"/>
        <w:gridCol w:w="1058"/>
        <w:gridCol w:w="1893"/>
      </w:tblGrid>
      <w:tr w14:paraId="0407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2" w:type="dxa"/>
            <w:noWrap w:val="0"/>
            <w:vAlign w:val="center"/>
          </w:tcPr>
          <w:p w14:paraId="5593E642">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矿山名称</w:t>
            </w:r>
          </w:p>
        </w:tc>
        <w:tc>
          <w:tcPr>
            <w:tcW w:w="7280" w:type="dxa"/>
            <w:gridSpan w:val="5"/>
            <w:noWrap w:val="0"/>
            <w:vAlign w:val="center"/>
          </w:tcPr>
          <w:p w14:paraId="043610CC">
            <w:pPr>
              <w:widowControl w:val="0"/>
              <w:spacing w:line="320" w:lineRule="exact"/>
              <w:jc w:val="center"/>
              <w:rPr>
                <w:rFonts w:eastAsia="仿宋_GB2312"/>
                <w:color w:val="000000"/>
                <w:kern w:val="2"/>
                <w:sz w:val="24"/>
                <w:szCs w:val="20"/>
                <w:lang w:val="en-US" w:eastAsia="zh-CN" w:bidi="ar-SA"/>
              </w:rPr>
            </w:pPr>
          </w:p>
        </w:tc>
      </w:tr>
      <w:tr w14:paraId="166C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279A098">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采矿许可证号</w:t>
            </w:r>
          </w:p>
        </w:tc>
        <w:tc>
          <w:tcPr>
            <w:tcW w:w="4329" w:type="dxa"/>
            <w:gridSpan w:val="3"/>
            <w:noWrap w:val="0"/>
            <w:vAlign w:val="center"/>
          </w:tcPr>
          <w:p w14:paraId="78E6FF2E">
            <w:pPr>
              <w:widowControl w:val="0"/>
              <w:spacing w:line="320" w:lineRule="exact"/>
              <w:jc w:val="center"/>
              <w:rPr>
                <w:rFonts w:eastAsia="仿宋_GB2312"/>
                <w:color w:val="000000"/>
                <w:kern w:val="2"/>
                <w:sz w:val="24"/>
                <w:szCs w:val="20"/>
                <w:lang w:val="en-US" w:eastAsia="zh-CN" w:bidi="ar-SA"/>
              </w:rPr>
            </w:pPr>
          </w:p>
        </w:tc>
        <w:tc>
          <w:tcPr>
            <w:tcW w:w="1058" w:type="dxa"/>
            <w:noWrap w:val="0"/>
            <w:vAlign w:val="center"/>
          </w:tcPr>
          <w:p w14:paraId="23FFD0E0">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有效</w:t>
            </w:r>
          </w:p>
          <w:p w14:paraId="20FDC302">
            <w:pPr>
              <w:widowControl w:val="0"/>
              <w:spacing w:line="320" w:lineRule="exact"/>
              <w:jc w:val="center"/>
              <w:rPr>
                <w:rFonts w:ascii="Calibri" w:hAnsi="Calibri" w:eastAsia="仿宋_GB2312"/>
                <w:color w:val="000000"/>
                <w:kern w:val="2"/>
                <w:sz w:val="24"/>
                <w:szCs w:val="24"/>
                <w:lang w:val="en-US" w:eastAsia="zh-CN" w:bidi="ar-SA"/>
              </w:rPr>
            </w:pPr>
            <w:r>
              <w:rPr>
                <w:rFonts w:ascii="Calibri" w:hAnsi="Calibri" w:eastAsia="仿宋_GB2312"/>
                <w:color w:val="000000"/>
                <w:kern w:val="2"/>
                <w:sz w:val="24"/>
                <w:szCs w:val="24"/>
                <w:lang w:val="en-US" w:eastAsia="zh-CN" w:bidi="ar-SA"/>
              </w:rPr>
              <w:t>期限</w:t>
            </w:r>
          </w:p>
        </w:tc>
        <w:tc>
          <w:tcPr>
            <w:tcW w:w="1893" w:type="dxa"/>
            <w:noWrap w:val="0"/>
            <w:vAlign w:val="center"/>
          </w:tcPr>
          <w:p w14:paraId="62CB8498">
            <w:pPr>
              <w:widowControl w:val="0"/>
              <w:spacing w:line="320" w:lineRule="exact"/>
              <w:jc w:val="center"/>
              <w:rPr>
                <w:rFonts w:eastAsia="仿宋_GB2312"/>
                <w:color w:val="000000"/>
                <w:kern w:val="2"/>
                <w:sz w:val="24"/>
                <w:szCs w:val="20"/>
                <w:lang w:val="en-US" w:eastAsia="zh-CN" w:bidi="ar-SA"/>
              </w:rPr>
            </w:pPr>
          </w:p>
        </w:tc>
      </w:tr>
      <w:tr w14:paraId="7ABD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C160341">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采矿权人</w:t>
            </w:r>
          </w:p>
        </w:tc>
        <w:tc>
          <w:tcPr>
            <w:tcW w:w="1701" w:type="dxa"/>
            <w:noWrap w:val="0"/>
            <w:vAlign w:val="center"/>
          </w:tcPr>
          <w:p w14:paraId="66546BAC">
            <w:pPr>
              <w:widowControl w:val="0"/>
              <w:spacing w:line="320" w:lineRule="exact"/>
              <w:jc w:val="center"/>
              <w:rPr>
                <w:rFonts w:eastAsia="仿宋_GB2312"/>
                <w:color w:val="000000"/>
                <w:kern w:val="2"/>
                <w:sz w:val="24"/>
                <w:szCs w:val="20"/>
                <w:lang w:val="en-US" w:eastAsia="zh-CN" w:bidi="ar-SA"/>
              </w:rPr>
            </w:pPr>
          </w:p>
        </w:tc>
        <w:tc>
          <w:tcPr>
            <w:tcW w:w="1309" w:type="dxa"/>
            <w:noWrap w:val="0"/>
            <w:vAlign w:val="center"/>
          </w:tcPr>
          <w:p w14:paraId="5F2DD58E">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开采矿种</w:t>
            </w:r>
          </w:p>
        </w:tc>
        <w:tc>
          <w:tcPr>
            <w:tcW w:w="1319" w:type="dxa"/>
            <w:noWrap w:val="0"/>
            <w:vAlign w:val="center"/>
          </w:tcPr>
          <w:p w14:paraId="613BAA89">
            <w:pPr>
              <w:widowControl w:val="0"/>
              <w:spacing w:line="320" w:lineRule="exact"/>
              <w:jc w:val="center"/>
              <w:rPr>
                <w:rFonts w:eastAsia="仿宋_GB2312"/>
                <w:color w:val="000000"/>
                <w:kern w:val="2"/>
                <w:sz w:val="24"/>
                <w:szCs w:val="20"/>
                <w:lang w:val="en-US" w:eastAsia="zh-CN" w:bidi="ar-SA"/>
              </w:rPr>
            </w:pPr>
          </w:p>
        </w:tc>
        <w:tc>
          <w:tcPr>
            <w:tcW w:w="1058" w:type="dxa"/>
            <w:noWrap w:val="0"/>
            <w:vAlign w:val="center"/>
          </w:tcPr>
          <w:p w14:paraId="58BEA9D0">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发证</w:t>
            </w:r>
          </w:p>
          <w:p w14:paraId="6EA8534E">
            <w:pPr>
              <w:widowControl w:val="0"/>
              <w:spacing w:line="320" w:lineRule="exact"/>
              <w:jc w:val="center"/>
              <w:rPr>
                <w:rFonts w:ascii="Calibri" w:hAnsi="Calibri" w:eastAsia="仿宋_GB2312"/>
                <w:color w:val="000000"/>
                <w:kern w:val="2"/>
                <w:sz w:val="24"/>
                <w:szCs w:val="24"/>
                <w:lang w:val="en-US" w:eastAsia="zh-CN" w:bidi="ar-SA"/>
              </w:rPr>
            </w:pPr>
            <w:r>
              <w:rPr>
                <w:rFonts w:ascii="Calibri" w:hAnsi="Calibri" w:eastAsia="仿宋_GB2312"/>
                <w:color w:val="000000"/>
                <w:kern w:val="2"/>
                <w:sz w:val="24"/>
                <w:szCs w:val="24"/>
                <w:lang w:val="en-US" w:eastAsia="zh-CN" w:bidi="ar-SA"/>
              </w:rPr>
              <w:t>机关</w:t>
            </w:r>
          </w:p>
        </w:tc>
        <w:tc>
          <w:tcPr>
            <w:tcW w:w="1893" w:type="dxa"/>
            <w:noWrap w:val="0"/>
            <w:vAlign w:val="center"/>
          </w:tcPr>
          <w:p w14:paraId="630527EB">
            <w:pPr>
              <w:widowControl w:val="0"/>
              <w:spacing w:line="320" w:lineRule="exact"/>
              <w:jc w:val="center"/>
              <w:rPr>
                <w:rFonts w:eastAsia="仿宋_GB2312"/>
                <w:color w:val="000000"/>
                <w:kern w:val="2"/>
                <w:sz w:val="24"/>
                <w:szCs w:val="20"/>
                <w:lang w:val="en-US" w:eastAsia="zh-CN" w:bidi="ar-SA"/>
              </w:rPr>
            </w:pPr>
          </w:p>
        </w:tc>
      </w:tr>
      <w:tr w14:paraId="309F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2" w:type="dxa"/>
            <w:vMerge w:val="restart"/>
            <w:noWrap w:val="0"/>
            <w:vAlign w:val="center"/>
          </w:tcPr>
          <w:p w14:paraId="154670FB">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县自然资源部门初审意见</w:t>
            </w:r>
          </w:p>
        </w:tc>
        <w:tc>
          <w:tcPr>
            <w:tcW w:w="3010" w:type="dxa"/>
            <w:gridSpan w:val="2"/>
            <w:noWrap w:val="0"/>
            <w:vAlign w:val="center"/>
          </w:tcPr>
          <w:p w14:paraId="2E656E5D">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《采矿许可证》《安全生产许可证》《营业执照》有效</w:t>
            </w:r>
          </w:p>
        </w:tc>
        <w:tc>
          <w:tcPr>
            <w:tcW w:w="4270" w:type="dxa"/>
            <w:gridSpan w:val="3"/>
            <w:noWrap w:val="0"/>
            <w:vAlign w:val="center"/>
          </w:tcPr>
          <w:p w14:paraId="5462798B">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是☐   否☐</w:t>
            </w:r>
          </w:p>
        </w:tc>
      </w:tr>
      <w:tr w14:paraId="5A8C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42" w:type="dxa"/>
            <w:vMerge w:val="continue"/>
            <w:noWrap w:val="0"/>
            <w:vAlign w:val="center"/>
          </w:tcPr>
          <w:p w14:paraId="345C224B">
            <w:pPr>
              <w:widowControl w:val="0"/>
              <w:spacing w:line="320" w:lineRule="exact"/>
              <w:jc w:val="center"/>
              <w:rPr>
                <w:rFonts w:eastAsia="仿宋_GB2312"/>
                <w:color w:val="000000"/>
                <w:kern w:val="2"/>
                <w:sz w:val="24"/>
                <w:szCs w:val="20"/>
                <w:lang w:val="en-US" w:eastAsia="zh-CN" w:bidi="ar-SA"/>
              </w:rPr>
            </w:pPr>
          </w:p>
        </w:tc>
        <w:tc>
          <w:tcPr>
            <w:tcW w:w="3010" w:type="dxa"/>
            <w:gridSpan w:val="2"/>
            <w:noWrap w:val="0"/>
            <w:vAlign w:val="center"/>
          </w:tcPr>
          <w:p w14:paraId="009625CC">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近三年内受自然资源部门行政处罚情况</w:t>
            </w:r>
          </w:p>
        </w:tc>
        <w:tc>
          <w:tcPr>
            <w:tcW w:w="4270" w:type="dxa"/>
            <w:gridSpan w:val="3"/>
            <w:noWrap w:val="0"/>
            <w:vAlign w:val="center"/>
          </w:tcPr>
          <w:p w14:paraId="24AB70AF">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无处罚☐   有处罚已整改到位☐</w:t>
            </w:r>
          </w:p>
          <w:p w14:paraId="0D47AAC1">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有处罚未整改到位☐</w:t>
            </w:r>
          </w:p>
        </w:tc>
      </w:tr>
      <w:tr w14:paraId="302F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242" w:type="dxa"/>
            <w:vMerge w:val="continue"/>
            <w:noWrap w:val="0"/>
            <w:vAlign w:val="center"/>
          </w:tcPr>
          <w:p w14:paraId="41737340">
            <w:pPr>
              <w:widowControl w:val="0"/>
              <w:spacing w:line="320" w:lineRule="exact"/>
              <w:jc w:val="center"/>
              <w:rPr>
                <w:rFonts w:eastAsia="仿宋_GB2312"/>
                <w:color w:val="000000"/>
                <w:kern w:val="2"/>
                <w:sz w:val="24"/>
                <w:szCs w:val="20"/>
                <w:lang w:val="en-US" w:eastAsia="zh-CN" w:bidi="ar-SA"/>
              </w:rPr>
            </w:pPr>
          </w:p>
        </w:tc>
        <w:tc>
          <w:tcPr>
            <w:tcW w:w="3010" w:type="dxa"/>
            <w:gridSpan w:val="2"/>
            <w:noWrap w:val="0"/>
            <w:vAlign w:val="center"/>
          </w:tcPr>
          <w:p w14:paraId="74016531">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近三年发生较大以上安全事故</w:t>
            </w:r>
          </w:p>
        </w:tc>
        <w:tc>
          <w:tcPr>
            <w:tcW w:w="4270" w:type="dxa"/>
            <w:gridSpan w:val="3"/>
            <w:noWrap w:val="0"/>
            <w:vAlign w:val="center"/>
          </w:tcPr>
          <w:p w14:paraId="4A10F805">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是☐   否☐</w:t>
            </w:r>
          </w:p>
        </w:tc>
      </w:tr>
      <w:tr w14:paraId="0E6A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42" w:type="dxa"/>
            <w:vMerge w:val="continue"/>
            <w:noWrap w:val="0"/>
            <w:vAlign w:val="center"/>
          </w:tcPr>
          <w:p w14:paraId="5FB85794">
            <w:pPr>
              <w:widowControl w:val="0"/>
              <w:spacing w:line="320" w:lineRule="exact"/>
              <w:jc w:val="center"/>
              <w:rPr>
                <w:rFonts w:eastAsia="仿宋_GB2312"/>
                <w:color w:val="000000"/>
                <w:kern w:val="2"/>
                <w:sz w:val="24"/>
                <w:szCs w:val="20"/>
                <w:lang w:val="en-US" w:eastAsia="zh-CN" w:bidi="ar-SA"/>
              </w:rPr>
            </w:pPr>
          </w:p>
        </w:tc>
        <w:tc>
          <w:tcPr>
            <w:tcW w:w="3010" w:type="dxa"/>
            <w:gridSpan w:val="2"/>
            <w:noWrap w:val="0"/>
            <w:vAlign w:val="center"/>
          </w:tcPr>
          <w:p w14:paraId="4D3338F6">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被列入异常名录</w:t>
            </w:r>
          </w:p>
        </w:tc>
        <w:tc>
          <w:tcPr>
            <w:tcW w:w="4270" w:type="dxa"/>
            <w:gridSpan w:val="3"/>
            <w:noWrap w:val="0"/>
            <w:vAlign w:val="center"/>
          </w:tcPr>
          <w:p w14:paraId="00F8D5BE">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是☐   否☐</w:t>
            </w:r>
          </w:p>
        </w:tc>
      </w:tr>
      <w:tr w14:paraId="5C81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42" w:type="dxa"/>
            <w:vMerge w:val="continue"/>
            <w:noWrap w:val="0"/>
            <w:vAlign w:val="center"/>
          </w:tcPr>
          <w:p w14:paraId="76E0EA06">
            <w:pPr>
              <w:widowControl w:val="0"/>
              <w:spacing w:line="320" w:lineRule="exact"/>
              <w:jc w:val="center"/>
              <w:rPr>
                <w:rFonts w:eastAsia="仿宋_GB2312"/>
                <w:color w:val="000000"/>
                <w:kern w:val="2"/>
                <w:sz w:val="24"/>
                <w:szCs w:val="20"/>
                <w:lang w:val="en-US" w:eastAsia="zh-CN" w:bidi="ar-SA"/>
              </w:rPr>
            </w:pPr>
          </w:p>
        </w:tc>
        <w:tc>
          <w:tcPr>
            <w:tcW w:w="3010" w:type="dxa"/>
            <w:gridSpan w:val="2"/>
            <w:noWrap w:val="0"/>
            <w:vAlign w:val="center"/>
          </w:tcPr>
          <w:p w14:paraId="01149206">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符合国土空间规划</w:t>
            </w:r>
          </w:p>
        </w:tc>
        <w:tc>
          <w:tcPr>
            <w:tcW w:w="4270" w:type="dxa"/>
            <w:gridSpan w:val="3"/>
            <w:noWrap w:val="0"/>
            <w:vAlign w:val="center"/>
          </w:tcPr>
          <w:p w14:paraId="5F7D321A">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是☐   否☐</w:t>
            </w:r>
          </w:p>
        </w:tc>
      </w:tr>
      <w:tr w14:paraId="700B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42" w:type="dxa"/>
            <w:vMerge w:val="continue"/>
            <w:noWrap w:val="0"/>
            <w:vAlign w:val="center"/>
          </w:tcPr>
          <w:p w14:paraId="67675228">
            <w:pPr>
              <w:widowControl w:val="0"/>
              <w:spacing w:line="320" w:lineRule="exact"/>
              <w:jc w:val="center"/>
              <w:rPr>
                <w:rFonts w:eastAsia="仿宋_GB2312"/>
                <w:color w:val="000000"/>
                <w:kern w:val="2"/>
                <w:sz w:val="24"/>
                <w:szCs w:val="20"/>
                <w:lang w:val="en-US" w:eastAsia="zh-CN" w:bidi="ar-SA"/>
              </w:rPr>
            </w:pPr>
          </w:p>
        </w:tc>
        <w:tc>
          <w:tcPr>
            <w:tcW w:w="3010" w:type="dxa"/>
            <w:gridSpan w:val="2"/>
            <w:noWrap w:val="0"/>
            <w:vAlign w:val="center"/>
          </w:tcPr>
          <w:p w14:paraId="5455F62D">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近三年</w:t>
            </w:r>
            <w:r>
              <w:rPr>
                <w:rFonts w:hint="eastAsia" w:ascii="Calibri" w:hAnsi="Calibri" w:eastAsia="仿宋_GB2312"/>
                <w:color w:val="000000"/>
                <w:kern w:val="2"/>
                <w:sz w:val="24"/>
                <w:szCs w:val="24"/>
                <w:lang w:val="en-US" w:eastAsia="zh-CN" w:bidi="ar-SA"/>
              </w:rPr>
              <w:t>正常</w:t>
            </w:r>
            <w:r>
              <w:rPr>
                <w:rFonts w:ascii="Calibri" w:hAnsi="Calibri" w:eastAsia="仿宋_GB2312"/>
                <w:color w:val="000000"/>
                <w:kern w:val="2"/>
                <w:sz w:val="24"/>
                <w:szCs w:val="24"/>
                <w:lang w:val="en-US" w:eastAsia="zh-CN" w:bidi="ar-SA"/>
              </w:rPr>
              <w:t>生产运营</w:t>
            </w:r>
          </w:p>
        </w:tc>
        <w:tc>
          <w:tcPr>
            <w:tcW w:w="4270" w:type="dxa"/>
            <w:gridSpan w:val="3"/>
            <w:noWrap w:val="0"/>
            <w:vAlign w:val="center"/>
          </w:tcPr>
          <w:p w14:paraId="0067588B">
            <w:pPr>
              <w:widowControl w:val="0"/>
              <w:spacing w:line="320" w:lineRule="exact"/>
              <w:ind w:firstLine="240" w:firstLineChars="100"/>
              <w:jc w:val="both"/>
              <w:rPr>
                <w:rFonts w:ascii="Calibri" w:hAnsi="Calibri" w:eastAsia="仿宋_GB2312"/>
                <w:color w:val="000000"/>
                <w:kern w:val="2"/>
                <w:sz w:val="24"/>
                <w:szCs w:val="24"/>
                <w:u w:val="single"/>
                <w:lang w:val="en-US" w:eastAsia="zh-CN" w:bidi="ar-SA"/>
              </w:rPr>
            </w:pPr>
            <w:r>
              <w:rPr>
                <w:rFonts w:hint="eastAsia" w:ascii="Calibri" w:hAnsi="Calibri" w:eastAsia="仿宋_GB2312"/>
                <w:color w:val="000000"/>
                <w:kern w:val="2"/>
                <w:sz w:val="24"/>
                <w:szCs w:val="24"/>
                <w:lang w:val="en-US" w:eastAsia="zh-CN" w:bidi="ar-SA"/>
              </w:rPr>
              <w:t>新建</w:t>
            </w:r>
            <w:r>
              <w:rPr>
                <w:rFonts w:ascii="Calibri" w:hAnsi="Calibri" w:eastAsia="仿宋_GB2312"/>
                <w:color w:val="000000"/>
                <w:kern w:val="2"/>
                <w:sz w:val="24"/>
                <w:szCs w:val="24"/>
                <w:lang w:val="en-US" w:eastAsia="zh-CN" w:bidi="ar-SA"/>
              </w:rPr>
              <w:t>☐</w:t>
            </w:r>
            <w:r>
              <w:rPr>
                <w:rFonts w:hint="eastAsia" w:ascii="Calibri" w:hAnsi="Calibri" w:eastAsia="仿宋_GB2312"/>
                <w:color w:val="000000"/>
                <w:kern w:val="2"/>
                <w:sz w:val="24"/>
                <w:szCs w:val="24"/>
                <w:lang w:val="en-US" w:eastAsia="zh-CN" w:bidi="ar-SA"/>
              </w:rPr>
              <w:t xml:space="preserve"> 生产</w:t>
            </w:r>
            <w:r>
              <w:rPr>
                <w:rFonts w:ascii="Calibri" w:hAnsi="Calibri" w:eastAsia="仿宋_GB2312"/>
                <w:color w:val="000000"/>
                <w:kern w:val="2"/>
                <w:sz w:val="24"/>
                <w:szCs w:val="24"/>
                <w:lang w:val="en-US" w:eastAsia="zh-CN" w:bidi="ar-SA"/>
              </w:rPr>
              <w:t>☐</w:t>
            </w:r>
            <w:r>
              <w:rPr>
                <w:rFonts w:hint="eastAsia" w:ascii="Calibri" w:hAnsi="Calibri" w:eastAsia="仿宋_GB2312"/>
                <w:color w:val="000000"/>
                <w:kern w:val="2"/>
                <w:sz w:val="24"/>
                <w:szCs w:val="24"/>
                <w:lang w:val="en-US" w:eastAsia="zh-CN" w:bidi="ar-SA"/>
              </w:rPr>
              <w:t xml:space="preserve"> 其他</w:t>
            </w:r>
            <w:r>
              <w:rPr>
                <w:rFonts w:ascii="Calibri" w:hAnsi="Calibri" w:eastAsia="仿宋_GB2312"/>
                <w:color w:val="000000"/>
                <w:kern w:val="2"/>
                <w:sz w:val="24"/>
                <w:szCs w:val="24"/>
                <w:lang w:val="en-US" w:eastAsia="zh-CN" w:bidi="ar-SA"/>
              </w:rPr>
              <w:t>☐</w:t>
            </w:r>
            <w:r>
              <w:rPr>
                <w:rFonts w:hint="eastAsia" w:ascii="Calibri" w:hAnsi="Calibri" w:eastAsia="仿宋_GB2312"/>
                <w:color w:val="000000"/>
                <w:kern w:val="2"/>
                <w:sz w:val="24"/>
                <w:szCs w:val="24"/>
                <w:u w:val="single"/>
                <w:lang w:val="en-US" w:eastAsia="zh-CN" w:bidi="ar-SA"/>
              </w:rPr>
              <w:t xml:space="preserve">           </w:t>
            </w:r>
          </w:p>
          <w:p w14:paraId="00E612AC">
            <w:pPr>
              <w:widowControl w:val="0"/>
              <w:spacing w:line="320" w:lineRule="exact"/>
              <w:jc w:val="center"/>
              <w:rPr>
                <w:rFonts w:ascii="Calibri" w:hAnsi="Calibri" w:eastAsia="仿宋_GB2312"/>
                <w:color w:val="000000"/>
                <w:kern w:val="2"/>
                <w:sz w:val="24"/>
                <w:szCs w:val="24"/>
                <w:u w:val="single"/>
                <w:lang w:val="en-US" w:eastAsia="zh-CN" w:bidi="ar-SA"/>
              </w:rPr>
            </w:pPr>
            <w:r>
              <w:rPr>
                <w:rFonts w:ascii="Calibri" w:hAnsi="Calibri" w:eastAsia="仿宋_GB2312"/>
                <w:color w:val="000000"/>
                <w:kern w:val="2"/>
                <w:sz w:val="24"/>
                <w:szCs w:val="24"/>
                <w:lang w:val="en-US" w:eastAsia="zh-CN" w:bidi="ar-SA"/>
              </w:rPr>
              <w:t>是☐   否☐</w:t>
            </w:r>
          </w:p>
        </w:tc>
      </w:tr>
      <w:tr w14:paraId="2D5D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noWrap w:val="0"/>
            <w:vAlign w:val="center"/>
          </w:tcPr>
          <w:p w14:paraId="4C842EFC">
            <w:pPr>
              <w:widowControl w:val="0"/>
              <w:spacing w:line="320" w:lineRule="exact"/>
              <w:jc w:val="center"/>
              <w:rPr>
                <w:rFonts w:eastAsia="仿宋_GB2312"/>
                <w:color w:val="000000"/>
                <w:kern w:val="2"/>
                <w:sz w:val="24"/>
                <w:szCs w:val="20"/>
                <w:lang w:val="en-US" w:eastAsia="zh-CN" w:bidi="ar-SA"/>
              </w:rPr>
            </w:pPr>
          </w:p>
        </w:tc>
        <w:tc>
          <w:tcPr>
            <w:tcW w:w="3010" w:type="dxa"/>
            <w:gridSpan w:val="2"/>
            <w:noWrap w:val="0"/>
            <w:vAlign w:val="center"/>
          </w:tcPr>
          <w:p w14:paraId="7E37E058">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spacing w:val="-20"/>
                <w:kern w:val="2"/>
                <w:sz w:val="24"/>
                <w:szCs w:val="24"/>
                <w:lang w:val="en-US" w:eastAsia="zh-CN" w:bidi="ar-SA"/>
              </w:rPr>
              <w:t>剩余储量可采年限不少于</w:t>
            </w:r>
            <w:r>
              <w:rPr>
                <w:rFonts w:hint="eastAsia" w:ascii="Calibri" w:hAnsi="Calibri" w:eastAsia="仿宋_GB2312"/>
                <w:color w:val="000000"/>
                <w:spacing w:val="-20"/>
                <w:kern w:val="2"/>
                <w:sz w:val="24"/>
                <w:szCs w:val="24"/>
                <w:lang w:val="en-US" w:eastAsia="zh-CN" w:bidi="ar-SA"/>
              </w:rPr>
              <w:t>三</w:t>
            </w:r>
            <w:r>
              <w:rPr>
                <w:rFonts w:ascii="Calibri" w:hAnsi="Calibri" w:eastAsia="仿宋_GB2312"/>
                <w:color w:val="000000"/>
                <w:spacing w:val="-20"/>
                <w:kern w:val="2"/>
                <w:sz w:val="24"/>
                <w:szCs w:val="24"/>
                <w:lang w:val="en-US" w:eastAsia="zh-CN" w:bidi="ar-SA"/>
              </w:rPr>
              <w:t>年</w:t>
            </w:r>
          </w:p>
        </w:tc>
        <w:tc>
          <w:tcPr>
            <w:tcW w:w="4270" w:type="dxa"/>
            <w:gridSpan w:val="3"/>
            <w:noWrap w:val="0"/>
            <w:vAlign w:val="center"/>
          </w:tcPr>
          <w:p w14:paraId="667BE433">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是☐   否☐</w:t>
            </w:r>
          </w:p>
        </w:tc>
      </w:tr>
      <w:tr w14:paraId="377D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42" w:type="dxa"/>
            <w:vMerge w:val="continue"/>
            <w:noWrap w:val="0"/>
            <w:vAlign w:val="center"/>
          </w:tcPr>
          <w:p w14:paraId="774D4E62">
            <w:pPr>
              <w:widowControl w:val="0"/>
              <w:spacing w:line="320" w:lineRule="exact"/>
              <w:jc w:val="center"/>
              <w:rPr>
                <w:rFonts w:eastAsia="仿宋_GB2312"/>
                <w:color w:val="000000"/>
                <w:kern w:val="2"/>
                <w:sz w:val="24"/>
                <w:szCs w:val="20"/>
                <w:lang w:val="en-US" w:eastAsia="zh-CN" w:bidi="ar-SA"/>
              </w:rPr>
            </w:pPr>
          </w:p>
        </w:tc>
        <w:tc>
          <w:tcPr>
            <w:tcW w:w="3010" w:type="dxa"/>
            <w:gridSpan w:val="2"/>
            <w:noWrap w:val="0"/>
            <w:vAlign w:val="center"/>
          </w:tcPr>
          <w:p w14:paraId="77A0DA15">
            <w:pPr>
              <w:widowControl w:val="0"/>
              <w:spacing w:line="320" w:lineRule="exact"/>
              <w:jc w:val="center"/>
              <w:rPr>
                <w:rFonts w:ascii="Calibri" w:hAnsi="Calibri" w:eastAsia="仿宋_GB2312"/>
                <w:color w:val="000000"/>
                <w:kern w:val="2"/>
                <w:sz w:val="24"/>
                <w:szCs w:val="24"/>
                <w:lang w:val="en-US" w:eastAsia="zh-CN" w:bidi="ar-SA"/>
              </w:rPr>
            </w:pPr>
            <w:r>
              <w:rPr>
                <w:rFonts w:ascii="Calibri" w:hAnsi="Calibri" w:eastAsia="仿宋_GB2312"/>
                <w:color w:val="000000"/>
                <w:kern w:val="2"/>
                <w:sz w:val="24"/>
                <w:szCs w:val="24"/>
                <w:lang w:val="en-US" w:eastAsia="zh-CN" w:bidi="ar-SA"/>
              </w:rPr>
              <w:t>矿山生态修复基金是否足额计提并规范使用</w:t>
            </w:r>
          </w:p>
        </w:tc>
        <w:tc>
          <w:tcPr>
            <w:tcW w:w="4270" w:type="dxa"/>
            <w:gridSpan w:val="3"/>
            <w:noWrap w:val="0"/>
            <w:vAlign w:val="center"/>
          </w:tcPr>
          <w:p w14:paraId="5353294C">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是☐   否☐</w:t>
            </w:r>
          </w:p>
        </w:tc>
      </w:tr>
      <w:tr w14:paraId="1A40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2" w:type="dxa"/>
            <w:vMerge w:val="continue"/>
            <w:noWrap w:val="0"/>
            <w:vAlign w:val="center"/>
          </w:tcPr>
          <w:p w14:paraId="4933FC83">
            <w:pPr>
              <w:widowControl w:val="0"/>
              <w:spacing w:line="320" w:lineRule="exact"/>
              <w:jc w:val="center"/>
              <w:rPr>
                <w:rFonts w:eastAsia="仿宋_GB2312"/>
                <w:color w:val="000000"/>
                <w:kern w:val="2"/>
                <w:sz w:val="24"/>
                <w:szCs w:val="20"/>
                <w:lang w:val="en-US" w:eastAsia="zh-CN" w:bidi="ar-SA"/>
              </w:rPr>
            </w:pPr>
          </w:p>
        </w:tc>
        <w:tc>
          <w:tcPr>
            <w:tcW w:w="3010" w:type="dxa"/>
            <w:gridSpan w:val="2"/>
            <w:noWrap w:val="0"/>
            <w:vAlign w:val="center"/>
          </w:tcPr>
          <w:p w14:paraId="0DD85CFF">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涉及生态保护红线情况</w:t>
            </w:r>
          </w:p>
        </w:tc>
        <w:tc>
          <w:tcPr>
            <w:tcW w:w="4270" w:type="dxa"/>
            <w:gridSpan w:val="3"/>
            <w:noWrap w:val="0"/>
            <w:vAlign w:val="center"/>
          </w:tcPr>
          <w:p w14:paraId="1A533B48">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是☐   否☐</w:t>
            </w:r>
          </w:p>
          <w:p w14:paraId="17C56154">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涉及但符合国家规定☐</w:t>
            </w:r>
          </w:p>
        </w:tc>
      </w:tr>
      <w:tr w14:paraId="6A27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42" w:type="dxa"/>
            <w:noWrap w:val="0"/>
            <w:vAlign w:val="center"/>
          </w:tcPr>
          <w:p w14:paraId="79B50B22">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县林业部门初审意见</w:t>
            </w:r>
          </w:p>
        </w:tc>
        <w:tc>
          <w:tcPr>
            <w:tcW w:w="3010" w:type="dxa"/>
            <w:gridSpan w:val="2"/>
            <w:noWrap w:val="0"/>
            <w:vAlign w:val="center"/>
          </w:tcPr>
          <w:p w14:paraId="797E11D7">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近三年内受林业部门行政处罚情况</w:t>
            </w:r>
          </w:p>
        </w:tc>
        <w:tc>
          <w:tcPr>
            <w:tcW w:w="4270" w:type="dxa"/>
            <w:gridSpan w:val="3"/>
            <w:noWrap w:val="0"/>
            <w:vAlign w:val="center"/>
          </w:tcPr>
          <w:p w14:paraId="7036377F">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无处罚☐   有处罚已整改到位☐</w:t>
            </w:r>
          </w:p>
          <w:p w14:paraId="769FA971">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有处罚未整改到位☐</w:t>
            </w:r>
          </w:p>
        </w:tc>
      </w:tr>
      <w:tr w14:paraId="683A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42" w:type="dxa"/>
            <w:vMerge w:val="restart"/>
            <w:noWrap w:val="0"/>
            <w:vAlign w:val="center"/>
          </w:tcPr>
          <w:p w14:paraId="54FB1044">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县生态环境部门初审意见</w:t>
            </w:r>
          </w:p>
        </w:tc>
        <w:tc>
          <w:tcPr>
            <w:tcW w:w="3010" w:type="dxa"/>
            <w:gridSpan w:val="2"/>
            <w:noWrap w:val="0"/>
            <w:vAlign w:val="center"/>
          </w:tcPr>
          <w:p w14:paraId="4C6D5345">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依法办理环评和排污许可</w:t>
            </w:r>
          </w:p>
        </w:tc>
        <w:tc>
          <w:tcPr>
            <w:tcW w:w="4270" w:type="dxa"/>
            <w:gridSpan w:val="3"/>
            <w:noWrap w:val="0"/>
            <w:vAlign w:val="center"/>
          </w:tcPr>
          <w:p w14:paraId="305FD19A">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是☐   否☐</w:t>
            </w:r>
          </w:p>
        </w:tc>
      </w:tr>
      <w:tr w14:paraId="3733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42" w:type="dxa"/>
            <w:vMerge w:val="continue"/>
            <w:noWrap w:val="0"/>
            <w:vAlign w:val="center"/>
          </w:tcPr>
          <w:p w14:paraId="3C3544BC">
            <w:pPr>
              <w:widowControl w:val="0"/>
              <w:spacing w:line="320" w:lineRule="exact"/>
              <w:jc w:val="center"/>
              <w:rPr>
                <w:rFonts w:eastAsia="仿宋_GB2312"/>
                <w:color w:val="000000"/>
                <w:kern w:val="2"/>
                <w:sz w:val="24"/>
                <w:szCs w:val="20"/>
                <w:lang w:val="en-US" w:eastAsia="zh-CN" w:bidi="ar-SA"/>
              </w:rPr>
            </w:pPr>
          </w:p>
        </w:tc>
        <w:tc>
          <w:tcPr>
            <w:tcW w:w="3010" w:type="dxa"/>
            <w:gridSpan w:val="2"/>
            <w:noWrap w:val="0"/>
            <w:vAlign w:val="center"/>
          </w:tcPr>
          <w:p w14:paraId="0A0F7BC5">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依法办理竣工环保验收</w:t>
            </w:r>
          </w:p>
        </w:tc>
        <w:tc>
          <w:tcPr>
            <w:tcW w:w="4270" w:type="dxa"/>
            <w:gridSpan w:val="3"/>
            <w:noWrap w:val="0"/>
            <w:vAlign w:val="center"/>
          </w:tcPr>
          <w:p w14:paraId="1B139B23">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是☐   否☐</w:t>
            </w:r>
          </w:p>
        </w:tc>
      </w:tr>
      <w:tr w14:paraId="6BE4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42" w:type="dxa"/>
            <w:vMerge w:val="continue"/>
            <w:noWrap w:val="0"/>
            <w:vAlign w:val="center"/>
          </w:tcPr>
          <w:p w14:paraId="04CA1816">
            <w:pPr>
              <w:widowControl w:val="0"/>
              <w:spacing w:line="320" w:lineRule="exact"/>
              <w:jc w:val="center"/>
              <w:rPr>
                <w:rFonts w:eastAsia="仿宋_GB2312"/>
                <w:color w:val="000000"/>
                <w:kern w:val="2"/>
                <w:sz w:val="24"/>
                <w:szCs w:val="20"/>
                <w:lang w:val="en-US" w:eastAsia="zh-CN" w:bidi="ar-SA"/>
              </w:rPr>
            </w:pPr>
          </w:p>
        </w:tc>
        <w:tc>
          <w:tcPr>
            <w:tcW w:w="3010" w:type="dxa"/>
            <w:gridSpan w:val="2"/>
            <w:noWrap w:val="0"/>
            <w:vAlign w:val="center"/>
          </w:tcPr>
          <w:p w14:paraId="741A494C">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近三年发生较大以上环境事件</w:t>
            </w:r>
          </w:p>
        </w:tc>
        <w:tc>
          <w:tcPr>
            <w:tcW w:w="4270" w:type="dxa"/>
            <w:gridSpan w:val="3"/>
            <w:noWrap w:val="0"/>
            <w:vAlign w:val="center"/>
          </w:tcPr>
          <w:p w14:paraId="46847021">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是☐   否☐</w:t>
            </w:r>
          </w:p>
        </w:tc>
      </w:tr>
      <w:tr w14:paraId="51C2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2" w:type="dxa"/>
            <w:vMerge w:val="continue"/>
            <w:noWrap w:val="0"/>
            <w:vAlign w:val="center"/>
          </w:tcPr>
          <w:p w14:paraId="20AAE715">
            <w:pPr>
              <w:widowControl w:val="0"/>
              <w:spacing w:line="320" w:lineRule="exact"/>
              <w:jc w:val="center"/>
              <w:rPr>
                <w:rFonts w:eastAsia="仿宋_GB2312"/>
                <w:color w:val="000000"/>
                <w:kern w:val="2"/>
                <w:sz w:val="24"/>
                <w:szCs w:val="20"/>
                <w:lang w:val="en-US" w:eastAsia="zh-CN" w:bidi="ar-SA"/>
              </w:rPr>
            </w:pPr>
          </w:p>
        </w:tc>
        <w:tc>
          <w:tcPr>
            <w:tcW w:w="3010" w:type="dxa"/>
            <w:gridSpan w:val="2"/>
            <w:noWrap w:val="0"/>
            <w:vAlign w:val="center"/>
          </w:tcPr>
          <w:p w14:paraId="2C484184">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近三年内受生态环</w:t>
            </w:r>
            <w:r>
              <w:rPr>
                <w:rFonts w:hint="eastAsia" w:ascii="Calibri" w:hAnsi="Calibri" w:eastAsia="仿宋_GB2312"/>
                <w:color w:val="000000"/>
                <w:kern w:val="2"/>
                <w:sz w:val="24"/>
                <w:szCs w:val="24"/>
                <w:lang w:val="en-US" w:eastAsia="zh-CN" w:bidi="ar-SA"/>
              </w:rPr>
              <w:t>境</w:t>
            </w:r>
            <w:r>
              <w:rPr>
                <w:rFonts w:ascii="Calibri" w:hAnsi="Calibri" w:eastAsia="仿宋_GB2312"/>
                <w:color w:val="000000"/>
                <w:kern w:val="2"/>
                <w:sz w:val="24"/>
                <w:szCs w:val="24"/>
                <w:lang w:val="en-US" w:eastAsia="zh-CN" w:bidi="ar-SA"/>
              </w:rPr>
              <w:t>部门行政处罚情况</w:t>
            </w:r>
          </w:p>
        </w:tc>
        <w:tc>
          <w:tcPr>
            <w:tcW w:w="4270" w:type="dxa"/>
            <w:gridSpan w:val="3"/>
            <w:noWrap w:val="0"/>
            <w:vAlign w:val="center"/>
          </w:tcPr>
          <w:p w14:paraId="696E73AD">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无处罚☐   有处罚已整改到位☐</w:t>
            </w:r>
          </w:p>
          <w:p w14:paraId="3432DC16">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有处罚未整改到位☐</w:t>
            </w:r>
          </w:p>
        </w:tc>
      </w:tr>
      <w:tr w14:paraId="173A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242" w:type="dxa"/>
            <w:vMerge w:val="continue"/>
            <w:noWrap w:val="0"/>
            <w:vAlign w:val="center"/>
          </w:tcPr>
          <w:p w14:paraId="5CA7A8C6">
            <w:pPr>
              <w:widowControl w:val="0"/>
              <w:spacing w:line="320" w:lineRule="exact"/>
              <w:jc w:val="center"/>
              <w:rPr>
                <w:rFonts w:eastAsia="仿宋_GB2312"/>
                <w:color w:val="000000"/>
                <w:kern w:val="2"/>
                <w:sz w:val="24"/>
                <w:szCs w:val="20"/>
                <w:lang w:val="en-US" w:eastAsia="zh-CN" w:bidi="ar-SA"/>
              </w:rPr>
            </w:pPr>
          </w:p>
        </w:tc>
        <w:tc>
          <w:tcPr>
            <w:tcW w:w="3010" w:type="dxa"/>
            <w:gridSpan w:val="2"/>
            <w:noWrap w:val="0"/>
            <w:vAlign w:val="center"/>
          </w:tcPr>
          <w:p w14:paraId="5C304A44">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符合规划环评要求</w:t>
            </w:r>
          </w:p>
        </w:tc>
        <w:tc>
          <w:tcPr>
            <w:tcW w:w="4270" w:type="dxa"/>
            <w:gridSpan w:val="3"/>
            <w:noWrap w:val="0"/>
            <w:vAlign w:val="center"/>
          </w:tcPr>
          <w:p w14:paraId="28848568">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是☐   否☐</w:t>
            </w:r>
          </w:p>
        </w:tc>
      </w:tr>
      <w:tr w14:paraId="2794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242" w:type="dxa"/>
            <w:noWrap w:val="0"/>
            <w:vAlign w:val="center"/>
          </w:tcPr>
          <w:p w14:paraId="15E1E644">
            <w:pPr>
              <w:widowControl w:val="0"/>
              <w:spacing w:line="320" w:lineRule="exact"/>
              <w:jc w:val="center"/>
              <w:rPr>
                <w:rFonts w:eastAsia="仿宋_GB2312"/>
                <w:color w:val="000000"/>
                <w:kern w:val="2"/>
                <w:sz w:val="24"/>
                <w:szCs w:val="20"/>
                <w:lang w:val="en-US" w:eastAsia="zh-CN" w:bidi="ar-SA"/>
              </w:rPr>
            </w:pPr>
            <w:r>
              <w:rPr>
                <w:rFonts w:ascii="Calibri" w:hAnsi="Calibri" w:eastAsia="仿宋_GB2312"/>
                <w:color w:val="000000"/>
                <w:kern w:val="2"/>
                <w:sz w:val="24"/>
                <w:szCs w:val="24"/>
                <w:lang w:val="en-US" w:eastAsia="zh-CN" w:bidi="ar-SA"/>
              </w:rPr>
              <w:t>市州自然资源部门复审意见</w:t>
            </w:r>
          </w:p>
        </w:tc>
        <w:tc>
          <w:tcPr>
            <w:tcW w:w="7280" w:type="dxa"/>
            <w:gridSpan w:val="5"/>
            <w:noWrap w:val="0"/>
            <w:vAlign w:val="center"/>
          </w:tcPr>
          <w:p w14:paraId="554960F5">
            <w:pPr>
              <w:widowControl w:val="0"/>
              <w:spacing w:line="320" w:lineRule="exact"/>
              <w:jc w:val="center"/>
              <w:rPr>
                <w:rFonts w:eastAsia="仿宋_GB2312"/>
                <w:color w:val="000000"/>
                <w:kern w:val="2"/>
                <w:sz w:val="24"/>
                <w:szCs w:val="20"/>
                <w:lang w:val="en-US" w:eastAsia="zh-CN" w:bidi="ar-SA"/>
              </w:rPr>
            </w:pPr>
          </w:p>
        </w:tc>
      </w:tr>
    </w:tbl>
    <w:p w14:paraId="7C9A8D40">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eastAsia="仿宋_GB2312"/>
          <w:color w:val="000000"/>
          <w:sz w:val="32"/>
          <w:szCs w:val="32"/>
        </w:rPr>
      </w:pPr>
      <w:r>
        <w:rPr>
          <w:rFonts w:ascii="Calibri" w:hAnsi="Calibri" w:eastAsia="仿宋_GB2312"/>
          <w:b/>
          <w:color w:val="000000"/>
          <w:sz w:val="24"/>
        </w:rPr>
        <w:t>注：各部门严格对照《</w:t>
      </w:r>
      <w:r>
        <w:rPr>
          <w:rFonts w:hint="eastAsia" w:ascii="Calibri" w:hAnsi="Calibri" w:eastAsia="仿宋_GB2312"/>
          <w:b/>
          <w:color w:val="000000"/>
          <w:sz w:val="24"/>
        </w:rPr>
        <w:t>湖南省</w:t>
      </w:r>
      <w:r>
        <w:rPr>
          <w:rFonts w:ascii="Calibri" w:hAnsi="Calibri" w:eastAsia="仿宋_GB2312"/>
          <w:b/>
          <w:color w:val="000000"/>
          <w:sz w:val="24"/>
        </w:rPr>
        <w:t>绿色矿山建设评价指标》要求，依据职能职责进行审查并盖章，若涉及整改到位等情形，需附相关佐证资料。</w:t>
      </w:r>
    </w:p>
    <w:p w14:paraId="47860738">
      <w:pPr>
        <w:rPr>
          <w:rFonts w:hint="eastAsia" w:ascii="黑体" w:hAnsi="黑体" w:eastAsia="黑体" w:cs="黑体"/>
          <w:bCs/>
          <w:color w:val="000000"/>
          <w:sz w:val="32"/>
          <w:szCs w:val="32"/>
        </w:rPr>
      </w:pPr>
      <w:r>
        <w:rPr>
          <w:rFonts w:eastAsia="方正小标宋_GBK"/>
          <w:color w:val="000000"/>
          <w:sz w:val="44"/>
          <w:szCs w:val="44"/>
          <w:highlight w:val="yellow"/>
        </w:rPr>
        <w:br w:type="page"/>
      </w:r>
      <w:r>
        <w:rPr>
          <w:rFonts w:hint="eastAsia" w:ascii="黑体" w:hAnsi="黑体" w:eastAsia="黑体" w:cs="黑体"/>
          <w:bCs/>
          <w:color w:val="000000"/>
          <w:sz w:val="32"/>
          <w:szCs w:val="32"/>
        </w:rPr>
        <w:t>附件</w:t>
      </w:r>
      <w:r>
        <w:rPr>
          <w:rFonts w:eastAsia="黑体"/>
          <w:bCs/>
          <w:color w:val="000000"/>
          <w:sz w:val="32"/>
          <w:szCs w:val="32"/>
        </w:rPr>
        <w:t>4</w:t>
      </w:r>
      <w:r>
        <w:rPr>
          <w:rFonts w:hint="eastAsia" w:ascii="黑体" w:hAnsi="黑体" w:eastAsia="黑体" w:cs="黑体"/>
          <w:bCs/>
          <w:color w:val="000000"/>
          <w:sz w:val="32"/>
          <w:szCs w:val="32"/>
        </w:rPr>
        <w:t xml:space="preserve"> </w:t>
      </w:r>
    </w:p>
    <w:p w14:paraId="004F3195">
      <w:pPr>
        <w:spacing w:line="400" w:lineRule="exact"/>
        <w:jc w:val="center"/>
        <w:rPr>
          <w:rFonts w:eastAsia="方正小标宋_GBK"/>
          <w:color w:val="000000"/>
          <w:sz w:val="44"/>
          <w:szCs w:val="44"/>
          <w:highlight w:val="yellow"/>
        </w:rPr>
      </w:pPr>
    </w:p>
    <w:p w14:paraId="71E7C215">
      <w:pPr>
        <w:jc w:val="center"/>
        <w:rPr>
          <w:rFonts w:eastAsia="方正小标宋_GBK"/>
          <w:color w:val="000000"/>
          <w:sz w:val="44"/>
          <w:szCs w:val="44"/>
        </w:rPr>
      </w:pPr>
      <w:r>
        <w:rPr>
          <w:rFonts w:hint="eastAsia" w:ascii="方正小标宋简体" w:hAnsi="方正小标宋简体" w:eastAsia="方正小标宋简体" w:cs="方正小标宋简体"/>
          <w:color w:val="000000"/>
          <w:sz w:val="44"/>
          <w:szCs w:val="44"/>
        </w:rPr>
        <w:t>湖南省绿色矿山第三方评估管理办法</w:t>
      </w:r>
    </w:p>
    <w:p w14:paraId="4581C896">
      <w:pPr>
        <w:autoSpaceDE w:val="0"/>
        <w:autoSpaceDN w:val="0"/>
        <w:adjustRightInd w:val="0"/>
        <w:spacing w:before="156" w:beforeLines="50" w:after="468" w:afterLines="150" w:line="400" w:lineRule="exact"/>
        <w:jc w:val="center"/>
        <w:rPr>
          <w:rFonts w:eastAsia="楷体"/>
          <w:b/>
          <w:bCs/>
          <w:color w:val="000000"/>
          <w:spacing w:val="-20"/>
          <w:kern w:val="0"/>
          <w:sz w:val="44"/>
          <w:szCs w:val="44"/>
        </w:rPr>
      </w:pPr>
      <w:r>
        <w:rPr>
          <w:rFonts w:eastAsia="楷体"/>
          <w:color w:val="000000"/>
          <w:kern w:val="0"/>
          <w:sz w:val="32"/>
          <w:szCs w:val="32"/>
        </w:rPr>
        <w:t>（征求意见稿）</w:t>
      </w:r>
    </w:p>
    <w:p w14:paraId="39D4BA48">
      <w:pPr>
        <w:keepNext/>
        <w:keepLines/>
        <w:spacing w:before="312" w:beforeLines="100" w:after="312" w:afterLines="100" w:line="240" w:lineRule="auto"/>
        <w:jc w:val="center"/>
        <w:outlineLvl w:val="0"/>
        <w:rPr>
          <w:rFonts w:eastAsia="黑体"/>
          <w:color w:val="000000"/>
          <w:kern w:val="0"/>
          <w:sz w:val="32"/>
          <w:szCs w:val="32"/>
        </w:rPr>
      </w:pPr>
      <w:r>
        <w:rPr>
          <w:rFonts w:eastAsia="黑体"/>
          <w:color w:val="000000"/>
          <w:kern w:val="0"/>
          <w:sz w:val="32"/>
          <w:szCs w:val="32"/>
        </w:rPr>
        <w:t>第一章  总则</w:t>
      </w:r>
    </w:p>
    <w:p w14:paraId="652E4CE4">
      <w:pPr>
        <w:autoSpaceDE w:val="0"/>
        <w:autoSpaceDN w:val="0"/>
        <w:adjustRightInd w:val="0"/>
        <w:spacing w:line="240" w:lineRule="auto"/>
        <w:ind w:firstLine="640" w:firstLineChars="200"/>
        <w:rPr>
          <w:rFonts w:eastAsia="仿宋_GB2312"/>
          <w:color w:val="000000"/>
          <w:sz w:val="32"/>
          <w:szCs w:val="32"/>
        </w:rPr>
      </w:pPr>
      <w:r>
        <w:rPr>
          <w:rFonts w:eastAsia="黑体"/>
          <w:color w:val="000000"/>
          <w:kern w:val="0"/>
          <w:sz w:val="32"/>
          <w:szCs w:val="32"/>
        </w:rPr>
        <w:t>第一条</w:t>
      </w:r>
      <w:r>
        <w:rPr>
          <w:rFonts w:eastAsia="仿宋_GB2312"/>
          <w:color w:val="000000"/>
          <w:kern w:val="0"/>
          <w:sz w:val="32"/>
          <w:szCs w:val="32"/>
        </w:rPr>
        <w:t xml:space="preserve">  </w:t>
      </w:r>
      <w:r>
        <w:rPr>
          <w:rFonts w:eastAsia="仿宋_GB2312"/>
          <w:color w:val="000000"/>
          <w:sz w:val="32"/>
          <w:szCs w:val="32"/>
        </w:rPr>
        <w:t>为公开、公平、公正、规范有序地开展湖南省绿色矿山第三方评估工作，根据《自然资源部 生态环境部 财政部 国家市场监督管理总局 国家金融监督管理总局 中国证券监督管理委员会 国家林业和草原局关于进一步加强绿色矿山建设的通知》（自然资规〔2024〕1号）和《湖南省绿色矿山管理办法》，结合我省实际，制定本办法。</w:t>
      </w:r>
    </w:p>
    <w:p w14:paraId="11919D28">
      <w:pPr>
        <w:autoSpaceDE w:val="0"/>
        <w:autoSpaceDN w:val="0"/>
        <w:adjustRightInd w:val="0"/>
        <w:spacing w:line="240" w:lineRule="auto"/>
        <w:ind w:firstLine="640" w:firstLineChars="200"/>
        <w:rPr>
          <w:rFonts w:hint="eastAsia" w:ascii="仿宋_GB2312" w:hAnsi="仿宋_GB2312" w:eastAsia="仿宋_GB2312" w:cs="仿宋_GB2312"/>
          <w:color w:val="000000"/>
          <w:kern w:val="0"/>
          <w:sz w:val="32"/>
          <w:szCs w:val="32"/>
        </w:rPr>
      </w:pPr>
      <w:r>
        <w:rPr>
          <w:rFonts w:eastAsia="黑体"/>
          <w:color w:val="000000"/>
          <w:kern w:val="0"/>
          <w:sz w:val="32"/>
          <w:szCs w:val="32"/>
        </w:rPr>
        <w:t>第二条</w:t>
      </w:r>
      <w:r>
        <w:rPr>
          <w:rFonts w:eastAsia="仿宋_GB2312"/>
          <w:color w:val="000000"/>
          <w:kern w:val="0"/>
          <w:sz w:val="32"/>
          <w:szCs w:val="32"/>
        </w:rPr>
        <w:t xml:space="preserve">  </w:t>
      </w:r>
      <w:r>
        <w:rPr>
          <w:rFonts w:hint="eastAsia" w:ascii="仿宋_GB2312" w:hAnsi="仿宋_GB2312" w:eastAsia="仿宋_GB2312" w:cs="仿宋_GB2312"/>
          <w:color w:val="000000"/>
          <w:kern w:val="0"/>
          <w:sz w:val="32"/>
          <w:szCs w:val="32"/>
        </w:rPr>
        <w:t>本办法所称的</w:t>
      </w:r>
      <w:r>
        <w:rPr>
          <w:rFonts w:hint="eastAsia" w:ascii="仿宋_GB2312" w:hAnsi="仿宋_GB2312" w:eastAsia="仿宋_GB2312" w:cs="仿宋_GB2312"/>
          <w:color w:val="000000"/>
          <w:sz w:val="32"/>
          <w:szCs w:val="32"/>
        </w:rPr>
        <w:t>绿色矿山第三方评估，是指政府管理部门委托第三方评估机构，对矿山企业绿色矿山建设达标情况进行评估，形成第三方评估报告的行为。</w:t>
      </w:r>
    </w:p>
    <w:p w14:paraId="38C1EBCB">
      <w:pPr>
        <w:keepNext/>
        <w:keepLines/>
        <w:spacing w:before="312" w:beforeLines="100" w:after="312" w:afterLines="100" w:line="580" w:lineRule="exact"/>
        <w:jc w:val="center"/>
        <w:outlineLvl w:val="0"/>
        <w:rPr>
          <w:rFonts w:eastAsia="黑体"/>
          <w:color w:val="000000"/>
          <w:kern w:val="0"/>
          <w:sz w:val="32"/>
          <w:szCs w:val="32"/>
        </w:rPr>
      </w:pPr>
      <w:r>
        <w:rPr>
          <w:rFonts w:eastAsia="黑体"/>
          <w:color w:val="000000"/>
          <w:kern w:val="0"/>
          <w:sz w:val="32"/>
          <w:szCs w:val="32"/>
        </w:rPr>
        <w:t>第二章  第三方评估机构遴选</w:t>
      </w:r>
    </w:p>
    <w:p w14:paraId="244667BD">
      <w:pPr>
        <w:shd w:val="clear" w:color="auto" w:fill="FFFFFF"/>
        <w:spacing w:before="0" w:beforeAutospacing="0" w:after="0" w:afterAutospacing="0" w:line="240" w:lineRule="auto"/>
        <w:ind w:left="0" w:right="0" w:firstLine="640" w:firstLineChars="200"/>
        <w:rPr>
          <w:rFonts w:eastAsia="仿宋_GB2312"/>
          <w:color w:val="000000"/>
          <w:spacing w:val="-8"/>
          <w:sz w:val="32"/>
          <w:szCs w:val="32"/>
          <w:lang w:bidi="ar"/>
        </w:rPr>
      </w:pPr>
      <w:r>
        <w:rPr>
          <w:rFonts w:eastAsia="黑体"/>
          <w:color w:val="000000"/>
          <w:sz w:val="32"/>
          <w:szCs w:val="32"/>
          <w:lang w:bidi="ar"/>
        </w:rPr>
        <w:t>第三条</w:t>
      </w:r>
      <w:r>
        <w:rPr>
          <w:rFonts w:eastAsia="仿宋_GB2312"/>
          <w:color w:val="000000"/>
          <w:kern w:val="0"/>
          <w:sz w:val="32"/>
          <w:szCs w:val="32"/>
          <w:lang w:bidi="ar"/>
        </w:rPr>
        <w:t xml:space="preserve">  </w:t>
      </w:r>
      <w:r>
        <w:rPr>
          <w:rFonts w:eastAsia="仿宋_GB2312"/>
          <w:color w:val="000000"/>
          <w:spacing w:val="-8"/>
          <w:sz w:val="32"/>
          <w:szCs w:val="32"/>
          <w:lang w:bidi="ar"/>
        </w:rPr>
        <w:t>申请绿色矿山第三方评估机构应具备以下条件：</w:t>
      </w:r>
    </w:p>
    <w:p w14:paraId="0E223515">
      <w:pPr>
        <w:shd w:val="clear" w:color="auto" w:fill="FFFFFF"/>
        <w:spacing w:before="0" w:beforeAutospacing="0" w:after="0" w:afterAutospacing="0" w:line="240" w:lineRule="auto"/>
        <w:ind w:left="0" w:right="0" w:firstLine="640" w:firstLineChars="200"/>
        <w:rPr>
          <w:rFonts w:eastAsia="仿宋_GB2312"/>
          <w:color w:val="000000"/>
          <w:sz w:val="32"/>
          <w:szCs w:val="32"/>
          <w:lang w:bidi="ar"/>
        </w:rPr>
      </w:pPr>
      <w:r>
        <w:rPr>
          <w:rFonts w:eastAsia="仿宋_GB2312"/>
          <w:color w:val="000000"/>
          <w:sz w:val="32"/>
          <w:szCs w:val="32"/>
          <w:lang w:bidi="ar"/>
        </w:rPr>
        <w:t>（一）具有独立法人资格的企事业单位</w:t>
      </w:r>
      <w:r>
        <w:rPr>
          <w:rFonts w:hint="eastAsia" w:eastAsia="仿宋_GB2312"/>
          <w:color w:val="000000"/>
          <w:sz w:val="32"/>
          <w:szCs w:val="32"/>
          <w:lang w:bidi="ar"/>
        </w:rPr>
        <w:t>、行业协会</w:t>
      </w:r>
      <w:r>
        <w:rPr>
          <w:rFonts w:eastAsia="仿宋_GB2312"/>
          <w:color w:val="000000"/>
          <w:sz w:val="32"/>
          <w:szCs w:val="32"/>
          <w:lang w:bidi="ar"/>
        </w:rPr>
        <w:t>，具备开展绿色矿山建设评估的</w:t>
      </w:r>
      <w:r>
        <w:rPr>
          <w:rFonts w:hint="eastAsia" w:eastAsia="仿宋_GB2312"/>
          <w:color w:val="000000"/>
          <w:sz w:val="32"/>
          <w:szCs w:val="32"/>
          <w:lang w:bidi="ar"/>
        </w:rPr>
        <w:t>经验和</w:t>
      </w:r>
      <w:r>
        <w:rPr>
          <w:rFonts w:eastAsia="仿宋_GB2312"/>
          <w:color w:val="000000"/>
          <w:sz w:val="32"/>
          <w:szCs w:val="32"/>
          <w:lang w:bidi="ar"/>
        </w:rPr>
        <w:t>业务能力，能够长期稳定开展评估工作。应对绿色矿山第三方评估报告内容</w:t>
      </w:r>
      <w:r>
        <w:rPr>
          <w:rFonts w:hint="eastAsia" w:eastAsia="仿宋_GB2312"/>
          <w:color w:val="000000"/>
          <w:sz w:val="32"/>
          <w:szCs w:val="32"/>
          <w:lang w:bidi="ar"/>
        </w:rPr>
        <w:t>的</w:t>
      </w:r>
      <w:r>
        <w:rPr>
          <w:rFonts w:eastAsia="仿宋_GB2312"/>
          <w:color w:val="000000"/>
          <w:sz w:val="32"/>
          <w:szCs w:val="32"/>
          <w:lang w:bidi="ar"/>
        </w:rPr>
        <w:t>真实性</w:t>
      </w:r>
      <w:r>
        <w:rPr>
          <w:rFonts w:hint="eastAsia" w:eastAsia="仿宋_GB2312"/>
          <w:color w:val="000000"/>
          <w:sz w:val="32"/>
          <w:szCs w:val="32"/>
          <w:lang w:bidi="ar"/>
        </w:rPr>
        <w:t>负责</w:t>
      </w:r>
      <w:r>
        <w:rPr>
          <w:rFonts w:eastAsia="仿宋_GB2312"/>
          <w:color w:val="000000"/>
          <w:sz w:val="32"/>
          <w:szCs w:val="32"/>
          <w:lang w:bidi="ar"/>
        </w:rPr>
        <w:t>。</w:t>
      </w:r>
    </w:p>
    <w:p w14:paraId="16319B86">
      <w:pPr>
        <w:shd w:val="clear" w:color="auto" w:fill="FFFFFF"/>
        <w:spacing w:before="0" w:beforeAutospacing="0" w:after="0" w:afterAutospacing="0" w:line="240" w:lineRule="auto"/>
        <w:ind w:left="0" w:right="0" w:firstLine="640" w:firstLineChars="200"/>
        <w:rPr>
          <w:rFonts w:eastAsia="仿宋_GB2312"/>
          <w:color w:val="000000"/>
          <w:sz w:val="32"/>
          <w:szCs w:val="32"/>
          <w:lang w:bidi="ar"/>
        </w:rPr>
      </w:pPr>
      <w:r>
        <w:rPr>
          <w:rFonts w:eastAsia="仿宋_GB2312"/>
          <w:color w:val="000000"/>
          <w:sz w:val="32"/>
          <w:szCs w:val="32"/>
          <w:lang w:bidi="ar"/>
        </w:rPr>
        <w:t>（二）</w:t>
      </w:r>
      <w:r>
        <w:rPr>
          <w:rFonts w:hint="eastAsia" w:eastAsia="仿宋_GB2312"/>
          <w:color w:val="000000"/>
          <w:sz w:val="32"/>
          <w:szCs w:val="32"/>
          <w:lang w:bidi="ar"/>
        </w:rPr>
        <w:t>具有开展评估工作的</w:t>
      </w:r>
      <w:r>
        <w:rPr>
          <w:rFonts w:eastAsia="仿宋_GB2312"/>
          <w:color w:val="000000"/>
          <w:sz w:val="32"/>
          <w:szCs w:val="32"/>
          <w:lang w:bidi="ar"/>
        </w:rPr>
        <w:t>办公条件和</w:t>
      </w:r>
      <w:r>
        <w:rPr>
          <w:rFonts w:hint="eastAsia" w:eastAsia="仿宋_GB2312"/>
          <w:color w:val="000000"/>
          <w:sz w:val="32"/>
          <w:szCs w:val="32"/>
          <w:lang w:bidi="ar"/>
        </w:rPr>
        <w:t>健全的</w:t>
      </w:r>
      <w:r>
        <w:rPr>
          <w:rFonts w:eastAsia="仿宋_GB2312"/>
          <w:color w:val="000000"/>
          <w:sz w:val="32"/>
          <w:szCs w:val="32"/>
          <w:lang w:bidi="ar"/>
        </w:rPr>
        <w:t>管理制度，</w:t>
      </w:r>
      <w:r>
        <w:rPr>
          <w:rFonts w:hint="eastAsia" w:eastAsia="仿宋_GB2312"/>
          <w:color w:val="000000"/>
          <w:sz w:val="32"/>
          <w:szCs w:val="32"/>
          <w:lang w:bidi="ar"/>
        </w:rPr>
        <w:t>严格遵守国家法律法规和评价程序。</w:t>
      </w:r>
    </w:p>
    <w:p w14:paraId="24161510">
      <w:pPr>
        <w:shd w:val="clear" w:color="auto" w:fill="FFFFFF"/>
        <w:spacing w:before="0" w:beforeAutospacing="0" w:after="0" w:afterAutospacing="0"/>
        <w:ind w:left="0" w:right="0" w:firstLine="640" w:firstLineChars="200"/>
        <w:rPr>
          <w:rFonts w:eastAsia="仿宋_GB2312"/>
          <w:color w:val="000000"/>
          <w:sz w:val="32"/>
          <w:szCs w:val="32"/>
          <w:lang w:bidi="ar"/>
        </w:rPr>
      </w:pPr>
      <w:r>
        <w:rPr>
          <w:rFonts w:eastAsia="仿宋_GB2312"/>
          <w:color w:val="000000"/>
          <w:sz w:val="32"/>
          <w:szCs w:val="32"/>
          <w:lang w:bidi="ar"/>
        </w:rPr>
        <w:t>（三）具有相对稳定的专业评估人才队伍，</w:t>
      </w:r>
      <w:r>
        <w:rPr>
          <w:rFonts w:hint="eastAsia" w:eastAsia="仿宋_GB2312"/>
          <w:color w:val="000000"/>
          <w:sz w:val="32"/>
          <w:szCs w:val="32"/>
          <w:lang w:bidi="ar"/>
        </w:rPr>
        <w:t>开展绿色矿山评估的</w:t>
      </w:r>
      <w:r>
        <w:rPr>
          <w:rFonts w:eastAsia="仿宋_GB2312"/>
          <w:color w:val="000000"/>
          <w:sz w:val="32"/>
          <w:szCs w:val="32"/>
          <w:lang w:bidi="ar"/>
        </w:rPr>
        <w:t>相关专业技术人员不少于15人（其中高级职称人员不少于30%）</w:t>
      </w:r>
      <w:r>
        <w:rPr>
          <w:rFonts w:hint="eastAsia" w:eastAsia="仿宋_GB2312"/>
          <w:color w:val="000000"/>
          <w:sz w:val="32"/>
          <w:szCs w:val="32"/>
          <w:lang w:bidi="ar"/>
        </w:rPr>
        <w:t>，</w:t>
      </w:r>
      <w:r>
        <w:rPr>
          <w:rFonts w:eastAsia="仿宋_GB2312"/>
          <w:color w:val="000000"/>
          <w:sz w:val="32"/>
          <w:szCs w:val="32"/>
          <w:lang w:bidi="ar"/>
        </w:rPr>
        <w:t>熟悉绿色矿山相关政策和标准</w:t>
      </w:r>
      <w:r>
        <w:rPr>
          <w:rFonts w:hint="eastAsia" w:eastAsia="仿宋_GB2312"/>
          <w:color w:val="000000"/>
          <w:sz w:val="32"/>
          <w:szCs w:val="32"/>
          <w:lang w:bidi="ar"/>
        </w:rPr>
        <w:t>，</w:t>
      </w:r>
      <w:r>
        <w:rPr>
          <w:rFonts w:eastAsia="仿宋_GB2312"/>
          <w:color w:val="000000"/>
          <w:sz w:val="32"/>
          <w:szCs w:val="32"/>
          <w:lang w:bidi="ar"/>
        </w:rPr>
        <w:t>参加自然资源部门组织的绿色矿山相关培训。</w:t>
      </w:r>
    </w:p>
    <w:p w14:paraId="0C05F958">
      <w:pPr>
        <w:spacing w:before="0" w:beforeAutospacing="0" w:after="0" w:afterAutospacing="0"/>
        <w:ind w:left="0" w:right="0" w:firstLine="640" w:firstLineChars="200"/>
        <w:rPr>
          <w:rFonts w:eastAsia="仿宋_GB2312"/>
          <w:color w:val="000000"/>
          <w:sz w:val="32"/>
          <w:szCs w:val="32"/>
          <w:lang w:bidi="ar"/>
        </w:rPr>
      </w:pPr>
      <w:r>
        <w:rPr>
          <w:rFonts w:eastAsia="黑体"/>
          <w:color w:val="000000"/>
          <w:sz w:val="32"/>
          <w:szCs w:val="32"/>
          <w:lang w:bidi="ar"/>
        </w:rPr>
        <w:t xml:space="preserve">第四条 </w:t>
      </w:r>
      <w:r>
        <w:rPr>
          <w:rFonts w:eastAsia="仿宋_GB2312"/>
          <w:color w:val="000000"/>
          <w:sz w:val="32"/>
          <w:szCs w:val="32"/>
          <w:lang w:bidi="ar"/>
        </w:rPr>
        <w:t>满足上述条件可申请参与第三方评估机构的遴选，遴选工作按以下程序进行：</w:t>
      </w:r>
    </w:p>
    <w:p w14:paraId="6BC42F91">
      <w:pPr>
        <w:shd w:val="clear" w:color="auto" w:fill="FFFFFF"/>
        <w:spacing w:before="0" w:beforeAutospacing="0" w:after="0" w:afterAutospacing="0"/>
        <w:ind w:left="0" w:right="0" w:firstLine="640" w:firstLineChars="200"/>
        <w:rPr>
          <w:rFonts w:eastAsia="仿宋_GB2312"/>
          <w:color w:val="000000"/>
          <w:sz w:val="32"/>
          <w:szCs w:val="32"/>
          <w:lang w:bidi="ar"/>
        </w:rPr>
      </w:pPr>
      <w:r>
        <w:rPr>
          <w:rFonts w:eastAsia="仿宋_GB2312"/>
          <w:color w:val="000000"/>
          <w:sz w:val="32"/>
          <w:szCs w:val="32"/>
          <w:lang w:bidi="ar"/>
        </w:rPr>
        <w:t>（一）相关通知发布后，评估机构如实填写《湖南省绿色矿山第三方评估机构申报表》（附件）后报省自然资源厅；</w:t>
      </w:r>
    </w:p>
    <w:p w14:paraId="23D76753">
      <w:pPr>
        <w:spacing w:before="0" w:beforeAutospacing="0" w:after="0" w:afterAutospacing="0"/>
        <w:ind w:left="0" w:right="0" w:firstLine="640" w:firstLineChars="200"/>
        <w:rPr>
          <w:rFonts w:eastAsia="仿宋_GB2312"/>
          <w:color w:val="000000"/>
          <w:sz w:val="32"/>
          <w:szCs w:val="32"/>
          <w:lang w:bidi="ar"/>
        </w:rPr>
      </w:pPr>
      <w:r>
        <w:rPr>
          <w:rFonts w:eastAsia="仿宋_GB2312"/>
          <w:color w:val="000000"/>
          <w:sz w:val="32"/>
          <w:szCs w:val="32"/>
          <w:lang w:bidi="ar"/>
        </w:rPr>
        <w:t>（二）省自然资源厅组织开展审查，确定第三方评估机构名单并予以公示，公示无异议的，正式纳入湖南省绿色矿山第三方评估机构管理库。</w:t>
      </w:r>
    </w:p>
    <w:p w14:paraId="2DA2615E">
      <w:pPr>
        <w:keepNext/>
        <w:keepLines/>
        <w:spacing w:before="312" w:beforeLines="100" w:after="312" w:afterLines="100" w:line="240" w:lineRule="auto"/>
        <w:jc w:val="center"/>
        <w:outlineLvl w:val="0"/>
        <w:rPr>
          <w:rFonts w:eastAsia="黑体"/>
          <w:color w:val="000000"/>
          <w:kern w:val="0"/>
          <w:sz w:val="32"/>
          <w:szCs w:val="32"/>
        </w:rPr>
      </w:pPr>
      <w:r>
        <w:rPr>
          <w:rFonts w:eastAsia="黑体"/>
          <w:color w:val="000000"/>
          <w:kern w:val="0"/>
          <w:sz w:val="32"/>
          <w:szCs w:val="32"/>
        </w:rPr>
        <w:t>第三章  评估工作程序及要求</w:t>
      </w:r>
    </w:p>
    <w:p w14:paraId="02553509">
      <w:pPr>
        <w:autoSpaceDE w:val="0"/>
        <w:autoSpaceDN w:val="0"/>
        <w:adjustRightInd w:val="0"/>
        <w:ind w:firstLine="640" w:firstLineChars="200"/>
        <w:rPr>
          <w:rFonts w:eastAsia="仿宋_GB2312"/>
          <w:color w:val="000000"/>
          <w:sz w:val="32"/>
          <w:szCs w:val="32"/>
        </w:rPr>
      </w:pPr>
      <w:r>
        <w:rPr>
          <w:rFonts w:eastAsia="黑体"/>
          <w:color w:val="000000"/>
          <w:sz w:val="32"/>
          <w:szCs w:val="32"/>
        </w:rPr>
        <w:t>第五条</w:t>
      </w:r>
      <w:r>
        <w:rPr>
          <w:rFonts w:eastAsia="黑体"/>
          <w:color w:val="000000"/>
          <w:kern w:val="0"/>
          <w:sz w:val="32"/>
          <w:szCs w:val="32"/>
        </w:rPr>
        <w:t xml:space="preserve">  </w:t>
      </w:r>
      <w:r>
        <w:rPr>
          <w:rFonts w:hint="eastAsia" w:ascii="Calibri" w:hAnsi="Calibri" w:eastAsia="仿宋_GB2312"/>
          <w:color w:val="000000"/>
          <w:sz w:val="32"/>
          <w:szCs w:val="32"/>
        </w:rPr>
        <w:t>省自然资源厅</w:t>
      </w:r>
      <w:r>
        <w:rPr>
          <w:rFonts w:eastAsia="仿宋_GB2312"/>
          <w:color w:val="000000"/>
          <w:sz w:val="32"/>
          <w:szCs w:val="32"/>
        </w:rPr>
        <w:t>收到绿色矿山申报请求后，应从湖南省绿色矿山第三方评估机构管理库中随机</w:t>
      </w:r>
      <w:r>
        <w:rPr>
          <w:rFonts w:hint="eastAsia" w:ascii="Calibri" w:hAnsi="Calibri" w:eastAsia="仿宋_GB2312"/>
          <w:color w:val="000000"/>
          <w:sz w:val="32"/>
          <w:szCs w:val="32"/>
        </w:rPr>
        <w:t>抽</w:t>
      </w:r>
      <w:r>
        <w:rPr>
          <w:rFonts w:eastAsia="仿宋_GB2312"/>
          <w:color w:val="000000"/>
          <w:sz w:val="32"/>
          <w:szCs w:val="32"/>
        </w:rPr>
        <w:t>取评估机构，以政府购买服务的形式，委托开展评估。评估机构应</w:t>
      </w:r>
      <w:r>
        <w:rPr>
          <w:rFonts w:ascii="Calibri" w:hAnsi="Calibri" w:eastAsia="仿宋_GB2312"/>
          <w:color w:val="000000"/>
          <w:sz w:val="32"/>
          <w:szCs w:val="32"/>
        </w:rPr>
        <w:t>在合同或协议要求时限内</w:t>
      </w:r>
      <w:r>
        <w:rPr>
          <w:rFonts w:eastAsia="仿宋_GB2312"/>
          <w:color w:val="000000"/>
          <w:sz w:val="32"/>
          <w:szCs w:val="32"/>
        </w:rPr>
        <w:t>完成评估工作，形成评估报告并提交</w:t>
      </w:r>
      <w:r>
        <w:rPr>
          <w:rFonts w:hint="eastAsia" w:ascii="Calibri" w:hAnsi="Calibri" w:eastAsia="仿宋_GB2312"/>
          <w:color w:val="000000"/>
          <w:sz w:val="32"/>
          <w:szCs w:val="32"/>
        </w:rPr>
        <w:t>至省自然资源厅</w:t>
      </w:r>
      <w:r>
        <w:rPr>
          <w:rFonts w:eastAsia="仿宋_GB2312"/>
          <w:color w:val="000000"/>
          <w:sz w:val="32"/>
          <w:szCs w:val="32"/>
        </w:rPr>
        <w:t>。</w:t>
      </w:r>
    </w:p>
    <w:p w14:paraId="43E6B76A">
      <w:pPr>
        <w:autoSpaceDE w:val="0"/>
        <w:autoSpaceDN w:val="0"/>
        <w:adjustRightInd w:val="0"/>
        <w:ind w:firstLine="640" w:firstLineChars="200"/>
        <w:rPr>
          <w:rFonts w:eastAsia="仿宋_GB2312"/>
          <w:color w:val="000000"/>
          <w:sz w:val="32"/>
          <w:szCs w:val="32"/>
        </w:rPr>
      </w:pPr>
      <w:r>
        <w:rPr>
          <w:rFonts w:eastAsia="黑体"/>
          <w:color w:val="000000"/>
          <w:kern w:val="0"/>
          <w:sz w:val="32"/>
          <w:szCs w:val="32"/>
        </w:rPr>
        <w:t>第六条</w:t>
      </w:r>
      <w:r>
        <w:rPr>
          <w:rFonts w:eastAsia="仿宋_GB2312"/>
          <w:color w:val="000000"/>
          <w:kern w:val="0"/>
          <w:sz w:val="32"/>
          <w:szCs w:val="32"/>
        </w:rPr>
        <w:t xml:space="preserve"> </w:t>
      </w:r>
      <w:r>
        <w:rPr>
          <w:rFonts w:eastAsia="仿宋_GB2312"/>
          <w:color w:val="000000"/>
          <w:sz w:val="32"/>
          <w:szCs w:val="32"/>
        </w:rPr>
        <w:t xml:space="preserve"> 第三方评估机构应严格按照《湖南省绿色矿山管理办法》等相关要求，按照以下程序及要求开展评估工作：</w:t>
      </w:r>
    </w:p>
    <w:p w14:paraId="4780A339">
      <w:pPr>
        <w:autoSpaceDE w:val="0"/>
        <w:autoSpaceDN w:val="0"/>
        <w:adjustRightInd w:val="0"/>
        <w:ind w:firstLine="640" w:firstLineChars="200"/>
        <w:rPr>
          <w:rFonts w:hint="eastAsia" w:eastAsia="楷体"/>
          <w:color w:val="000000"/>
          <w:sz w:val="32"/>
          <w:szCs w:val="32"/>
        </w:rPr>
      </w:pPr>
      <w:r>
        <w:rPr>
          <w:rFonts w:eastAsia="楷体"/>
          <w:color w:val="000000"/>
          <w:sz w:val="32"/>
          <w:szCs w:val="32"/>
        </w:rPr>
        <w:t>（一）申报单位基本条件</w:t>
      </w:r>
      <w:r>
        <w:rPr>
          <w:rFonts w:hint="eastAsia" w:ascii="Calibri" w:hAnsi="Calibri" w:eastAsia="楷体"/>
          <w:color w:val="000000"/>
          <w:sz w:val="32"/>
          <w:szCs w:val="32"/>
        </w:rPr>
        <w:t>审核</w:t>
      </w:r>
    </w:p>
    <w:p w14:paraId="7B24E0A6">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第三方评估机构在接</w:t>
      </w:r>
      <w:r>
        <w:rPr>
          <w:rFonts w:ascii="Calibri" w:hAnsi="Calibri" w:eastAsia="仿宋_GB2312"/>
          <w:color w:val="000000"/>
          <w:sz w:val="32"/>
          <w:szCs w:val="32"/>
        </w:rPr>
        <w:t>受</w:t>
      </w:r>
      <w:r>
        <w:rPr>
          <w:rFonts w:eastAsia="仿宋_GB2312"/>
          <w:color w:val="000000"/>
          <w:sz w:val="32"/>
          <w:szCs w:val="32"/>
        </w:rPr>
        <w:t>委托后，应依据《湖南省绿色矿山管理办法》第</w:t>
      </w:r>
      <w:r>
        <w:rPr>
          <w:rFonts w:hint="eastAsia" w:ascii="Calibri" w:hAnsi="Calibri" w:eastAsia="仿宋_GB2312"/>
          <w:color w:val="000000"/>
          <w:sz w:val="32"/>
          <w:szCs w:val="32"/>
        </w:rPr>
        <w:t>十一</w:t>
      </w:r>
      <w:r>
        <w:rPr>
          <w:rFonts w:eastAsia="仿宋_GB2312"/>
          <w:color w:val="000000"/>
          <w:sz w:val="32"/>
          <w:szCs w:val="32"/>
        </w:rPr>
        <w:t>条要求</w:t>
      </w:r>
      <w:r>
        <w:rPr>
          <w:rFonts w:hint="eastAsia" w:ascii="Calibri" w:hAnsi="Calibri" w:eastAsia="仿宋_GB2312"/>
          <w:color w:val="000000"/>
          <w:sz w:val="32"/>
          <w:szCs w:val="32"/>
        </w:rPr>
        <w:t>，</w:t>
      </w:r>
      <w:r>
        <w:rPr>
          <w:rFonts w:eastAsia="仿宋_GB2312"/>
          <w:color w:val="000000"/>
          <w:sz w:val="32"/>
          <w:szCs w:val="32"/>
        </w:rPr>
        <w:t>首先</w:t>
      </w:r>
      <w:r>
        <w:rPr>
          <w:rFonts w:hint="eastAsia" w:ascii="Calibri" w:hAnsi="Calibri" w:eastAsia="仿宋_GB2312"/>
          <w:color w:val="000000"/>
          <w:sz w:val="32"/>
          <w:szCs w:val="32"/>
        </w:rPr>
        <w:t>核查</w:t>
      </w:r>
      <w:r>
        <w:rPr>
          <w:rFonts w:eastAsia="仿宋_GB2312"/>
          <w:color w:val="000000"/>
          <w:sz w:val="32"/>
          <w:szCs w:val="32"/>
        </w:rPr>
        <w:t>被评估矿山</w:t>
      </w:r>
      <w:r>
        <w:rPr>
          <w:rFonts w:hint="eastAsia" w:ascii="Calibri" w:hAnsi="Calibri" w:eastAsia="仿宋_GB2312"/>
          <w:color w:val="000000"/>
          <w:sz w:val="32"/>
          <w:szCs w:val="32"/>
        </w:rPr>
        <w:t>的</w:t>
      </w:r>
      <w:r>
        <w:rPr>
          <w:rFonts w:eastAsia="仿宋_GB2312"/>
          <w:color w:val="000000"/>
          <w:sz w:val="32"/>
          <w:szCs w:val="32"/>
        </w:rPr>
        <w:t>基本条件。符合申报要求的，进入后续评估程序</w:t>
      </w:r>
      <w:r>
        <w:rPr>
          <w:rFonts w:hint="eastAsia" w:ascii="Calibri" w:hAnsi="Calibri" w:eastAsia="仿宋_GB2312"/>
          <w:color w:val="000000"/>
          <w:sz w:val="32"/>
          <w:szCs w:val="32"/>
        </w:rPr>
        <w:t>；</w:t>
      </w:r>
      <w:r>
        <w:rPr>
          <w:rFonts w:eastAsia="仿宋_GB2312"/>
          <w:color w:val="000000"/>
          <w:sz w:val="32"/>
          <w:szCs w:val="32"/>
        </w:rPr>
        <w:t>不符合申报要求的，向委托方提交证据并说明情况，</w:t>
      </w:r>
      <w:r>
        <w:rPr>
          <w:rFonts w:hint="eastAsia" w:ascii="Calibri" w:hAnsi="Calibri" w:eastAsia="仿宋_GB2312"/>
          <w:color w:val="000000"/>
          <w:sz w:val="32"/>
          <w:szCs w:val="32"/>
        </w:rPr>
        <w:t>并</w:t>
      </w:r>
      <w:r>
        <w:rPr>
          <w:rFonts w:eastAsia="仿宋_GB2312"/>
          <w:color w:val="000000"/>
          <w:sz w:val="32"/>
          <w:szCs w:val="32"/>
        </w:rPr>
        <w:t>终止委托合同，停止后续评估工作，不收取评估费用。</w:t>
      </w:r>
    </w:p>
    <w:p w14:paraId="7F00322F">
      <w:pPr>
        <w:autoSpaceDE w:val="0"/>
        <w:autoSpaceDN w:val="0"/>
        <w:adjustRightInd w:val="0"/>
        <w:ind w:firstLine="640" w:firstLineChars="200"/>
        <w:rPr>
          <w:rFonts w:eastAsia="楷体"/>
          <w:color w:val="000000"/>
          <w:sz w:val="32"/>
          <w:szCs w:val="32"/>
        </w:rPr>
      </w:pPr>
      <w:r>
        <w:rPr>
          <w:rFonts w:eastAsia="楷体"/>
          <w:color w:val="000000"/>
          <w:sz w:val="32"/>
          <w:szCs w:val="32"/>
        </w:rPr>
        <w:t>（二）组建评估组</w:t>
      </w:r>
    </w:p>
    <w:p w14:paraId="0471748D">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对符合申报要求的矿山，第三方评估机构应综合考虑矿山类型、</w:t>
      </w:r>
      <w:r>
        <w:rPr>
          <w:rFonts w:hint="eastAsia" w:ascii="Calibri" w:hAnsi="Calibri" w:eastAsia="仿宋_GB2312"/>
          <w:color w:val="000000"/>
          <w:sz w:val="32"/>
          <w:szCs w:val="32"/>
        </w:rPr>
        <w:t>生产</w:t>
      </w:r>
      <w:r>
        <w:rPr>
          <w:rFonts w:eastAsia="仿宋_GB2312"/>
          <w:color w:val="000000"/>
          <w:sz w:val="32"/>
          <w:szCs w:val="32"/>
        </w:rPr>
        <w:t>规模</w:t>
      </w:r>
      <w:r>
        <w:rPr>
          <w:rFonts w:hint="eastAsia" w:ascii="Calibri" w:hAnsi="Calibri" w:eastAsia="仿宋_GB2312"/>
          <w:color w:val="000000"/>
          <w:sz w:val="32"/>
          <w:szCs w:val="32"/>
        </w:rPr>
        <w:t>和</w:t>
      </w:r>
      <w:r>
        <w:rPr>
          <w:rFonts w:eastAsia="仿宋_GB2312"/>
          <w:color w:val="000000"/>
          <w:sz w:val="32"/>
          <w:szCs w:val="32"/>
        </w:rPr>
        <w:t>开采方式，择优选取专家，成立评估组。组长应由</w:t>
      </w:r>
      <w:r>
        <w:rPr>
          <w:rFonts w:hint="eastAsia" w:ascii="Calibri" w:hAnsi="Calibri" w:eastAsia="仿宋_GB2312"/>
          <w:color w:val="000000"/>
          <w:sz w:val="32"/>
          <w:szCs w:val="32"/>
        </w:rPr>
        <w:t>本机构具备评估经验的</w:t>
      </w:r>
      <w:r>
        <w:rPr>
          <w:rFonts w:ascii="Calibri" w:hAnsi="Calibri" w:eastAsia="仿宋_GB2312"/>
          <w:color w:val="000000"/>
          <w:sz w:val="32"/>
          <w:szCs w:val="32"/>
        </w:rPr>
        <w:t>高级工程师及以上职称人员</w:t>
      </w:r>
      <w:r>
        <w:rPr>
          <w:rFonts w:eastAsia="仿宋_GB2312"/>
          <w:color w:val="000000"/>
          <w:sz w:val="32"/>
          <w:szCs w:val="32"/>
        </w:rPr>
        <w:t>担任</w:t>
      </w:r>
      <w:r>
        <w:rPr>
          <w:rFonts w:hint="eastAsia" w:ascii="Calibri" w:hAnsi="Calibri" w:eastAsia="仿宋_GB2312"/>
          <w:color w:val="000000"/>
          <w:sz w:val="32"/>
          <w:szCs w:val="32"/>
        </w:rPr>
        <w:t>；</w:t>
      </w:r>
      <w:r>
        <w:rPr>
          <w:rFonts w:eastAsia="仿宋_GB2312"/>
          <w:color w:val="000000"/>
          <w:sz w:val="32"/>
          <w:szCs w:val="32"/>
        </w:rPr>
        <w:t>评估组人数</w:t>
      </w:r>
      <w:r>
        <w:rPr>
          <w:rFonts w:hint="default" w:ascii="Times New Roman" w:hAnsi="Times New Roman" w:eastAsia="仿宋_GB2312"/>
          <w:color w:val="000000"/>
          <w:sz w:val="32"/>
          <w:szCs w:val="32"/>
        </w:rPr>
        <w:t>应</w:t>
      </w:r>
      <w:r>
        <w:rPr>
          <w:rFonts w:eastAsia="仿宋_GB2312"/>
          <w:color w:val="000000"/>
          <w:sz w:val="32"/>
          <w:szCs w:val="32"/>
        </w:rPr>
        <w:t>不少于</w:t>
      </w:r>
      <w:r>
        <w:rPr>
          <w:rFonts w:hint="default" w:ascii="Times New Roman" w:hAnsi="Times New Roman" w:eastAsia="仿宋_GB2312"/>
          <w:color w:val="000000"/>
          <w:sz w:val="32"/>
          <w:szCs w:val="32"/>
        </w:rPr>
        <w:t>5</w:t>
      </w:r>
      <w:r>
        <w:rPr>
          <w:rFonts w:eastAsia="仿宋_GB2312"/>
          <w:color w:val="000000"/>
          <w:sz w:val="32"/>
          <w:szCs w:val="32"/>
        </w:rPr>
        <w:t>人，</w:t>
      </w:r>
      <w:r>
        <w:rPr>
          <w:rFonts w:hint="default" w:ascii="Times New Roman" w:hAnsi="Times New Roman" w:eastAsia="仿宋_GB2312"/>
          <w:color w:val="000000"/>
          <w:sz w:val="32"/>
          <w:szCs w:val="32"/>
        </w:rPr>
        <w:t>均为中级及以上职称，且高级职称不少于2人</w:t>
      </w:r>
      <w:r>
        <w:rPr>
          <w:rFonts w:eastAsia="仿宋_GB2312"/>
          <w:color w:val="000000"/>
          <w:sz w:val="32"/>
          <w:szCs w:val="32"/>
        </w:rPr>
        <w:t>。</w:t>
      </w:r>
      <w:r>
        <w:rPr>
          <w:rFonts w:hint="default" w:ascii="Times New Roman" w:hAnsi="Times New Roman" w:eastAsia="仿宋_GB2312"/>
          <w:color w:val="000000"/>
          <w:sz w:val="32"/>
          <w:szCs w:val="32"/>
        </w:rPr>
        <w:t>评估专家应涵盖地质、采矿、选矿、生态、环境等专业，熟</w:t>
      </w:r>
      <w:r>
        <w:rPr>
          <w:rFonts w:hint="eastAsia" w:ascii="Calibri" w:hAnsi="Calibri" w:eastAsia="仿宋_GB2312"/>
          <w:color w:val="000000"/>
          <w:sz w:val="32"/>
          <w:szCs w:val="32"/>
        </w:rPr>
        <w:t>悉绿色矿山及行业相关的政策、标准。</w:t>
      </w:r>
    </w:p>
    <w:p w14:paraId="001AB7D6">
      <w:pPr>
        <w:ind w:firstLine="640" w:firstLineChars="200"/>
        <w:rPr>
          <w:rFonts w:eastAsia="楷体"/>
          <w:color w:val="000000"/>
          <w:sz w:val="32"/>
          <w:szCs w:val="32"/>
        </w:rPr>
      </w:pPr>
      <w:r>
        <w:rPr>
          <w:rFonts w:eastAsia="楷体"/>
          <w:color w:val="000000"/>
          <w:sz w:val="32"/>
          <w:szCs w:val="32"/>
        </w:rPr>
        <w:t>（三）</w:t>
      </w:r>
      <w:r>
        <w:rPr>
          <w:rFonts w:hint="eastAsia" w:ascii="Calibri" w:hAnsi="Calibri" w:eastAsia="楷体"/>
          <w:color w:val="000000"/>
          <w:sz w:val="32"/>
          <w:szCs w:val="32"/>
        </w:rPr>
        <w:t>内业评估</w:t>
      </w:r>
    </w:p>
    <w:p w14:paraId="7F313B5C">
      <w:pPr>
        <w:keepNext w:val="0"/>
        <w:keepLines w:val="0"/>
        <w:widowControl/>
        <w:suppressLineNumbers w:val="0"/>
        <w:ind w:firstLine="640" w:firstLineChars="200"/>
        <w:rPr>
          <w:rFonts w:ascii="Calibri" w:hAnsi="Calibri"/>
          <w:color w:val="000000"/>
        </w:rPr>
      </w:pPr>
      <w:r>
        <w:rPr>
          <w:rFonts w:eastAsia="仿宋_GB2312"/>
          <w:color w:val="000000"/>
          <w:sz w:val="32"/>
          <w:szCs w:val="32"/>
        </w:rPr>
        <w:t>评估组在开展</w:t>
      </w:r>
      <w:r>
        <w:rPr>
          <w:rFonts w:hint="eastAsia" w:ascii="Calibri" w:hAnsi="Calibri" w:eastAsia="仿宋_GB2312"/>
          <w:color w:val="000000"/>
          <w:sz w:val="32"/>
          <w:szCs w:val="32"/>
        </w:rPr>
        <w:t>现场</w:t>
      </w:r>
      <w:r>
        <w:rPr>
          <w:rFonts w:eastAsia="仿宋_GB2312"/>
          <w:color w:val="000000"/>
          <w:sz w:val="32"/>
          <w:szCs w:val="32"/>
        </w:rPr>
        <w:t>评估前，应依据《湖南省绿色矿山管理办法》第十</w:t>
      </w:r>
      <w:r>
        <w:rPr>
          <w:rFonts w:hint="eastAsia" w:ascii="Calibri" w:hAnsi="Calibri" w:eastAsia="仿宋_GB2312"/>
          <w:color w:val="000000"/>
          <w:sz w:val="32"/>
          <w:szCs w:val="32"/>
        </w:rPr>
        <w:t>四</w:t>
      </w:r>
      <w:r>
        <w:rPr>
          <w:rFonts w:eastAsia="仿宋_GB2312"/>
          <w:color w:val="000000"/>
          <w:sz w:val="32"/>
          <w:szCs w:val="32"/>
        </w:rPr>
        <w:t>条要求</w:t>
      </w:r>
      <w:r>
        <w:rPr>
          <w:rFonts w:hint="eastAsia" w:ascii="Calibri" w:hAnsi="Calibri" w:eastAsia="仿宋_GB2312"/>
          <w:color w:val="000000"/>
          <w:sz w:val="32"/>
          <w:szCs w:val="32"/>
        </w:rPr>
        <w:t>，</w:t>
      </w:r>
      <w:r>
        <w:rPr>
          <w:rFonts w:eastAsia="仿宋_GB2312"/>
          <w:color w:val="000000"/>
          <w:sz w:val="32"/>
          <w:szCs w:val="32"/>
        </w:rPr>
        <w:t>先行对被评估矿山申报材料的齐全性、规范性进行审核，申报材料不齐全或不规范的，应及时通知被评估矿山</w:t>
      </w:r>
      <w:r>
        <w:rPr>
          <w:rFonts w:hint="eastAsia" w:ascii="Calibri" w:hAnsi="Calibri" w:eastAsia="仿宋_GB2312"/>
          <w:color w:val="000000"/>
          <w:sz w:val="32"/>
          <w:szCs w:val="32"/>
        </w:rPr>
        <w:t>企业</w:t>
      </w:r>
      <w:r>
        <w:rPr>
          <w:rFonts w:eastAsia="仿宋_GB2312"/>
          <w:color w:val="000000"/>
          <w:sz w:val="32"/>
          <w:szCs w:val="32"/>
        </w:rPr>
        <w:t>限期补充</w:t>
      </w:r>
      <w:r>
        <w:rPr>
          <w:rFonts w:hint="eastAsia" w:ascii="Calibri" w:hAnsi="Calibri" w:eastAsia="仿宋_GB2312"/>
          <w:color w:val="000000"/>
          <w:sz w:val="32"/>
          <w:szCs w:val="32"/>
        </w:rPr>
        <w:t>或重新提交</w:t>
      </w:r>
      <w:r>
        <w:rPr>
          <w:rFonts w:eastAsia="仿宋_GB2312"/>
          <w:color w:val="000000"/>
          <w:sz w:val="32"/>
          <w:szCs w:val="32"/>
        </w:rPr>
        <w:t>。</w:t>
      </w:r>
      <w:r>
        <w:rPr>
          <w:rFonts w:ascii="仿宋_GB2312" w:hAnsi="宋体" w:eastAsia="仿宋_GB2312" w:cs="仿宋_GB2312"/>
          <w:color w:val="000000"/>
          <w:kern w:val="0"/>
          <w:sz w:val="31"/>
          <w:szCs w:val="31"/>
          <w:lang w:bidi="ar"/>
        </w:rPr>
        <w:t>经初步评估，讨论确定现场评估重点，告知矿山企业现场评估时间。</w:t>
      </w:r>
    </w:p>
    <w:p w14:paraId="0257823D">
      <w:pPr>
        <w:ind w:firstLine="640" w:firstLineChars="200"/>
        <w:rPr>
          <w:rFonts w:eastAsia="楷体"/>
          <w:color w:val="000000"/>
          <w:sz w:val="32"/>
          <w:szCs w:val="32"/>
        </w:rPr>
      </w:pPr>
      <w:r>
        <w:rPr>
          <w:rFonts w:eastAsia="楷体"/>
          <w:color w:val="000000"/>
          <w:sz w:val="32"/>
          <w:szCs w:val="32"/>
        </w:rPr>
        <w:t>（四）</w:t>
      </w:r>
      <w:r>
        <w:rPr>
          <w:rFonts w:hint="eastAsia" w:ascii="Calibri" w:hAnsi="Calibri" w:eastAsia="楷体"/>
          <w:color w:val="000000"/>
          <w:sz w:val="32"/>
          <w:szCs w:val="32"/>
        </w:rPr>
        <w:t>现场</w:t>
      </w:r>
      <w:r>
        <w:rPr>
          <w:rFonts w:eastAsia="楷体"/>
          <w:color w:val="000000"/>
          <w:sz w:val="32"/>
          <w:szCs w:val="32"/>
        </w:rPr>
        <w:t>评估</w:t>
      </w:r>
    </w:p>
    <w:p w14:paraId="628383D6">
      <w:pPr>
        <w:ind w:firstLine="640" w:firstLineChars="200"/>
        <w:rPr>
          <w:rFonts w:eastAsia="仿宋_GB2312"/>
          <w:color w:val="000000"/>
          <w:sz w:val="32"/>
          <w:szCs w:val="32"/>
        </w:rPr>
      </w:pPr>
      <w:r>
        <w:rPr>
          <w:rFonts w:eastAsia="仿宋_GB2312"/>
          <w:color w:val="000000"/>
          <w:sz w:val="32"/>
          <w:szCs w:val="32"/>
        </w:rPr>
        <w:t>评估组与矿山企业相关管理人员召开评估会议，由评估组组长介绍评估目的、评估计划，宣读评估工作承诺书（样式见附件</w:t>
      </w:r>
      <w:r>
        <w:rPr>
          <w:rFonts w:hint="eastAsia" w:ascii="Calibri" w:hAnsi="Calibri" w:eastAsia="仿宋_GB2312"/>
          <w:color w:val="000000"/>
          <w:sz w:val="32"/>
          <w:szCs w:val="32"/>
        </w:rPr>
        <w:t>5</w:t>
      </w:r>
      <w:r>
        <w:rPr>
          <w:rFonts w:eastAsia="仿宋_GB2312"/>
          <w:color w:val="000000"/>
          <w:sz w:val="32"/>
          <w:szCs w:val="32"/>
        </w:rPr>
        <w:t>）</w:t>
      </w:r>
      <w:r>
        <w:rPr>
          <w:rFonts w:hint="eastAsia" w:ascii="Calibri" w:hAnsi="Calibri" w:eastAsia="仿宋_GB2312"/>
          <w:color w:val="000000"/>
          <w:sz w:val="32"/>
          <w:szCs w:val="32"/>
        </w:rPr>
        <w:t>；</w:t>
      </w:r>
      <w:r>
        <w:rPr>
          <w:rFonts w:eastAsia="仿宋_GB2312"/>
          <w:color w:val="000000"/>
          <w:sz w:val="32"/>
          <w:szCs w:val="32"/>
        </w:rPr>
        <w:t>矿山企业绿色矿山建设相关工作负责人介绍建设情况。评估组赴生产区、办公区、生活区等场所，根据评价指标逐项查看现场情况，查阅生产运营管理记录，对相关</w:t>
      </w:r>
      <w:r>
        <w:rPr>
          <w:rFonts w:hint="eastAsia" w:ascii="Calibri" w:hAnsi="Calibri" w:eastAsia="仿宋_GB2312"/>
          <w:color w:val="000000"/>
          <w:sz w:val="32"/>
          <w:szCs w:val="32"/>
        </w:rPr>
        <w:t>问题</w:t>
      </w:r>
      <w:r>
        <w:rPr>
          <w:rFonts w:eastAsia="仿宋_GB2312"/>
          <w:color w:val="000000"/>
          <w:sz w:val="32"/>
          <w:szCs w:val="32"/>
        </w:rPr>
        <w:t>开展问询，</w:t>
      </w:r>
      <w:r>
        <w:rPr>
          <w:rFonts w:hint="eastAsia" w:ascii="Calibri" w:hAnsi="Calibri" w:eastAsia="仿宋_GB2312"/>
          <w:color w:val="000000"/>
          <w:sz w:val="32"/>
          <w:szCs w:val="32"/>
        </w:rPr>
        <w:t>拍摄核查</w:t>
      </w:r>
      <w:r>
        <w:rPr>
          <w:rFonts w:eastAsia="仿宋_GB2312"/>
          <w:color w:val="000000"/>
          <w:sz w:val="32"/>
          <w:szCs w:val="32"/>
        </w:rPr>
        <w:t>照片，做好核查记录。以公正、透明的方式征询受采矿活动影响的社区等利益相关者意见</w:t>
      </w:r>
      <w:r>
        <w:rPr>
          <w:rFonts w:hint="eastAsia" w:ascii="Calibri" w:hAnsi="Calibri" w:eastAsia="仿宋_GB2312"/>
          <w:color w:val="000000"/>
          <w:sz w:val="32"/>
          <w:szCs w:val="32"/>
        </w:rPr>
        <w:t>，</w:t>
      </w:r>
      <w:r>
        <w:rPr>
          <w:rFonts w:eastAsia="仿宋_GB2312"/>
          <w:color w:val="000000"/>
          <w:sz w:val="32"/>
          <w:szCs w:val="32"/>
        </w:rPr>
        <w:t>并将现场收集掌握的信息以影像资料的形式留存登记。现场评估基准人日数不少于5人日。</w:t>
      </w:r>
    </w:p>
    <w:p w14:paraId="28A8CC44">
      <w:pPr>
        <w:ind w:firstLine="640" w:firstLineChars="200"/>
        <w:rPr>
          <w:rFonts w:eastAsia="楷体"/>
          <w:color w:val="000000"/>
          <w:sz w:val="32"/>
          <w:szCs w:val="32"/>
        </w:rPr>
      </w:pPr>
      <w:r>
        <w:rPr>
          <w:rFonts w:eastAsia="楷体"/>
          <w:color w:val="000000"/>
          <w:sz w:val="32"/>
          <w:szCs w:val="32"/>
        </w:rPr>
        <w:t>（五）编制报告</w:t>
      </w:r>
    </w:p>
    <w:p w14:paraId="50EA5103">
      <w:pPr>
        <w:ind w:firstLine="640" w:firstLineChars="200"/>
        <w:rPr>
          <w:rFonts w:hint="eastAsia" w:ascii="Calibri" w:hAnsi="Calibri" w:eastAsia="仿宋_GB2312"/>
          <w:color w:val="000000"/>
          <w:sz w:val="32"/>
          <w:szCs w:val="32"/>
        </w:rPr>
      </w:pPr>
      <w:r>
        <w:rPr>
          <w:rFonts w:eastAsia="仿宋_GB2312"/>
          <w:color w:val="000000"/>
          <w:sz w:val="32"/>
          <w:szCs w:val="32"/>
        </w:rPr>
        <w:t>评估组应综合内业评估、现场评估情况，讨论确定评估结论，总结矿山企业建设工作亮点，明确失分项及原因并提出改进建议，填写绿色矿山建设评分表</w:t>
      </w:r>
      <w:r>
        <w:rPr>
          <w:rFonts w:hint="eastAsia" w:ascii="Calibri" w:hAnsi="Calibri" w:eastAsia="仿宋_GB2312"/>
          <w:color w:val="000000"/>
          <w:sz w:val="32"/>
          <w:szCs w:val="32"/>
        </w:rPr>
        <w:t>并</w:t>
      </w:r>
      <w:r>
        <w:rPr>
          <w:rFonts w:eastAsia="仿宋_GB2312"/>
          <w:color w:val="000000"/>
          <w:sz w:val="32"/>
          <w:szCs w:val="32"/>
        </w:rPr>
        <w:t>编制第三方评估报告（</w:t>
      </w:r>
      <w:r>
        <w:rPr>
          <w:rFonts w:ascii="Calibri" w:hAnsi="Calibri" w:eastAsia="仿宋_GB2312"/>
          <w:color w:val="000000"/>
          <w:sz w:val="32"/>
          <w:szCs w:val="32"/>
        </w:rPr>
        <w:t>提</w:t>
      </w:r>
      <w:r>
        <w:rPr>
          <w:rFonts w:eastAsia="仿宋_GB2312"/>
          <w:color w:val="000000"/>
          <w:sz w:val="32"/>
          <w:szCs w:val="32"/>
        </w:rPr>
        <w:t>纲见附件</w:t>
      </w:r>
      <w:r>
        <w:rPr>
          <w:rFonts w:hint="default" w:ascii="Times New Roman" w:hAnsi="Times New Roman" w:eastAsia="仿宋_GB2312"/>
          <w:color w:val="000000"/>
          <w:sz w:val="32"/>
          <w:szCs w:val="32"/>
        </w:rPr>
        <w:t>6</w:t>
      </w:r>
      <w:r>
        <w:rPr>
          <w:rFonts w:eastAsia="仿宋_GB2312"/>
          <w:color w:val="000000"/>
          <w:sz w:val="32"/>
          <w:szCs w:val="32"/>
        </w:rPr>
        <w:t>）</w:t>
      </w:r>
      <w:r>
        <w:rPr>
          <w:rFonts w:hint="eastAsia" w:ascii="Calibri" w:hAnsi="Calibri" w:eastAsia="仿宋_GB2312"/>
          <w:color w:val="000000"/>
          <w:sz w:val="32"/>
          <w:szCs w:val="32"/>
        </w:rPr>
        <w:t>。</w:t>
      </w:r>
      <w:r>
        <w:rPr>
          <w:rFonts w:eastAsia="仿宋_GB2312"/>
          <w:color w:val="000000"/>
          <w:sz w:val="32"/>
          <w:szCs w:val="32"/>
        </w:rPr>
        <w:t>报告要充分体现评估全过程，内容简要、依据充分、结论明确</w:t>
      </w:r>
      <w:r>
        <w:rPr>
          <w:rFonts w:hint="eastAsia" w:ascii="Calibri" w:hAnsi="Calibri" w:eastAsia="仿宋_GB2312"/>
          <w:color w:val="000000"/>
          <w:sz w:val="32"/>
          <w:szCs w:val="32"/>
        </w:rPr>
        <w:t>，</w:t>
      </w:r>
      <w:r>
        <w:rPr>
          <w:rFonts w:eastAsia="仿宋_GB2312"/>
          <w:color w:val="000000"/>
          <w:sz w:val="32"/>
          <w:szCs w:val="32"/>
        </w:rPr>
        <w:t>对重点评估内容，要阐述评估过程和评判依据，对影响评估结论的关键指标评分要予以特别说明。</w:t>
      </w:r>
      <w:r>
        <w:rPr>
          <w:rFonts w:hint="eastAsia" w:ascii="Calibri" w:hAnsi="Calibri" w:eastAsia="仿宋_GB2312"/>
          <w:color w:val="000000"/>
          <w:sz w:val="32"/>
          <w:szCs w:val="32"/>
        </w:rPr>
        <w:t>绿色矿山建设评分表、评估组专家名单、评估会议签到表、会议记录、实地核查记录、实景会议及现场核查影像资料等应作为报告附件。</w:t>
      </w:r>
    </w:p>
    <w:p w14:paraId="3A26C119">
      <w:pPr>
        <w:ind w:firstLine="640" w:firstLineChars="200"/>
        <w:rPr>
          <w:rFonts w:eastAsia="楷体"/>
          <w:color w:val="000000"/>
          <w:sz w:val="32"/>
          <w:szCs w:val="32"/>
        </w:rPr>
      </w:pPr>
      <w:r>
        <w:rPr>
          <w:rFonts w:hint="eastAsia" w:ascii="Calibri" w:hAnsi="Calibri" w:eastAsia="楷体"/>
          <w:color w:val="000000"/>
          <w:sz w:val="32"/>
          <w:szCs w:val="32"/>
        </w:rPr>
        <w:t>（六）</w:t>
      </w:r>
      <w:r>
        <w:rPr>
          <w:rFonts w:eastAsia="楷体"/>
          <w:color w:val="000000"/>
          <w:sz w:val="32"/>
          <w:szCs w:val="32"/>
        </w:rPr>
        <w:t>提交成果</w:t>
      </w:r>
    </w:p>
    <w:p w14:paraId="5B3CAEEE">
      <w:pPr>
        <w:ind w:firstLine="640" w:firstLineChars="200"/>
        <w:rPr>
          <w:rFonts w:eastAsia="仿宋_GB2312"/>
          <w:color w:val="000000"/>
          <w:sz w:val="32"/>
          <w:szCs w:val="32"/>
        </w:rPr>
      </w:pPr>
      <w:r>
        <w:rPr>
          <w:rFonts w:eastAsia="仿宋_GB2312"/>
          <w:color w:val="000000"/>
          <w:sz w:val="32"/>
          <w:szCs w:val="32"/>
        </w:rPr>
        <w:t>第三方评估机构在合同</w:t>
      </w:r>
      <w:r>
        <w:rPr>
          <w:rFonts w:hint="eastAsia" w:eastAsia="仿宋_GB2312"/>
          <w:color w:val="000000"/>
          <w:sz w:val="32"/>
          <w:szCs w:val="32"/>
        </w:rPr>
        <w:t>或协议</w:t>
      </w:r>
      <w:r>
        <w:rPr>
          <w:rFonts w:eastAsia="仿宋_GB2312"/>
          <w:color w:val="000000"/>
          <w:sz w:val="32"/>
          <w:szCs w:val="32"/>
        </w:rPr>
        <w:t>要求时限内</w:t>
      </w:r>
      <w:r>
        <w:rPr>
          <w:rFonts w:hint="eastAsia" w:eastAsia="仿宋_GB2312"/>
          <w:color w:val="000000"/>
          <w:sz w:val="32"/>
          <w:szCs w:val="32"/>
        </w:rPr>
        <w:t>完成第三方评估报告，并</w:t>
      </w:r>
      <w:r>
        <w:rPr>
          <w:rFonts w:eastAsia="仿宋_GB2312"/>
          <w:color w:val="000000"/>
          <w:sz w:val="32"/>
          <w:szCs w:val="32"/>
        </w:rPr>
        <w:t>向</w:t>
      </w:r>
      <w:r>
        <w:rPr>
          <w:rFonts w:hint="eastAsia" w:eastAsia="仿宋_GB2312"/>
          <w:color w:val="000000"/>
          <w:sz w:val="32"/>
          <w:szCs w:val="32"/>
        </w:rPr>
        <w:t>省自然资源厅</w:t>
      </w:r>
      <w:r>
        <w:rPr>
          <w:rFonts w:eastAsia="仿宋_GB2312"/>
          <w:color w:val="000000"/>
          <w:sz w:val="32"/>
          <w:szCs w:val="32"/>
        </w:rPr>
        <w:t>提交第三方评估报告（盖章，含相关附件）。</w:t>
      </w:r>
    </w:p>
    <w:p w14:paraId="04DEA5AC">
      <w:pPr>
        <w:ind w:firstLine="640" w:firstLineChars="200"/>
        <w:rPr>
          <w:rFonts w:eastAsia="仿宋_GB2312"/>
          <w:color w:val="000000"/>
          <w:sz w:val="32"/>
          <w:szCs w:val="32"/>
        </w:rPr>
      </w:pPr>
      <w:r>
        <w:rPr>
          <w:rFonts w:eastAsia="黑体"/>
          <w:color w:val="000000"/>
          <w:kern w:val="0"/>
          <w:sz w:val="32"/>
          <w:szCs w:val="32"/>
        </w:rPr>
        <w:t xml:space="preserve">第七条 </w:t>
      </w:r>
      <w:r>
        <w:rPr>
          <w:rFonts w:eastAsia="仿宋_GB2312"/>
          <w:color w:val="000000"/>
          <w:sz w:val="32"/>
          <w:szCs w:val="32"/>
        </w:rPr>
        <w:t>第三方评估机构应健全完善评估档案管理制度。评估报告出具后，应及时将被评估矿山的申报材料及相关证明文件、评估过程中采集的数据资料及评估报告归档保存，保存时间不少于5年。</w:t>
      </w:r>
    </w:p>
    <w:p w14:paraId="61AB49ED">
      <w:pPr>
        <w:ind w:firstLine="640" w:firstLineChars="200"/>
        <w:rPr>
          <w:rFonts w:eastAsia="仿宋_GB2312"/>
          <w:color w:val="000000"/>
          <w:sz w:val="32"/>
          <w:szCs w:val="32"/>
        </w:rPr>
      </w:pPr>
      <w:r>
        <w:rPr>
          <w:rFonts w:eastAsia="黑体"/>
          <w:color w:val="000000"/>
          <w:kern w:val="0"/>
          <w:sz w:val="32"/>
          <w:szCs w:val="32"/>
        </w:rPr>
        <w:t xml:space="preserve">第八条 </w:t>
      </w:r>
      <w:r>
        <w:rPr>
          <w:rFonts w:eastAsia="仿宋_GB2312"/>
          <w:color w:val="000000"/>
          <w:sz w:val="32"/>
          <w:szCs w:val="32"/>
        </w:rPr>
        <w:t>第三方评估机构应严格落实国家保密相关规定，切实做好评估保密工作。</w:t>
      </w:r>
    </w:p>
    <w:p w14:paraId="066C7FA7">
      <w:pPr>
        <w:keepNext/>
        <w:keepLines/>
        <w:spacing w:before="312" w:beforeLines="100" w:after="312" w:afterLines="100" w:line="240" w:lineRule="auto"/>
        <w:jc w:val="center"/>
        <w:outlineLvl w:val="0"/>
        <w:rPr>
          <w:rFonts w:eastAsia="黑体"/>
          <w:color w:val="000000"/>
          <w:kern w:val="0"/>
          <w:sz w:val="32"/>
          <w:szCs w:val="32"/>
        </w:rPr>
      </w:pPr>
      <w:r>
        <w:rPr>
          <w:rFonts w:eastAsia="黑体"/>
          <w:color w:val="000000"/>
          <w:kern w:val="0"/>
          <w:sz w:val="32"/>
          <w:szCs w:val="32"/>
        </w:rPr>
        <w:t>第四章  监督管理</w:t>
      </w:r>
    </w:p>
    <w:p w14:paraId="341DE00B">
      <w:pPr>
        <w:autoSpaceDE w:val="0"/>
        <w:autoSpaceDN w:val="0"/>
        <w:adjustRightInd w:val="0"/>
        <w:ind w:firstLine="640" w:firstLineChars="200"/>
        <w:rPr>
          <w:rFonts w:eastAsia="仿宋_GB2312"/>
          <w:color w:val="000000"/>
          <w:sz w:val="32"/>
          <w:szCs w:val="32"/>
        </w:rPr>
      </w:pPr>
      <w:r>
        <w:rPr>
          <w:rFonts w:eastAsia="黑体"/>
          <w:color w:val="000000"/>
          <w:sz w:val="32"/>
          <w:szCs w:val="32"/>
        </w:rPr>
        <w:t>第九条</w:t>
      </w:r>
      <w:r>
        <w:rPr>
          <w:rFonts w:eastAsia="仿宋_GB2312"/>
          <w:color w:val="000000"/>
          <w:sz w:val="32"/>
          <w:szCs w:val="32"/>
        </w:rPr>
        <w:t xml:space="preserve"> 省自然资源厅按照</w:t>
      </w:r>
      <w:r>
        <w:rPr>
          <w:rFonts w:hint="eastAsia" w:eastAsia="仿宋_GB2312"/>
          <w:color w:val="000000"/>
          <w:sz w:val="32"/>
          <w:szCs w:val="32"/>
        </w:rPr>
        <w:t>“</w:t>
      </w:r>
      <w:r>
        <w:rPr>
          <w:rFonts w:eastAsia="仿宋_GB2312"/>
          <w:color w:val="000000"/>
          <w:sz w:val="32"/>
          <w:szCs w:val="32"/>
        </w:rPr>
        <w:t>双随机、一公开</w:t>
      </w:r>
      <w:r>
        <w:rPr>
          <w:rFonts w:hint="eastAsia" w:eastAsia="仿宋_GB2312"/>
          <w:color w:val="000000"/>
          <w:sz w:val="32"/>
          <w:szCs w:val="32"/>
        </w:rPr>
        <w:t>”</w:t>
      </w:r>
      <w:r>
        <w:rPr>
          <w:rFonts w:eastAsia="仿宋_GB2312"/>
          <w:color w:val="000000"/>
          <w:sz w:val="32"/>
          <w:szCs w:val="32"/>
        </w:rPr>
        <w:t>的原则，不定期组织对第三方评估机构进行监督检查，第三方评估机构应积极予以配合。任何单位及个人均应在掌握事实依据的前提下就第三方评估机构违法违规评估行为向省自然资源厅</w:t>
      </w:r>
      <w:r>
        <w:rPr>
          <w:rFonts w:hint="eastAsia" w:ascii="Calibri" w:hAnsi="Calibri" w:eastAsia="仿宋_GB2312"/>
          <w:color w:val="000000"/>
          <w:sz w:val="32"/>
          <w:szCs w:val="32"/>
        </w:rPr>
        <w:t>实名</w:t>
      </w:r>
      <w:r>
        <w:rPr>
          <w:rFonts w:eastAsia="仿宋_GB2312"/>
          <w:color w:val="000000"/>
          <w:sz w:val="32"/>
          <w:szCs w:val="32"/>
        </w:rPr>
        <w:t>举报</w:t>
      </w:r>
      <w:r>
        <w:rPr>
          <w:rFonts w:hint="eastAsia" w:ascii="Calibri" w:hAnsi="Calibri" w:eastAsia="仿宋_GB2312"/>
          <w:color w:val="000000"/>
          <w:sz w:val="32"/>
          <w:szCs w:val="32"/>
        </w:rPr>
        <w:t>或</w:t>
      </w:r>
      <w:r>
        <w:rPr>
          <w:rFonts w:eastAsia="仿宋_GB2312"/>
          <w:color w:val="000000"/>
          <w:sz w:val="32"/>
          <w:szCs w:val="32"/>
        </w:rPr>
        <w:t>投诉。省自然资源厅将依法进行核实处理，</w:t>
      </w:r>
      <w:r>
        <w:rPr>
          <w:rFonts w:hint="eastAsia" w:ascii="Calibri" w:hAnsi="Calibri" w:eastAsia="仿宋_GB2312"/>
          <w:color w:val="000000"/>
          <w:sz w:val="32"/>
          <w:szCs w:val="32"/>
        </w:rPr>
        <w:t>被举报或投诉的评估机构可针对事件进行说明。</w:t>
      </w:r>
      <w:r>
        <w:rPr>
          <w:rFonts w:eastAsia="仿宋_GB2312"/>
          <w:color w:val="000000"/>
          <w:sz w:val="32"/>
          <w:szCs w:val="32"/>
        </w:rPr>
        <w:t>省自然资源厅</w:t>
      </w:r>
      <w:r>
        <w:rPr>
          <w:rFonts w:hint="eastAsia" w:ascii="Calibri" w:hAnsi="Calibri" w:eastAsia="仿宋_GB2312"/>
          <w:color w:val="000000"/>
          <w:sz w:val="32"/>
          <w:szCs w:val="32"/>
        </w:rPr>
        <w:t>公示调查结果和处理意见</w:t>
      </w:r>
      <w:r>
        <w:rPr>
          <w:rFonts w:eastAsia="仿宋_GB2312"/>
          <w:color w:val="000000"/>
          <w:sz w:val="32"/>
          <w:szCs w:val="32"/>
        </w:rPr>
        <w:t>。</w:t>
      </w:r>
    </w:p>
    <w:p w14:paraId="572F8D24">
      <w:pPr>
        <w:autoSpaceDE w:val="0"/>
        <w:autoSpaceDN w:val="0"/>
        <w:adjustRightInd w:val="0"/>
        <w:ind w:firstLine="640" w:firstLineChars="200"/>
        <w:rPr>
          <w:rFonts w:eastAsia="仿宋_GB2312"/>
          <w:color w:val="000000"/>
          <w:sz w:val="32"/>
          <w:szCs w:val="32"/>
        </w:rPr>
      </w:pPr>
      <w:r>
        <w:rPr>
          <w:rFonts w:eastAsia="黑体"/>
          <w:color w:val="000000"/>
          <w:kern w:val="0"/>
          <w:sz w:val="32"/>
          <w:szCs w:val="32"/>
        </w:rPr>
        <w:t>第十条</w:t>
      </w:r>
      <w:r>
        <w:rPr>
          <w:rFonts w:eastAsia="仿宋_GB2312"/>
          <w:color w:val="000000"/>
          <w:kern w:val="0"/>
          <w:sz w:val="32"/>
          <w:szCs w:val="32"/>
        </w:rPr>
        <w:t xml:space="preserve">  </w:t>
      </w:r>
      <w:r>
        <w:rPr>
          <w:rFonts w:eastAsia="仿宋_GB2312"/>
          <w:color w:val="000000"/>
          <w:sz w:val="32"/>
          <w:szCs w:val="32"/>
        </w:rPr>
        <w:t>第三方评估机构应保证评估工作的客观独立性，不得承担与本机构存在利益关系</w:t>
      </w:r>
      <w:r>
        <w:rPr>
          <w:rFonts w:hint="eastAsia" w:ascii="Calibri" w:hAnsi="Calibri" w:eastAsia="仿宋_GB2312"/>
          <w:color w:val="000000"/>
          <w:sz w:val="32"/>
          <w:szCs w:val="32"/>
        </w:rPr>
        <w:t>或</w:t>
      </w:r>
      <w:r>
        <w:rPr>
          <w:rFonts w:eastAsia="仿宋_GB2312"/>
          <w:color w:val="000000"/>
          <w:sz w:val="32"/>
          <w:szCs w:val="32"/>
        </w:rPr>
        <w:t>业务往来的矿山企业的评估工作。</w:t>
      </w:r>
    </w:p>
    <w:p w14:paraId="0A2956B9">
      <w:pPr>
        <w:autoSpaceDE w:val="0"/>
        <w:autoSpaceDN w:val="0"/>
        <w:adjustRightInd w:val="0"/>
        <w:ind w:firstLine="640" w:firstLineChars="200"/>
        <w:rPr>
          <w:rFonts w:eastAsia="仿宋_GB2312"/>
          <w:color w:val="000000"/>
          <w:sz w:val="32"/>
          <w:szCs w:val="32"/>
        </w:rPr>
      </w:pPr>
      <w:r>
        <w:rPr>
          <w:rFonts w:eastAsia="黑体"/>
          <w:color w:val="000000"/>
          <w:kern w:val="0"/>
          <w:sz w:val="32"/>
          <w:szCs w:val="32"/>
        </w:rPr>
        <w:t>第十一条</w:t>
      </w:r>
      <w:r>
        <w:rPr>
          <w:rFonts w:eastAsia="仿宋_GB2312"/>
          <w:color w:val="000000"/>
          <w:kern w:val="0"/>
          <w:sz w:val="32"/>
          <w:szCs w:val="32"/>
        </w:rPr>
        <w:t xml:space="preserve"> </w:t>
      </w:r>
      <w:r>
        <w:rPr>
          <w:rFonts w:eastAsia="仿宋_GB2312"/>
          <w:color w:val="000000"/>
          <w:sz w:val="32"/>
          <w:szCs w:val="32"/>
        </w:rPr>
        <w:t>评估组成员要有良好的</w:t>
      </w:r>
      <w:r>
        <w:rPr>
          <w:rFonts w:hint="eastAsia" w:ascii="Calibri" w:hAnsi="Calibri" w:eastAsia="仿宋_GB2312"/>
          <w:color w:val="000000"/>
          <w:sz w:val="32"/>
          <w:szCs w:val="32"/>
        </w:rPr>
        <w:t>职业</w:t>
      </w:r>
      <w:r>
        <w:rPr>
          <w:rFonts w:eastAsia="仿宋_GB2312"/>
          <w:color w:val="000000"/>
          <w:sz w:val="32"/>
          <w:szCs w:val="32"/>
        </w:rPr>
        <w:t>道德和业务素养，不得</w:t>
      </w:r>
      <w:r>
        <w:rPr>
          <w:rFonts w:hint="eastAsia" w:ascii="Calibri" w:hAnsi="Calibri" w:eastAsia="仿宋_GB2312"/>
          <w:color w:val="000000"/>
          <w:sz w:val="32"/>
          <w:szCs w:val="32"/>
        </w:rPr>
        <w:t>以任何形式收取矿山企业任何费用和利用评估谋取不正当利益</w:t>
      </w:r>
      <w:r>
        <w:rPr>
          <w:rFonts w:eastAsia="仿宋_GB2312"/>
          <w:color w:val="000000"/>
          <w:sz w:val="32"/>
          <w:szCs w:val="32"/>
        </w:rPr>
        <w:t>。</w:t>
      </w:r>
    </w:p>
    <w:p w14:paraId="036C7AF1">
      <w:pPr>
        <w:autoSpaceDE w:val="0"/>
        <w:autoSpaceDN w:val="0"/>
        <w:adjustRightInd w:val="0"/>
        <w:ind w:firstLine="640" w:firstLineChars="200"/>
        <w:rPr>
          <w:rFonts w:eastAsia="仿宋_GB2312"/>
          <w:color w:val="000000"/>
          <w:sz w:val="32"/>
          <w:szCs w:val="32"/>
        </w:rPr>
      </w:pPr>
      <w:r>
        <w:rPr>
          <w:rFonts w:eastAsia="黑体"/>
          <w:color w:val="000000"/>
          <w:sz w:val="32"/>
          <w:szCs w:val="32"/>
        </w:rPr>
        <w:t>第十二条</w:t>
      </w:r>
      <w:r>
        <w:rPr>
          <w:rFonts w:eastAsia="仿宋_GB2312"/>
          <w:color w:val="000000"/>
          <w:sz w:val="32"/>
          <w:szCs w:val="32"/>
        </w:rPr>
        <w:t xml:space="preserve"> 第三方评估机构</w:t>
      </w:r>
      <w:r>
        <w:rPr>
          <w:rFonts w:hint="eastAsia" w:ascii="Calibri" w:hAnsi="Calibri" w:eastAsia="仿宋_GB2312"/>
          <w:color w:val="000000"/>
          <w:sz w:val="32"/>
          <w:szCs w:val="32"/>
        </w:rPr>
        <w:t>和评估人员</w:t>
      </w:r>
      <w:r>
        <w:rPr>
          <w:rFonts w:eastAsia="仿宋_GB2312"/>
          <w:color w:val="000000"/>
          <w:sz w:val="32"/>
          <w:szCs w:val="32"/>
        </w:rPr>
        <w:t>存在下列情形之一的，由省自然资源厅将其从湖南省绿色矿山第三方评估机构管理库中除名并</w:t>
      </w:r>
      <w:r>
        <w:rPr>
          <w:rFonts w:hint="eastAsia" w:ascii="Calibri" w:hAnsi="Calibri" w:eastAsia="仿宋_GB2312"/>
          <w:color w:val="000000"/>
          <w:sz w:val="32"/>
          <w:szCs w:val="32"/>
        </w:rPr>
        <w:t>通报纳入黑名单</w:t>
      </w:r>
      <w:r>
        <w:rPr>
          <w:rFonts w:eastAsia="仿宋_GB2312"/>
          <w:color w:val="000000"/>
          <w:sz w:val="32"/>
          <w:szCs w:val="32"/>
        </w:rPr>
        <w:t>，三年内</w:t>
      </w:r>
      <w:r>
        <w:rPr>
          <w:rFonts w:hint="eastAsia" w:ascii="Calibri" w:hAnsi="Calibri" w:eastAsia="仿宋_GB2312"/>
          <w:color w:val="000000"/>
          <w:sz w:val="32"/>
          <w:szCs w:val="32"/>
        </w:rPr>
        <w:t>不再采信其绿色矿山评估服务</w:t>
      </w:r>
      <w:r>
        <w:rPr>
          <w:rFonts w:eastAsia="仿宋_GB2312"/>
          <w:color w:val="000000"/>
          <w:sz w:val="32"/>
          <w:szCs w:val="32"/>
        </w:rPr>
        <w:t>：</w:t>
      </w:r>
    </w:p>
    <w:p w14:paraId="37C8A3AB">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（一）未经批准擅自将所承担的评估工作转让、外包的；</w:t>
      </w:r>
    </w:p>
    <w:p w14:paraId="6D7FC9C2">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（二）未经被评估矿山批准，擅自将所评估矿山的文件和资料提供给他人，</w:t>
      </w:r>
      <w:r>
        <w:rPr>
          <w:rFonts w:hint="eastAsia" w:ascii="Calibri" w:hAnsi="Calibri" w:eastAsia="仿宋_GB2312"/>
          <w:color w:val="000000"/>
          <w:sz w:val="32"/>
          <w:szCs w:val="32"/>
        </w:rPr>
        <w:t>泄露矿山企业秘密，</w:t>
      </w:r>
      <w:r>
        <w:rPr>
          <w:rFonts w:eastAsia="仿宋_GB2312"/>
          <w:color w:val="000000"/>
          <w:sz w:val="32"/>
          <w:szCs w:val="32"/>
        </w:rPr>
        <w:t>或利用非公开技术秘密为本机构或他人谋取私利的；</w:t>
      </w:r>
    </w:p>
    <w:p w14:paraId="01A6F817">
      <w:pPr>
        <w:autoSpaceDE w:val="0"/>
        <w:autoSpaceDN w:val="0"/>
        <w:adjustRightInd w:val="0"/>
        <w:ind w:firstLine="640" w:firstLineChars="200"/>
        <w:rPr>
          <w:rFonts w:eastAsia="仿宋_GB2312"/>
          <w:color w:val="000000"/>
          <w:spacing w:val="-8"/>
          <w:sz w:val="32"/>
          <w:szCs w:val="32"/>
        </w:rPr>
      </w:pPr>
      <w:r>
        <w:rPr>
          <w:rFonts w:eastAsia="仿宋_GB2312"/>
          <w:color w:val="000000"/>
          <w:sz w:val="32"/>
          <w:szCs w:val="32"/>
        </w:rPr>
        <w:t>（三）</w:t>
      </w:r>
      <w:r>
        <w:rPr>
          <w:rFonts w:eastAsia="仿宋_GB2312"/>
          <w:color w:val="000000"/>
          <w:spacing w:val="-8"/>
          <w:sz w:val="32"/>
          <w:szCs w:val="32"/>
        </w:rPr>
        <w:t>出现</w:t>
      </w:r>
      <w:r>
        <w:rPr>
          <w:rFonts w:hint="eastAsia" w:ascii="Calibri" w:hAnsi="Calibri" w:eastAsia="仿宋_GB2312"/>
          <w:color w:val="000000"/>
          <w:spacing w:val="-8"/>
          <w:sz w:val="32"/>
          <w:szCs w:val="32"/>
        </w:rPr>
        <w:t>串通企业弄虚作假、评估结论严重失实等违规行为的</w:t>
      </w:r>
      <w:r>
        <w:rPr>
          <w:rFonts w:eastAsia="仿宋_GB2312"/>
          <w:color w:val="000000"/>
          <w:spacing w:val="-8"/>
          <w:sz w:val="32"/>
          <w:szCs w:val="32"/>
        </w:rPr>
        <w:t>。</w:t>
      </w:r>
    </w:p>
    <w:p w14:paraId="310A4C97">
      <w:pPr>
        <w:keepNext/>
        <w:keepLines/>
        <w:spacing w:before="312" w:beforeLines="100" w:after="312" w:afterLines="100" w:line="240" w:lineRule="auto"/>
        <w:jc w:val="center"/>
        <w:outlineLvl w:val="0"/>
        <w:rPr>
          <w:rFonts w:eastAsia="黑体"/>
          <w:color w:val="000000"/>
          <w:kern w:val="0"/>
          <w:sz w:val="32"/>
          <w:szCs w:val="32"/>
        </w:rPr>
      </w:pPr>
      <w:r>
        <w:rPr>
          <w:rFonts w:eastAsia="黑体"/>
          <w:color w:val="000000"/>
          <w:kern w:val="0"/>
          <w:sz w:val="32"/>
          <w:szCs w:val="32"/>
        </w:rPr>
        <w:t>第五章  附则</w:t>
      </w:r>
    </w:p>
    <w:p w14:paraId="7C68E089">
      <w:pPr>
        <w:autoSpaceDE w:val="0"/>
        <w:autoSpaceDN w:val="0"/>
        <w:adjustRightInd w:val="0"/>
        <w:ind w:firstLine="640" w:firstLineChars="200"/>
        <w:rPr>
          <w:rFonts w:eastAsia="仿宋_GB2312"/>
          <w:color w:val="000000"/>
          <w:sz w:val="32"/>
          <w:szCs w:val="32"/>
        </w:rPr>
      </w:pPr>
      <w:r>
        <w:rPr>
          <w:rFonts w:eastAsia="黑体"/>
          <w:color w:val="000000"/>
          <w:kern w:val="0"/>
          <w:sz w:val="32"/>
          <w:szCs w:val="32"/>
        </w:rPr>
        <w:t xml:space="preserve">第十三条  </w:t>
      </w:r>
      <w:r>
        <w:rPr>
          <w:rFonts w:ascii="Calibri" w:hAnsi="Calibri" w:eastAsia="仿宋_GB2312"/>
          <w:color w:val="000000"/>
          <w:sz w:val="32"/>
          <w:szCs w:val="32"/>
        </w:rPr>
        <w:t>本办法最终解释权归省自然资源厅所有</w:t>
      </w:r>
      <w:r>
        <w:rPr>
          <w:rFonts w:eastAsia="仿宋_GB2312"/>
          <w:color w:val="000000"/>
          <w:sz w:val="32"/>
          <w:szCs w:val="32"/>
        </w:rPr>
        <w:t>。</w:t>
      </w:r>
    </w:p>
    <w:p w14:paraId="356EC01E">
      <w:pPr>
        <w:autoSpaceDE w:val="0"/>
        <w:autoSpaceDN w:val="0"/>
        <w:adjustRightInd w:val="0"/>
        <w:ind w:firstLine="640" w:firstLineChars="200"/>
        <w:rPr>
          <w:rFonts w:eastAsia="仿宋_GB2312"/>
          <w:color w:val="000000"/>
          <w:spacing w:val="-4"/>
          <w:sz w:val="32"/>
          <w:szCs w:val="32"/>
        </w:rPr>
      </w:pPr>
      <w:r>
        <w:rPr>
          <w:rFonts w:eastAsia="黑体"/>
          <w:color w:val="000000"/>
          <w:kern w:val="0"/>
          <w:sz w:val="32"/>
          <w:szCs w:val="32"/>
        </w:rPr>
        <w:t>第十四条</w:t>
      </w:r>
      <w:r>
        <w:rPr>
          <w:rFonts w:eastAsia="仿宋_GB2312"/>
          <w:color w:val="000000"/>
          <w:kern w:val="0"/>
          <w:sz w:val="32"/>
          <w:szCs w:val="32"/>
        </w:rPr>
        <w:t xml:space="preserve"> </w:t>
      </w:r>
      <w:r>
        <w:rPr>
          <w:rFonts w:eastAsia="仿宋_GB2312"/>
          <w:color w:val="000000"/>
          <w:sz w:val="32"/>
          <w:szCs w:val="32"/>
        </w:rPr>
        <w:t xml:space="preserve"> </w:t>
      </w:r>
      <w:r>
        <w:rPr>
          <w:rFonts w:eastAsia="仿宋_GB2312"/>
          <w:color w:val="000000"/>
          <w:spacing w:val="-4"/>
          <w:sz w:val="32"/>
          <w:szCs w:val="32"/>
        </w:rPr>
        <w:t>本办法自发布之日起施行，有效期至20</w:t>
      </w:r>
      <w:r>
        <w:rPr>
          <w:rFonts w:hint="eastAsia" w:ascii="Calibri" w:hAnsi="Calibri" w:eastAsia="仿宋_GB2312"/>
          <w:color w:val="000000"/>
          <w:spacing w:val="-4"/>
          <w:sz w:val="32"/>
          <w:szCs w:val="32"/>
        </w:rPr>
        <w:t>30</w:t>
      </w:r>
      <w:r>
        <w:rPr>
          <w:rFonts w:eastAsia="仿宋_GB2312"/>
          <w:color w:val="000000"/>
          <w:spacing w:val="-4"/>
          <w:sz w:val="32"/>
          <w:szCs w:val="32"/>
        </w:rPr>
        <w:t>年。</w:t>
      </w:r>
    </w:p>
    <w:p w14:paraId="3F211BF8">
      <w:pPr>
        <w:autoSpaceDE w:val="0"/>
        <w:autoSpaceDN w:val="0"/>
        <w:adjustRightInd w:val="0"/>
        <w:ind w:firstLine="640" w:firstLineChars="200"/>
        <w:rPr>
          <w:rFonts w:eastAsia="仿宋_GB2312"/>
          <w:color w:val="000000"/>
          <w:kern w:val="0"/>
          <w:sz w:val="32"/>
          <w:szCs w:val="32"/>
          <w:highlight w:val="yellow"/>
        </w:rPr>
      </w:pPr>
    </w:p>
    <w:p w14:paraId="67618AAC">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附件：湖南省绿色矿山第三方评估机构申报表</w:t>
      </w:r>
    </w:p>
    <w:p w14:paraId="281DF2F2">
      <w:pPr>
        <w:jc w:val="left"/>
        <w:rPr>
          <w:rFonts w:eastAsia="仿宋_GB2312"/>
          <w:color w:val="000000"/>
          <w:kern w:val="0"/>
          <w:sz w:val="32"/>
          <w:szCs w:val="32"/>
          <w:highlight w:val="yellow"/>
        </w:rPr>
      </w:pPr>
    </w:p>
    <w:p w14:paraId="4BDA7917">
      <w:pPr>
        <w:rPr>
          <w:rFonts w:hint="eastAsia" w:ascii="黑体" w:hAnsi="黑体" w:eastAsia="黑体" w:cs="黑体"/>
          <w:color w:val="000000"/>
          <w:sz w:val="32"/>
          <w:szCs w:val="32"/>
        </w:rPr>
      </w:pPr>
      <w:r>
        <w:rPr>
          <w:rFonts w:eastAsia="仿宋_GB2312"/>
          <w:color w:val="000000"/>
          <w:sz w:val="32"/>
          <w:szCs w:val="32"/>
          <w:highlight w:val="yellow"/>
        </w:rPr>
        <w:br w:type="page"/>
      </w:r>
      <w:r>
        <w:rPr>
          <w:rFonts w:hint="eastAsia" w:ascii="黑体" w:hAnsi="黑体" w:eastAsia="黑体" w:cs="黑体"/>
          <w:color w:val="000000"/>
          <w:sz w:val="32"/>
          <w:szCs w:val="32"/>
        </w:rPr>
        <w:t>附件</w:t>
      </w:r>
    </w:p>
    <w:p w14:paraId="3EE6778D">
      <w:pPr>
        <w:spacing w:before="156" w:beforeLines="50" w:after="156" w:afterLines="50"/>
        <w:jc w:val="center"/>
        <w:rPr>
          <w:rFonts w:eastAsia="方正小标宋_GBK"/>
          <w:color w:val="000000"/>
          <w:sz w:val="44"/>
          <w:szCs w:val="44"/>
        </w:rPr>
      </w:pPr>
      <w:r>
        <w:rPr>
          <w:rFonts w:hint="eastAsia" w:ascii="方正小标宋简体" w:hAnsi="方正小标宋简体" w:eastAsia="方正小标宋简体" w:cs="方正小标宋简体"/>
          <w:color w:val="000000"/>
          <w:sz w:val="44"/>
          <w:szCs w:val="44"/>
        </w:rPr>
        <w:t>湖南省绿色矿山第三方评估机构申报表</w:t>
      </w:r>
    </w:p>
    <w:tbl>
      <w:tblPr>
        <w:tblStyle w:val="5"/>
        <w:tblW w:w="99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9"/>
        <w:gridCol w:w="454"/>
        <w:gridCol w:w="255"/>
        <w:gridCol w:w="84"/>
        <w:gridCol w:w="1050"/>
        <w:gridCol w:w="35"/>
        <w:gridCol w:w="1424"/>
        <w:gridCol w:w="951"/>
        <w:gridCol w:w="472"/>
        <w:gridCol w:w="1370"/>
        <w:gridCol w:w="54"/>
        <w:gridCol w:w="303"/>
        <w:gridCol w:w="1121"/>
        <w:gridCol w:w="223"/>
        <w:gridCol w:w="1201"/>
      </w:tblGrid>
      <w:tr w14:paraId="1A6B1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762" w:type="dxa"/>
            <w:gridSpan w:val="4"/>
            <w:tcBorders>
              <w:top w:val="single" w:color="auto" w:sz="12" w:space="0"/>
            </w:tcBorders>
            <w:shd w:val="clear" w:color="auto" w:fill="FFFFFF"/>
            <w:noWrap w:val="0"/>
            <w:vAlign w:val="center"/>
          </w:tcPr>
          <w:p w14:paraId="0FA164C8">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单位名称</w:t>
            </w:r>
          </w:p>
        </w:tc>
        <w:tc>
          <w:tcPr>
            <w:tcW w:w="8204" w:type="dxa"/>
            <w:gridSpan w:val="11"/>
            <w:tcBorders>
              <w:top w:val="single" w:color="auto" w:sz="12" w:space="0"/>
            </w:tcBorders>
            <w:shd w:val="clear" w:color="auto" w:fill="FFFFFF"/>
            <w:noWrap w:val="0"/>
            <w:vAlign w:val="center"/>
          </w:tcPr>
          <w:p w14:paraId="3BF74036">
            <w:pPr>
              <w:widowControl w:val="0"/>
              <w:ind w:firstLine="6300" w:firstLineChars="3000"/>
              <w:jc w:val="both"/>
              <w:rPr>
                <w:rFonts w:eastAsia="宋体"/>
                <w:color w:val="000000"/>
                <w:kern w:val="2"/>
                <w:sz w:val="21"/>
                <w:szCs w:val="24"/>
                <w:lang w:val="en-US" w:eastAsia="zh-CN" w:bidi="ar-SA"/>
              </w:rPr>
            </w:pPr>
            <w:r>
              <w:rPr>
                <w:rFonts w:eastAsia="宋体"/>
                <w:color w:val="000000"/>
                <w:kern w:val="2"/>
                <w:sz w:val="21"/>
                <w:szCs w:val="24"/>
                <w:lang w:val="en-US" w:eastAsia="zh-CN" w:bidi="ar-SA"/>
              </w:rPr>
              <w:t>（盖章）</w:t>
            </w:r>
          </w:p>
        </w:tc>
      </w:tr>
      <w:tr w14:paraId="33324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762" w:type="dxa"/>
            <w:gridSpan w:val="4"/>
            <w:shd w:val="clear" w:color="auto" w:fill="FFFFFF"/>
            <w:noWrap w:val="0"/>
            <w:vAlign w:val="center"/>
          </w:tcPr>
          <w:p w14:paraId="690A6A1F">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单位性质</w:t>
            </w:r>
          </w:p>
        </w:tc>
        <w:tc>
          <w:tcPr>
            <w:tcW w:w="3460" w:type="dxa"/>
            <w:gridSpan w:val="4"/>
            <w:shd w:val="clear" w:color="auto" w:fill="FFFFFF"/>
            <w:noWrap w:val="0"/>
            <w:vAlign w:val="center"/>
          </w:tcPr>
          <w:p w14:paraId="4C214362">
            <w:pPr>
              <w:widowControl w:val="0"/>
              <w:jc w:val="both"/>
              <w:rPr>
                <w:rFonts w:eastAsia="宋体"/>
                <w:color w:val="000000"/>
                <w:kern w:val="2"/>
                <w:sz w:val="21"/>
                <w:szCs w:val="24"/>
                <w:lang w:val="en-US" w:eastAsia="zh-CN" w:bidi="ar-SA"/>
              </w:rPr>
            </w:pPr>
          </w:p>
        </w:tc>
        <w:tc>
          <w:tcPr>
            <w:tcW w:w="2199" w:type="dxa"/>
            <w:gridSpan w:val="4"/>
            <w:shd w:val="clear" w:color="auto" w:fill="FFFFFF"/>
            <w:noWrap w:val="0"/>
            <w:vAlign w:val="center"/>
          </w:tcPr>
          <w:p w14:paraId="0CFF211D">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统一社会信用代码（组织机构代码）</w:t>
            </w:r>
          </w:p>
        </w:tc>
        <w:tc>
          <w:tcPr>
            <w:tcW w:w="2545" w:type="dxa"/>
            <w:gridSpan w:val="3"/>
            <w:shd w:val="clear" w:color="auto" w:fill="FFFFFF"/>
            <w:noWrap w:val="0"/>
            <w:vAlign w:val="center"/>
          </w:tcPr>
          <w:p w14:paraId="02E1CEE6">
            <w:pPr>
              <w:widowControl w:val="0"/>
              <w:jc w:val="both"/>
              <w:rPr>
                <w:rFonts w:eastAsia="宋体"/>
                <w:color w:val="000000"/>
                <w:kern w:val="2"/>
                <w:sz w:val="21"/>
                <w:szCs w:val="24"/>
                <w:lang w:val="en-US" w:eastAsia="zh-CN" w:bidi="ar-SA"/>
              </w:rPr>
            </w:pPr>
          </w:p>
        </w:tc>
      </w:tr>
      <w:tr w14:paraId="3BBC7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762" w:type="dxa"/>
            <w:gridSpan w:val="4"/>
            <w:shd w:val="clear" w:color="auto" w:fill="FFFFFF"/>
            <w:noWrap w:val="0"/>
            <w:vAlign w:val="center"/>
          </w:tcPr>
          <w:p w14:paraId="637C8424">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通讯地址</w:t>
            </w:r>
          </w:p>
        </w:tc>
        <w:tc>
          <w:tcPr>
            <w:tcW w:w="3460" w:type="dxa"/>
            <w:gridSpan w:val="4"/>
            <w:shd w:val="clear" w:color="auto" w:fill="FFFFFF"/>
            <w:noWrap w:val="0"/>
            <w:vAlign w:val="center"/>
          </w:tcPr>
          <w:p w14:paraId="319645C8">
            <w:pPr>
              <w:widowControl w:val="0"/>
              <w:jc w:val="both"/>
              <w:rPr>
                <w:rFonts w:eastAsia="宋体"/>
                <w:color w:val="000000"/>
                <w:kern w:val="2"/>
                <w:sz w:val="21"/>
                <w:szCs w:val="24"/>
                <w:lang w:val="en-US" w:eastAsia="zh-CN" w:bidi="ar-SA"/>
              </w:rPr>
            </w:pPr>
          </w:p>
        </w:tc>
        <w:tc>
          <w:tcPr>
            <w:tcW w:w="2199" w:type="dxa"/>
            <w:gridSpan w:val="4"/>
            <w:shd w:val="clear" w:color="auto" w:fill="FFFFFF"/>
            <w:noWrap w:val="0"/>
            <w:vAlign w:val="center"/>
          </w:tcPr>
          <w:p w14:paraId="08BC5D41">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单位所在地</w:t>
            </w:r>
          </w:p>
        </w:tc>
        <w:tc>
          <w:tcPr>
            <w:tcW w:w="2545" w:type="dxa"/>
            <w:gridSpan w:val="3"/>
            <w:shd w:val="clear" w:color="auto" w:fill="FFFFFF"/>
            <w:noWrap w:val="0"/>
            <w:vAlign w:val="center"/>
          </w:tcPr>
          <w:p w14:paraId="527636E7">
            <w:pPr>
              <w:widowControl w:val="0"/>
              <w:jc w:val="both"/>
              <w:rPr>
                <w:rFonts w:eastAsia="宋体"/>
                <w:color w:val="000000"/>
                <w:kern w:val="2"/>
                <w:sz w:val="21"/>
                <w:szCs w:val="24"/>
                <w:lang w:val="en-US" w:eastAsia="zh-CN" w:bidi="ar-SA"/>
              </w:rPr>
            </w:pPr>
          </w:p>
        </w:tc>
      </w:tr>
      <w:tr w14:paraId="3B8D6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762" w:type="dxa"/>
            <w:gridSpan w:val="4"/>
            <w:shd w:val="clear" w:color="auto" w:fill="FFFFFF"/>
            <w:noWrap w:val="0"/>
            <w:vAlign w:val="center"/>
          </w:tcPr>
          <w:p w14:paraId="16AE634B">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法定代表人</w:t>
            </w:r>
          </w:p>
        </w:tc>
        <w:tc>
          <w:tcPr>
            <w:tcW w:w="3460" w:type="dxa"/>
            <w:gridSpan w:val="4"/>
            <w:shd w:val="clear" w:color="auto" w:fill="FFFFFF"/>
            <w:noWrap w:val="0"/>
            <w:vAlign w:val="center"/>
          </w:tcPr>
          <w:p w14:paraId="1085C6B0">
            <w:pPr>
              <w:widowControl w:val="0"/>
              <w:jc w:val="both"/>
              <w:rPr>
                <w:rFonts w:eastAsia="宋体"/>
                <w:color w:val="000000"/>
                <w:kern w:val="2"/>
                <w:sz w:val="21"/>
                <w:szCs w:val="24"/>
                <w:lang w:val="en-US" w:eastAsia="zh-CN" w:bidi="ar-SA"/>
              </w:rPr>
            </w:pPr>
          </w:p>
        </w:tc>
        <w:tc>
          <w:tcPr>
            <w:tcW w:w="2199" w:type="dxa"/>
            <w:gridSpan w:val="4"/>
            <w:shd w:val="clear" w:color="auto" w:fill="FFFFFF"/>
            <w:noWrap w:val="0"/>
            <w:vAlign w:val="center"/>
          </w:tcPr>
          <w:p w14:paraId="1B0A8FB4">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联系电话</w:t>
            </w:r>
          </w:p>
        </w:tc>
        <w:tc>
          <w:tcPr>
            <w:tcW w:w="2545" w:type="dxa"/>
            <w:gridSpan w:val="3"/>
            <w:shd w:val="clear" w:color="auto" w:fill="FFFFFF"/>
            <w:noWrap w:val="0"/>
            <w:vAlign w:val="center"/>
          </w:tcPr>
          <w:p w14:paraId="4645AFA6">
            <w:pPr>
              <w:widowControl w:val="0"/>
              <w:jc w:val="both"/>
              <w:rPr>
                <w:rFonts w:eastAsia="宋体"/>
                <w:color w:val="000000"/>
                <w:kern w:val="2"/>
                <w:sz w:val="21"/>
                <w:szCs w:val="24"/>
                <w:lang w:val="en-US" w:eastAsia="zh-CN" w:bidi="ar-SA"/>
              </w:rPr>
            </w:pPr>
          </w:p>
        </w:tc>
      </w:tr>
      <w:tr w14:paraId="380D3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762" w:type="dxa"/>
            <w:gridSpan w:val="4"/>
            <w:shd w:val="clear" w:color="auto" w:fill="FFFFFF"/>
            <w:noWrap w:val="0"/>
            <w:vAlign w:val="center"/>
          </w:tcPr>
          <w:p w14:paraId="79701826">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传真</w:t>
            </w:r>
          </w:p>
        </w:tc>
        <w:tc>
          <w:tcPr>
            <w:tcW w:w="3460" w:type="dxa"/>
            <w:gridSpan w:val="4"/>
            <w:shd w:val="clear" w:color="auto" w:fill="FFFFFF"/>
            <w:noWrap w:val="0"/>
            <w:vAlign w:val="center"/>
          </w:tcPr>
          <w:p w14:paraId="7268C67F">
            <w:pPr>
              <w:widowControl w:val="0"/>
              <w:jc w:val="both"/>
              <w:rPr>
                <w:rFonts w:eastAsia="宋体"/>
                <w:color w:val="000000"/>
                <w:kern w:val="2"/>
                <w:sz w:val="21"/>
                <w:szCs w:val="24"/>
                <w:lang w:val="en-US" w:eastAsia="zh-CN" w:bidi="ar-SA"/>
              </w:rPr>
            </w:pPr>
          </w:p>
        </w:tc>
        <w:tc>
          <w:tcPr>
            <w:tcW w:w="2199" w:type="dxa"/>
            <w:gridSpan w:val="4"/>
            <w:shd w:val="clear" w:color="auto" w:fill="FFFFFF"/>
            <w:noWrap w:val="0"/>
            <w:vAlign w:val="center"/>
          </w:tcPr>
          <w:p w14:paraId="41FAEB77">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电子邮箱</w:t>
            </w:r>
          </w:p>
        </w:tc>
        <w:tc>
          <w:tcPr>
            <w:tcW w:w="2545" w:type="dxa"/>
            <w:gridSpan w:val="3"/>
            <w:shd w:val="clear" w:color="auto" w:fill="FFFFFF"/>
            <w:noWrap w:val="0"/>
            <w:vAlign w:val="center"/>
          </w:tcPr>
          <w:p w14:paraId="419FFC16">
            <w:pPr>
              <w:widowControl w:val="0"/>
              <w:jc w:val="both"/>
              <w:rPr>
                <w:rFonts w:eastAsia="宋体"/>
                <w:color w:val="000000"/>
                <w:kern w:val="2"/>
                <w:sz w:val="21"/>
                <w:szCs w:val="24"/>
                <w:lang w:val="en-US" w:eastAsia="zh-CN" w:bidi="ar-SA"/>
              </w:rPr>
            </w:pPr>
          </w:p>
        </w:tc>
      </w:tr>
      <w:tr w14:paraId="1235B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0" w:hRule="atLeast"/>
          <w:jc w:val="center"/>
        </w:trPr>
        <w:tc>
          <w:tcPr>
            <w:tcW w:w="1762" w:type="dxa"/>
            <w:gridSpan w:val="4"/>
            <w:shd w:val="clear" w:color="auto" w:fill="FFFFFF"/>
            <w:noWrap w:val="0"/>
            <w:vAlign w:val="center"/>
          </w:tcPr>
          <w:p w14:paraId="59D814E1">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单位简介</w:t>
            </w:r>
          </w:p>
        </w:tc>
        <w:tc>
          <w:tcPr>
            <w:tcW w:w="8204" w:type="dxa"/>
            <w:gridSpan w:val="11"/>
            <w:shd w:val="clear" w:color="auto" w:fill="FFFFFF"/>
            <w:noWrap w:val="0"/>
            <w:vAlign w:val="center"/>
          </w:tcPr>
          <w:p w14:paraId="14353800">
            <w:pPr>
              <w:widowControl w:val="0"/>
              <w:jc w:val="both"/>
              <w:rPr>
                <w:rFonts w:eastAsia="宋体"/>
                <w:color w:val="000000"/>
                <w:kern w:val="2"/>
                <w:sz w:val="21"/>
                <w:szCs w:val="24"/>
                <w:lang w:val="en-US" w:eastAsia="zh-CN" w:bidi="ar-SA"/>
              </w:rPr>
            </w:pPr>
          </w:p>
          <w:p w14:paraId="0B779AEA">
            <w:pPr>
              <w:widowControl w:val="0"/>
              <w:jc w:val="both"/>
              <w:rPr>
                <w:rFonts w:eastAsia="宋体"/>
                <w:color w:val="000000"/>
                <w:kern w:val="2"/>
                <w:sz w:val="21"/>
                <w:szCs w:val="24"/>
                <w:lang w:val="en-US" w:eastAsia="zh-CN" w:bidi="ar-SA"/>
              </w:rPr>
            </w:pPr>
          </w:p>
          <w:p w14:paraId="76170F6F">
            <w:pPr>
              <w:widowControl w:val="0"/>
              <w:jc w:val="both"/>
              <w:rPr>
                <w:rFonts w:eastAsia="宋体"/>
                <w:color w:val="000000"/>
                <w:kern w:val="2"/>
                <w:sz w:val="21"/>
                <w:szCs w:val="24"/>
                <w:lang w:val="en-US" w:eastAsia="zh-CN" w:bidi="ar-SA"/>
              </w:rPr>
            </w:pPr>
          </w:p>
          <w:p w14:paraId="1A4F66C9">
            <w:pPr>
              <w:widowControl w:val="0"/>
              <w:jc w:val="both"/>
              <w:rPr>
                <w:rFonts w:eastAsia="宋体"/>
                <w:color w:val="000000"/>
                <w:kern w:val="2"/>
                <w:sz w:val="21"/>
                <w:szCs w:val="24"/>
                <w:lang w:val="en-US" w:eastAsia="zh-CN" w:bidi="ar-SA"/>
              </w:rPr>
            </w:pPr>
          </w:p>
          <w:p w14:paraId="09691C38">
            <w:pPr>
              <w:widowControl w:val="0"/>
              <w:jc w:val="both"/>
              <w:rPr>
                <w:rFonts w:eastAsia="宋体"/>
                <w:color w:val="000000"/>
                <w:kern w:val="2"/>
                <w:sz w:val="21"/>
                <w:szCs w:val="24"/>
                <w:lang w:val="en-US" w:eastAsia="zh-CN" w:bidi="ar-SA"/>
              </w:rPr>
            </w:pPr>
          </w:p>
          <w:p w14:paraId="5EE08596">
            <w:pPr>
              <w:widowControl w:val="0"/>
              <w:jc w:val="both"/>
              <w:rPr>
                <w:rFonts w:eastAsia="宋体"/>
                <w:color w:val="000000"/>
                <w:kern w:val="2"/>
                <w:sz w:val="21"/>
                <w:szCs w:val="24"/>
                <w:lang w:val="en-US" w:eastAsia="zh-CN" w:bidi="ar-SA"/>
              </w:rPr>
            </w:pPr>
          </w:p>
          <w:p w14:paraId="1AAE132D">
            <w:pPr>
              <w:widowControl w:val="0"/>
              <w:jc w:val="both"/>
              <w:rPr>
                <w:rFonts w:eastAsia="宋体"/>
                <w:color w:val="000000"/>
                <w:kern w:val="2"/>
                <w:sz w:val="21"/>
                <w:szCs w:val="24"/>
                <w:lang w:val="en-US" w:eastAsia="zh-CN" w:bidi="ar-SA"/>
              </w:rPr>
            </w:pPr>
          </w:p>
          <w:p w14:paraId="5EC2B82A">
            <w:pPr>
              <w:widowControl w:val="0"/>
              <w:jc w:val="both"/>
              <w:rPr>
                <w:rFonts w:eastAsia="宋体"/>
                <w:color w:val="000000"/>
                <w:kern w:val="2"/>
                <w:sz w:val="21"/>
                <w:szCs w:val="24"/>
                <w:lang w:val="en-US" w:eastAsia="zh-CN" w:bidi="ar-SA"/>
              </w:rPr>
            </w:pPr>
          </w:p>
          <w:p w14:paraId="252A77C1">
            <w:pPr>
              <w:widowControl w:val="0"/>
              <w:jc w:val="both"/>
              <w:rPr>
                <w:rFonts w:eastAsia="宋体"/>
                <w:color w:val="000000"/>
                <w:kern w:val="2"/>
                <w:sz w:val="21"/>
                <w:szCs w:val="24"/>
                <w:lang w:val="en-US" w:eastAsia="zh-CN" w:bidi="ar-SA"/>
              </w:rPr>
            </w:pPr>
          </w:p>
          <w:p w14:paraId="5F9C4A08">
            <w:pPr>
              <w:widowControl w:val="0"/>
              <w:jc w:val="both"/>
              <w:rPr>
                <w:rFonts w:eastAsia="宋体"/>
                <w:color w:val="000000"/>
                <w:kern w:val="2"/>
                <w:sz w:val="21"/>
                <w:szCs w:val="24"/>
                <w:lang w:val="en-US" w:eastAsia="zh-CN" w:bidi="ar-SA"/>
              </w:rPr>
            </w:pPr>
          </w:p>
          <w:p w14:paraId="1DE818F8">
            <w:pPr>
              <w:widowControl w:val="0"/>
              <w:jc w:val="both"/>
              <w:rPr>
                <w:rFonts w:eastAsia="宋体"/>
                <w:color w:val="000000"/>
                <w:kern w:val="2"/>
                <w:sz w:val="21"/>
                <w:szCs w:val="24"/>
                <w:lang w:val="en-US" w:eastAsia="zh-CN" w:bidi="ar-SA"/>
              </w:rPr>
            </w:pPr>
          </w:p>
          <w:p w14:paraId="1A7A84DD">
            <w:pPr>
              <w:widowControl w:val="0"/>
              <w:jc w:val="both"/>
              <w:rPr>
                <w:rFonts w:eastAsia="宋体"/>
                <w:color w:val="000000"/>
                <w:kern w:val="2"/>
                <w:sz w:val="21"/>
                <w:szCs w:val="24"/>
                <w:lang w:val="en-US" w:eastAsia="zh-CN" w:bidi="ar-SA"/>
              </w:rPr>
            </w:pPr>
          </w:p>
          <w:p w14:paraId="2D3147F3">
            <w:pPr>
              <w:widowControl w:val="0"/>
              <w:jc w:val="both"/>
              <w:rPr>
                <w:rFonts w:eastAsia="宋体"/>
                <w:color w:val="000000"/>
                <w:kern w:val="2"/>
                <w:sz w:val="21"/>
                <w:szCs w:val="24"/>
                <w:lang w:val="en-US" w:eastAsia="zh-CN" w:bidi="ar-SA"/>
              </w:rPr>
            </w:pPr>
          </w:p>
        </w:tc>
      </w:tr>
      <w:tr w14:paraId="21145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0" w:hRule="atLeast"/>
          <w:jc w:val="center"/>
        </w:trPr>
        <w:tc>
          <w:tcPr>
            <w:tcW w:w="1762" w:type="dxa"/>
            <w:gridSpan w:val="4"/>
            <w:shd w:val="clear" w:color="auto" w:fill="FFFFFF"/>
            <w:noWrap w:val="0"/>
            <w:vAlign w:val="center"/>
          </w:tcPr>
          <w:p w14:paraId="1C31A8BE">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现有的工作基础与优势</w:t>
            </w:r>
          </w:p>
        </w:tc>
        <w:tc>
          <w:tcPr>
            <w:tcW w:w="8204" w:type="dxa"/>
            <w:gridSpan w:val="11"/>
            <w:shd w:val="clear" w:color="auto" w:fill="FFFFFF"/>
            <w:noWrap w:val="0"/>
            <w:vAlign w:val="center"/>
          </w:tcPr>
          <w:p w14:paraId="419251C1">
            <w:pPr>
              <w:widowControl w:val="0"/>
              <w:jc w:val="both"/>
              <w:rPr>
                <w:rFonts w:eastAsia="宋体"/>
                <w:color w:val="000000"/>
                <w:kern w:val="2"/>
                <w:sz w:val="21"/>
                <w:szCs w:val="24"/>
                <w:lang w:val="en-US" w:eastAsia="zh-CN" w:bidi="ar-SA"/>
              </w:rPr>
            </w:pPr>
          </w:p>
          <w:p w14:paraId="6EE28C21">
            <w:pPr>
              <w:widowControl w:val="0"/>
              <w:jc w:val="both"/>
              <w:rPr>
                <w:rFonts w:eastAsia="宋体"/>
                <w:color w:val="000000"/>
                <w:kern w:val="2"/>
                <w:sz w:val="21"/>
                <w:szCs w:val="24"/>
                <w:lang w:val="en-US" w:eastAsia="zh-CN" w:bidi="ar-SA"/>
              </w:rPr>
            </w:pPr>
          </w:p>
          <w:p w14:paraId="0106D945">
            <w:pPr>
              <w:widowControl w:val="0"/>
              <w:jc w:val="both"/>
              <w:rPr>
                <w:rFonts w:eastAsia="宋体"/>
                <w:color w:val="000000"/>
                <w:kern w:val="2"/>
                <w:sz w:val="21"/>
                <w:szCs w:val="24"/>
                <w:lang w:val="en-US" w:eastAsia="zh-CN" w:bidi="ar-SA"/>
              </w:rPr>
            </w:pPr>
          </w:p>
          <w:p w14:paraId="5CA4CEFE">
            <w:pPr>
              <w:widowControl w:val="0"/>
              <w:jc w:val="both"/>
              <w:rPr>
                <w:rFonts w:eastAsia="宋体"/>
                <w:color w:val="000000"/>
                <w:kern w:val="2"/>
                <w:sz w:val="21"/>
                <w:szCs w:val="24"/>
                <w:lang w:val="en-US" w:eastAsia="zh-CN" w:bidi="ar-SA"/>
              </w:rPr>
            </w:pPr>
          </w:p>
          <w:p w14:paraId="07676A1B">
            <w:pPr>
              <w:widowControl w:val="0"/>
              <w:jc w:val="both"/>
              <w:rPr>
                <w:rFonts w:eastAsia="宋体"/>
                <w:color w:val="000000"/>
                <w:kern w:val="2"/>
                <w:sz w:val="21"/>
                <w:szCs w:val="24"/>
                <w:lang w:val="en-US" w:eastAsia="zh-CN" w:bidi="ar-SA"/>
              </w:rPr>
            </w:pPr>
          </w:p>
          <w:p w14:paraId="32CA9773">
            <w:pPr>
              <w:widowControl w:val="0"/>
              <w:jc w:val="both"/>
              <w:rPr>
                <w:rFonts w:eastAsia="宋体"/>
                <w:color w:val="000000"/>
                <w:kern w:val="2"/>
                <w:sz w:val="21"/>
                <w:szCs w:val="24"/>
                <w:lang w:val="en-US" w:eastAsia="zh-CN" w:bidi="ar-SA"/>
              </w:rPr>
            </w:pPr>
          </w:p>
          <w:p w14:paraId="3E7EC445">
            <w:pPr>
              <w:widowControl w:val="0"/>
              <w:jc w:val="both"/>
              <w:rPr>
                <w:rFonts w:eastAsia="宋体"/>
                <w:color w:val="000000"/>
                <w:kern w:val="2"/>
                <w:sz w:val="21"/>
                <w:szCs w:val="24"/>
                <w:lang w:val="en-US" w:eastAsia="zh-CN" w:bidi="ar-SA"/>
              </w:rPr>
            </w:pPr>
          </w:p>
          <w:p w14:paraId="18B0B5E6">
            <w:pPr>
              <w:widowControl w:val="0"/>
              <w:jc w:val="both"/>
              <w:rPr>
                <w:rFonts w:eastAsia="宋体"/>
                <w:color w:val="000000"/>
                <w:kern w:val="2"/>
                <w:sz w:val="21"/>
                <w:szCs w:val="24"/>
                <w:lang w:val="en-US" w:eastAsia="zh-CN" w:bidi="ar-SA"/>
              </w:rPr>
            </w:pPr>
          </w:p>
          <w:p w14:paraId="20C43DD4">
            <w:pPr>
              <w:widowControl w:val="0"/>
              <w:jc w:val="both"/>
              <w:rPr>
                <w:rFonts w:eastAsia="宋体"/>
                <w:color w:val="000000"/>
                <w:kern w:val="2"/>
                <w:sz w:val="21"/>
                <w:szCs w:val="24"/>
                <w:lang w:val="en-US" w:eastAsia="zh-CN" w:bidi="ar-SA"/>
              </w:rPr>
            </w:pPr>
          </w:p>
          <w:p w14:paraId="149E10D2">
            <w:pPr>
              <w:widowControl w:val="0"/>
              <w:jc w:val="both"/>
              <w:rPr>
                <w:rFonts w:eastAsia="宋体"/>
                <w:color w:val="000000"/>
                <w:kern w:val="2"/>
                <w:sz w:val="21"/>
                <w:szCs w:val="24"/>
                <w:lang w:val="en-US" w:eastAsia="zh-CN" w:bidi="ar-SA"/>
              </w:rPr>
            </w:pPr>
          </w:p>
          <w:p w14:paraId="09AD7F8D">
            <w:pPr>
              <w:widowControl w:val="0"/>
              <w:jc w:val="both"/>
              <w:rPr>
                <w:rFonts w:eastAsia="宋体"/>
                <w:color w:val="000000"/>
                <w:kern w:val="2"/>
                <w:sz w:val="21"/>
                <w:szCs w:val="24"/>
                <w:lang w:val="en-US" w:eastAsia="zh-CN" w:bidi="ar-SA"/>
              </w:rPr>
            </w:pPr>
          </w:p>
          <w:p w14:paraId="39D2B209">
            <w:pPr>
              <w:widowControl w:val="0"/>
              <w:jc w:val="both"/>
              <w:rPr>
                <w:rFonts w:eastAsia="宋体"/>
                <w:color w:val="000000"/>
                <w:kern w:val="2"/>
                <w:sz w:val="21"/>
                <w:szCs w:val="24"/>
                <w:lang w:val="en-US" w:eastAsia="zh-CN" w:bidi="ar-SA"/>
              </w:rPr>
            </w:pPr>
          </w:p>
          <w:p w14:paraId="34384B7A">
            <w:pPr>
              <w:widowControl w:val="0"/>
              <w:jc w:val="both"/>
              <w:rPr>
                <w:rFonts w:eastAsia="宋体"/>
                <w:color w:val="000000"/>
                <w:kern w:val="2"/>
                <w:sz w:val="21"/>
                <w:szCs w:val="24"/>
                <w:lang w:val="en-US" w:eastAsia="zh-CN" w:bidi="ar-SA"/>
              </w:rPr>
            </w:pPr>
          </w:p>
          <w:p w14:paraId="0AE52FB7">
            <w:pPr>
              <w:widowControl w:val="0"/>
              <w:jc w:val="both"/>
              <w:rPr>
                <w:rFonts w:eastAsia="宋体"/>
                <w:color w:val="000000"/>
                <w:kern w:val="2"/>
                <w:sz w:val="21"/>
                <w:szCs w:val="24"/>
                <w:lang w:val="en-US" w:eastAsia="zh-CN" w:bidi="ar-SA"/>
              </w:rPr>
            </w:pPr>
          </w:p>
        </w:tc>
      </w:tr>
      <w:tr w14:paraId="6B174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restart"/>
            <w:noWrap w:val="0"/>
            <w:vAlign w:val="center"/>
          </w:tcPr>
          <w:p w14:paraId="0CC9FF79">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拟开展第三方评估工作的主要人员信息一</w:t>
            </w:r>
          </w:p>
        </w:tc>
        <w:tc>
          <w:tcPr>
            <w:tcW w:w="1424" w:type="dxa"/>
            <w:gridSpan w:val="4"/>
            <w:noWrap w:val="0"/>
            <w:vAlign w:val="center"/>
          </w:tcPr>
          <w:p w14:paraId="25EC70A7">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姓名</w:t>
            </w:r>
          </w:p>
        </w:tc>
        <w:tc>
          <w:tcPr>
            <w:tcW w:w="1424" w:type="dxa"/>
            <w:noWrap w:val="0"/>
            <w:vAlign w:val="center"/>
          </w:tcPr>
          <w:p w14:paraId="16ED6909">
            <w:pPr>
              <w:widowControl w:val="0"/>
              <w:jc w:val="center"/>
              <w:rPr>
                <w:rFonts w:eastAsia="宋体"/>
                <w:color w:val="000000"/>
                <w:kern w:val="2"/>
                <w:sz w:val="21"/>
                <w:szCs w:val="24"/>
                <w:lang w:val="en-US" w:eastAsia="zh-CN" w:bidi="ar-SA"/>
              </w:rPr>
            </w:pPr>
          </w:p>
        </w:tc>
        <w:tc>
          <w:tcPr>
            <w:tcW w:w="1423" w:type="dxa"/>
            <w:gridSpan w:val="2"/>
            <w:noWrap w:val="0"/>
            <w:vAlign w:val="center"/>
          </w:tcPr>
          <w:p w14:paraId="4435C212">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性别</w:t>
            </w:r>
          </w:p>
        </w:tc>
        <w:tc>
          <w:tcPr>
            <w:tcW w:w="1424" w:type="dxa"/>
            <w:gridSpan w:val="2"/>
            <w:noWrap w:val="0"/>
            <w:vAlign w:val="center"/>
          </w:tcPr>
          <w:p w14:paraId="579A7D1F">
            <w:pPr>
              <w:widowControl w:val="0"/>
              <w:jc w:val="center"/>
              <w:rPr>
                <w:rFonts w:eastAsia="宋体"/>
                <w:color w:val="000000"/>
                <w:kern w:val="2"/>
                <w:sz w:val="21"/>
                <w:szCs w:val="24"/>
                <w:lang w:val="en-US" w:eastAsia="zh-CN" w:bidi="ar-SA"/>
              </w:rPr>
            </w:pPr>
          </w:p>
        </w:tc>
        <w:tc>
          <w:tcPr>
            <w:tcW w:w="1424" w:type="dxa"/>
            <w:gridSpan w:val="2"/>
            <w:noWrap w:val="0"/>
            <w:vAlign w:val="center"/>
          </w:tcPr>
          <w:p w14:paraId="38A49580">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出生年月</w:t>
            </w:r>
          </w:p>
        </w:tc>
        <w:tc>
          <w:tcPr>
            <w:tcW w:w="1424" w:type="dxa"/>
            <w:gridSpan w:val="2"/>
            <w:noWrap w:val="0"/>
            <w:vAlign w:val="center"/>
          </w:tcPr>
          <w:p w14:paraId="3A32B0D4">
            <w:pPr>
              <w:widowControl w:val="0"/>
              <w:jc w:val="center"/>
              <w:rPr>
                <w:rFonts w:eastAsia="宋体"/>
                <w:color w:val="000000"/>
                <w:kern w:val="2"/>
                <w:sz w:val="21"/>
                <w:szCs w:val="24"/>
                <w:lang w:val="en-US" w:eastAsia="zh-CN" w:bidi="ar-SA"/>
              </w:rPr>
            </w:pPr>
          </w:p>
        </w:tc>
      </w:tr>
      <w:tr w14:paraId="29B84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31209369">
            <w:pPr>
              <w:widowControl w:val="0"/>
              <w:jc w:val="center"/>
              <w:rPr>
                <w:rFonts w:eastAsia="宋体"/>
                <w:color w:val="000000"/>
                <w:kern w:val="2"/>
                <w:sz w:val="21"/>
                <w:szCs w:val="24"/>
                <w:lang w:val="en-US" w:eastAsia="zh-CN" w:bidi="ar-SA"/>
              </w:rPr>
            </w:pPr>
          </w:p>
        </w:tc>
        <w:tc>
          <w:tcPr>
            <w:tcW w:w="1424" w:type="dxa"/>
            <w:gridSpan w:val="4"/>
            <w:noWrap w:val="0"/>
            <w:vAlign w:val="center"/>
          </w:tcPr>
          <w:p w14:paraId="7851AB6B">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身份证号</w:t>
            </w:r>
          </w:p>
        </w:tc>
        <w:tc>
          <w:tcPr>
            <w:tcW w:w="4271" w:type="dxa"/>
            <w:gridSpan w:val="5"/>
            <w:noWrap w:val="0"/>
            <w:vAlign w:val="center"/>
          </w:tcPr>
          <w:p w14:paraId="0C2BA51B">
            <w:pPr>
              <w:widowControl w:val="0"/>
              <w:jc w:val="center"/>
              <w:rPr>
                <w:rFonts w:eastAsia="宋体"/>
                <w:color w:val="000000"/>
                <w:kern w:val="2"/>
                <w:sz w:val="21"/>
                <w:szCs w:val="24"/>
                <w:lang w:val="en-US" w:eastAsia="zh-CN" w:bidi="ar-SA"/>
              </w:rPr>
            </w:pPr>
          </w:p>
        </w:tc>
        <w:tc>
          <w:tcPr>
            <w:tcW w:w="1424" w:type="dxa"/>
            <w:gridSpan w:val="2"/>
            <w:noWrap w:val="0"/>
            <w:vAlign w:val="center"/>
          </w:tcPr>
          <w:p w14:paraId="3EED721B">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民族</w:t>
            </w:r>
          </w:p>
        </w:tc>
        <w:tc>
          <w:tcPr>
            <w:tcW w:w="1424" w:type="dxa"/>
            <w:gridSpan w:val="2"/>
            <w:noWrap w:val="0"/>
            <w:vAlign w:val="center"/>
          </w:tcPr>
          <w:p w14:paraId="7EA1FF9C">
            <w:pPr>
              <w:widowControl w:val="0"/>
              <w:jc w:val="center"/>
              <w:rPr>
                <w:rFonts w:eastAsia="宋体"/>
                <w:color w:val="000000"/>
                <w:kern w:val="2"/>
                <w:sz w:val="21"/>
                <w:szCs w:val="24"/>
                <w:lang w:val="en-US" w:eastAsia="zh-CN" w:bidi="ar-SA"/>
              </w:rPr>
            </w:pPr>
          </w:p>
        </w:tc>
      </w:tr>
      <w:tr w14:paraId="1BBDB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539CB4DD">
            <w:pPr>
              <w:widowControl w:val="0"/>
              <w:jc w:val="center"/>
              <w:rPr>
                <w:rFonts w:eastAsia="宋体"/>
                <w:color w:val="000000"/>
                <w:kern w:val="2"/>
                <w:sz w:val="21"/>
                <w:szCs w:val="24"/>
                <w:lang w:val="en-US" w:eastAsia="zh-CN" w:bidi="ar-SA"/>
              </w:rPr>
            </w:pPr>
          </w:p>
        </w:tc>
        <w:tc>
          <w:tcPr>
            <w:tcW w:w="1424" w:type="dxa"/>
            <w:gridSpan w:val="4"/>
            <w:noWrap w:val="0"/>
            <w:vAlign w:val="center"/>
          </w:tcPr>
          <w:p w14:paraId="1C151D19">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职称</w:t>
            </w:r>
          </w:p>
        </w:tc>
        <w:tc>
          <w:tcPr>
            <w:tcW w:w="1424" w:type="dxa"/>
            <w:noWrap w:val="0"/>
            <w:vAlign w:val="center"/>
          </w:tcPr>
          <w:p w14:paraId="499C5AE4">
            <w:pPr>
              <w:widowControl w:val="0"/>
              <w:jc w:val="center"/>
              <w:rPr>
                <w:rFonts w:eastAsia="宋体"/>
                <w:color w:val="000000"/>
                <w:kern w:val="2"/>
                <w:sz w:val="21"/>
                <w:szCs w:val="24"/>
                <w:lang w:val="en-US" w:eastAsia="zh-CN" w:bidi="ar-SA"/>
              </w:rPr>
            </w:pPr>
          </w:p>
        </w:tc>
        <w:tc>
          <w:tcPr>
            <w:tcW w:w="1423" w:type="dxa"/>
            <w:gridSpan w:val="2"/>
            <w:noWrap w:val="0"/>
            <w:vAlign w:val="center"/>
          </w:tcPr>
          <w:p w14:paraId="6FAD444E">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从事专业</w:t>
            </w:r>
          </w:p>
        </w:tc>
        <w:tc>
          <w:tcPr>
            <w:tcW w:w="1424" w:type="dxa"/>
            <w:gridSpan w:val="2"/>
            <w:noWrap w:val="0"/>
            <w:vAlign w:val="center"/>
          </w:tcPr>
          <w:p w14:paraId="3BFE8E6D">
            <w:pPr>
              <w:widowControl w:val="0"/>
              <w:jc w:val="center"/>
              <w:rPr>
                <w:rFonts w:eastAsia="宋体"/>
                <w:color w:val="000000"/>
                <w:kern w:val="2"/>
                <w:sz w:val="21"/>
                <w:szCs w:val="24"/>
                <w:lang w:val="en-US" w:eastAsia="zh-CN" w:bidi="ar-SA"/>
              </w:rPr>
            </w:pPr>
          </w:p>
        </w:tc>
        <w:tc>
          <w:tcPr>
            <w:tcW w:w="1424" w:type="dxa"/>
            <w:gridSpan w:val="2"/>
            <w:noWrap w:val="0"/>
            <w:vAlign w:val="center"/>
          </w:tcPr>
          <w:p w14:paraId="1F07C805">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学历学位</w:t>
            </w:r>
          </w:p>
        </w:tc>
        <w:tc>
          <w:tcPr>
            <w:tcW w:w="1424" w:type="dxa"/>
            <w:gridSpan w:val="2"/>
            <w:noWrap w:val="0"/>
            <w:vAlign w:val="center"/>
          </w:tcPr>
          <w:p w14:paraId="35B4663E">
            <w:pPr>
              <w:widowControl w:val="0"/>
              <w:jc w:val="center"/>
              <w:rPr>
                <w:rFonts w:eastAsia="宋体"/>
                <w:color w:val="000000"/>
                <w:kern w:val="2"/>
                <w:sz w:val="21"/>
                <w:szCs w:val="24"/>
                <w:lang w:val="en-US" w:eastAsia="zh-CN" w:bidi="ar-SA"/>
              </w:rPr>
            </w:pPr>
          </w:p>
        </w:tc>
      </w:tr>
      <w:tr w14:paraId="359B1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77B50273">
            <w:pPr>
              <w:widowControl w:val="0"/>
              <w:jc w:val="center"/>
              <w:rPr>
                <w:rFonts w:eastAsia="宋体"/>
                <w:color w:val="000000"/>
                <w:kern w:val="2"/>
                <w:sz w:val="21"/>
                <w:szCs w:val="24"/>
                <w:lang w:val="en-US" w:eastAsia="zh-CN" w:bidi="ar-SA"/>
              </w:rPr>
            </w:pPr>
          </w:p>
        </w:tc>
        <w:tc>
          <w:tcPr>
            <w:tcW w:w="1424" w:type="dxa"/>
            <w:gridSpan w:val="4"/>
            <w:noWrap w:val="0"/>
            <w:vAlign w:val="center"/>
          </w:tcPr>
          <w:p w14:paraId="37B6BA00">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单位职务</w:t>
            </w:r>
          </w:p>
        </w:tc>
        <w:tc>
          <w:tcPr>
            <w:tcW w:w="1424" w:type="dxa"/>
            <w:noWrap w:val="0"/>
            <w:vAlign w:val="center"/>
          </w:tcPr>
          <w:p w14:paraId="6A2168F6">
            <w:pPr>
              <w:widowControl w:val="0"/>
              <w:jc w:val="center"/>
              <w:rPr>
                <w:rFonts w:eastAsia="宋体"/>
                <w:color w:val="000000"/>
                <w:kern w:val="2"/>
                <w:sz w:val="21"/>
                <w:szCs w:val="24"/>
                <w:lang w:val="en-US" w:eastAsia="zh-CN" w:bidi="ar-SA"/>
              </w:rPr>
            </w:pPr>
          </w:p>
        </w:tc>
        <w:tc>
          <w:tcPr>
            <w:tcW w:w="1423" w:type="dxa"/>
            <w:gridSpan w:val="2"/>
            <w:noWrap w:val="0"/>
            <w:vAlign w:val="center"/>
          </w:tcPr>
          <w:p w14:paraId="6F297062">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联系电话</w:t>
            </w:r>
          </w:p>
        </w:tc>
        <w:tc>
          <w:tcPr>
            <w:tcW w:w="1424" w:type="dxa"/>
            <w:gridSpan w:val="2"/>
            <w:noWrap w:val="0"/>
            <w:vAlign w:val="center"/>
          </w:tcPr>
          <w:p w14:paraId="6C6CEB82">
            <w:pPr>
              <w:widowControl w:val="0"/>
              <w:jc w:val="center"/>
              <w:rPr>
                <w:rFonts w:eastAsia="宋体"/>
                <w:color w:val="000000"/>
                <w:kern w:val="2"/>
                <w:sz w:val="21"/>
                <w:szCs w:val="24"/>
                <w:lang w:val="en-US" w:eastAsia="zh-CN" w:bidi="ar-SA"/>
              </w:rPr>
            </w:pPr>
          </w:p>
        </w:tc>
        <w:tc>
          <w:tcPr>
            <w:tcW w:w="1424" w:type="dxa"/>
            <w:gridSpan w:val="2"/>
            <w:noWrap w:val="0"/>
            <w:vAlign w:val="center"/>
          </w:tcPr>
          <w:p w14:paraId="21A4C73F">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电子邮箱</w:t>
            </w:r>
          </w:p>
        </w:tc>
        <w:tc>
          <w:tcPr>
            <w:tcW w:w="1424" w:type="dxa"/>
            <w:gridSpan w:val="2"/>
            <w:noWrap w:val="0"/>
            <w:vAlign w:val="center"/>
          </w:tcPr>
          <w:p w14:paraId="6D0C24C8">
            <w:pPr>
              <w:widowControl w:val="0"/>
              <w:jc w:val="center"/>
              <w:rPr>
                <w:rFonts w:eastAsia="宋体"/>
                <w:color w:val="000000"/>
                <w:kern w:val="2"/>
                <w:sz w:val="21"/>
                <w:szCs w:val="24"/>
                <w:lang w:val="en-US" w:eastAsia="zh-CN" w:bidi="ar-SA"/>
              </w:rPr>
            </w:pPr>
          </w:p>
        </w:tc>
      </w:tr>
      <w:tr w14:paraId="039C1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49E46C30">
            <w:pPr>
              <w:widowControl w:val="0"/>
              <w:jc w:val="center"/>
              <w:rPr>
                <w:rFonts w:eastAsia="宋体"/>
                <w:color w:val="000000"/>
                <w:kern w:val="2"/>
                <w:sz w:val="21"/>
                <w:szCs w:val="24"/>
                <w:lang w:val="en-US" w:eastAsia="zh-CN" w:bidi="ar-SA"/>
              </w:rPr>
            </w:pPr>
          </w:p>
        </w:tc>
        <w:tc>
          <w:tcPr>
            <w:tcW w:w="2848" w:type="dxa"/>
            <w:gridSpan w:val="5"/>
            <w:noWrap w:val="0"/>
            <w:vAlign w:val="center"/>
          </w:tcPr>
          <w:p w14:paraId="60049941">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专业工作年限</w:t>
            </w:r>
          </w:p>
        </w:tc>
        <w:tc>
          <w:tcPr>
            <w:tcW w:w="1423" w:type="dxa"/>
            <w:gridSpan w:val="2"/>
            <w:noWrap w:val="0"/>
            <w:vAlign w:val="center"/>
          </w:tcPr>
          <w:p w14:paraId="69173074">
            <w:pPr>
              <w:widowControl w:val="0"/>
              <w:jc w:val="center"/>
              <w:rPr>
                <w:rFonts w:eastAsia="宋体"/>
                <w:color w:val="000000"/>
                <w:kern w:val="2"/>
                <w:sz w:val="21"/>
                <w:szCs w:val="24"/>
                <w:lang w:val="en-US" w:eastAsia="zh-CN" w:bidi="ar-SA"/>
              </w:rPr>
            </w:pPr>
          </w:p>
        </w:tc>
        <w:tc>
          <w:tcPr>
            <w:tcW w:w="2848" w:type="dxa"/>
            <w:gridSpan w:val="4"/>
            <w:noWrap w:val="0"/>
            <w:vAlign w:val="center"/>
          </w:tcPr>
          <w:p w14:paraId="1ED01750">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个人签名</w:t>
            </w:r>
          </w:p>
        </w:tc>
        <w:tc>
          <w:tcPr>
            <w:tcW w:w="1424" w:type="dxa"/>
            <w:gridSpan w:val="2"/>
            <w:noWrap w:val="0"/>
            <w:vAlign w:val="center"/>
          </w:tcPr>
          <w:p w14:paraId="4874CE78">
            <w:pPr>
              <w:widowControl w:val="0"/>
              <w:jc w:val="center"/>
              <w:rPr>
                <w:rFonts w:eastAsia="宋体"/>
                <w:color w:val="000000"/>
                <w:kern w:val="2"/>
                <w:sz w:val="21"/>
                <w:szCs w:val="24"/>
                <w:lang w:val="en-US" w:eastAsia="zh-CN" w:bidi="ar-SA"/>
              </w:rPr>
            </w:pPr>
          </w:p>
        </w:tc>
      </w:tr>
      <w:tr w14:paraId="574CC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restart"/>
            <w:noWrap w:val="0"/>
            <w:vAlign w:val="center"/>
          </w:tcPr>
          <w:p w14:paraId="52ADDFCB">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拟开展第三方评估工作的主要人员信息二</w:t>
            </w:r>
          </w:p>
        </w:tc>
        <w:tc>
          <w:tcPr>
            <w:tcW w:w="1424" w:type="dxa"/>
            <w:gridSpan w:val="4"/>
            <w:noWrap w:val="0"/>
            <w:vAlign w:val="center"/>
          </w:tcPr>
          <w:p w14:paraId="680DF535">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姓名</w:t>
            </w:r>
          </w:p>
        </w:tc>
        <w:tc>
          <w:tcPr>
            <w:tcW w:w="1424" w:type="dxa"/>
            <w:noWrap w:val="0"/>
            <w:vAlign w:val="center"/>
          </w:tcPr>
          <w:p w14:paraId="01118D67">
            <w:pPr>
              <w:widowControl w:val="0"/>
              <w:jc w:val="center"/>
              <w:rPr>
                <w:rFonts w:eastAsia="宋体"/>
                <w:color w:val="000000"/>
                <w:kern w:val="2"/>
                <w:sz w:val="21"/>
                <w:szCs w:val="24"/>
                <w:lang w:val="en-US" w:eastAsia="zh-CN" w:bidi="ar-SA"/>
              </w:rPr>
            </w:pPr>
          </w:p>
        </w:tc>
        <w:tc>
          <w:tcPr>
            <w:tcW w:w="1423" w:type="dxa"/>
            <w:gridSpan w:val="2"/>
            <w:noWrap w:val="0"/>
            <w:vAlign w:val="center"/>
          </w:tcPr>
          <w:p w14:paraId="3095F89E">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性别</w:t>
            </w:r>
          </w:p>
        </w:tc>
        <w:tc>
          <w:tcPr>
            <w:tcW w:w="1424" w:type="dxa"/>
            <w:gridSpan w:val="2"/>
            <w:noWrap w:val="0"/>
            <w:vAlign w:val="center"/>
          </w:tcPr>
          <w:p w14:paraId="0CC5954C">
            <w:pPr>
              <w:widowControl w:val="0"/>
              <w:jc w:val="center"/>
              <w:rPr>
                <w:rFonts w:eastAsia="宋体"/>
                <w:color w:val="000000"/>
                <w:kern w:val="2"/>
                <w:sz w:val="21"/>
                <w:szCs w:val="24"/>
                <w:lang w:val="en-US" w:eastAsia="zh-CN" w:bidi="ar-SA"/>
              </w:rPr>
            </w:pPr>
          </w:p>
        </w:tc>
        <w:tc>
          <w:tcPr>
            <w:tcW w:w="1424" w:type="dxa"/>
            <w:gridSpan w:val="2"/>
            <w:noWrap w:val="0"/>
            <w:vAlign w:val="center"/>
          </w:tcPr>
          <w:p w14:paraId="26CA291D">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出生年月</w:t>
            </w:r>
          </w:p>
        </w:tc>
        <w:tc>
          <w:tcPr>
            <w:tcW w:w="1424" w:type="dxa"/>
            <w:gridSpan w:val="2"/>
            <w:noWrap w:val="0"/>
            <w:vAlign w:val="center"/>
          </w:tcPr>
          <w:p w14:paraId="2D51DF17">
            <w:pPr>
              <w:widowControl w:val="0"/>
              <w:jc w:val="center"/>
              <w:rPr>
                <w:rFonts w:eastAsia="宋体"/>
                <w:color w:val="000000"/>
                <w:kern w:val="2"/>
                <w:sz w:val="21"/>
                <w:szCs w:val="24"/>
                <w:lang w:val="en-US" w:eastAsia="zh-CN" w:bidi="ar-SA"/>
              </w:rPr>
            </w:pPr>
          </w:p>
        </w:tc>
      </w:tr>
      <w:tr w14:paraId="66A41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4BACCDE8">
            <w:pPr>
              <w:widowControl w:val="0"/>
              <w:jc w:val="center"/>
              <w:rPr>
                <w:rFonts w:eastAsia="宋体"/>
                <w:color w:val="000000"/>
                <w:kern w:val="2"/>
                <w:sz w:val="21"/>
                <w:szCs w:val="24"/>
                <w:lang w:val="en-US" w:eastAsia="zh-CN" w:bidi="ar-SA"/>
              </w:rPr>
            </w:pPr>
          </w:p>
        </w:tc>
        <w:tc>
          <w:tcPr>
            <w:tcW w:w="1424" w:type="dxa"/>
            <w:gridSpan w:val="4"/>
            <w:noWrap w:val="0"/>
            <w:vAlign w:val="center"/>
          </w:tcPr>
          <w:p w14:paraId="4EA26CAE">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身份证号</w:t>
            </w:r>
          </w:p>
        </w:tc>
        <w:tc>
          <w:tcPr>
            <w:tcW w:w="4271" w:type="dxa"/>
            <w:gridSpan w:val="5"/>
            <w:noWrap w:val="0"/>
            <w:vAlign w:val="center"/>
          </w:tcPr>
          <w:p w14:paraId="70F0207A">
            <w:pPr>
              <w:widowControl w:val="0"/>
              <w:jc w:val="center"/>
              <w:rPr>
                <w:rFonts w:eastAsia="宋体"/>
                <w:color w:val="000000"/>
                <w:kern w:val="2"/>
                <w:sz w:val="21"/>
                <w:szCs w:val="24"/>
                <w:lang w:val="en-US" w:eastAsia="zh-CN" w:bidi="ar-SA"/>
              </w:rPr>
            </w:pPr>
          </w:p>
        </w:tc>
        <w:tc>
          <w:tcPr>
            <w:tcW w:w="1424" w:type="dxa"/>
            <w:gridSpan w:val="2"/>
            <w:noWrap w:val="0"/>
            <w:vAlign w:val="center"/>
          </w:tcPr>
          <w:p w14:paraId="764A994F">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民族</w:t>
            </w:r>
          </w:p>
        </w:tc>
        <w:tc>
          <w:tcPr>
            <w:tcW w:w="1424" w:type="dxa"/>
            <w:gridSpan w:val="2"/>
            <w:noWrap w:val="0"/>
            <w:vAlign w:val="center"/>
          </w:tcPr>
          <w:p w14:paraId="25370055">
            <w:pPr>
              <w:widowControl w:val="0"/>
              <w:jc w:val="center"/>
              <w:rPr>
                <w:rFonts w:eastAsia="宋体"/>
                <w:color w:val="000000"/>
                <w:kern w:val="2"/>
                <w:sz w:val="21"/>
                <w:szCs w:val="24"/>
                <w:lang w:val="en-US" w:eastAsia="zh-CN" w:bidi="ar-SA"/>
              </w:rPr>
            </w:pPr>
          </w:p>
        </w:tc>
      </w:tr>
      <w:tr w14:paraId="63B25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2721AB5C">
            <w:pPr>
              <w:widowControl w:val="0"/>
              <w:jc w:val="center"/>
              <w:rPr>
                <w:rFonts w:eastAsia="宋体"/>
                <w:color w:val="000000"/>
                <w:kern w:val="2"/>
                <w:sz w:val="21"/>
                <w:szCs w:val="24"/>
                <w:lang w:val="en-US" w:eastAsia="zh-CN" w:bidi="ar-SA"/>
              </w:rPr>
            </w:pPr>
          </w:p>
        </w:tc>
        <w:tc>
          <w:tcPr>
            <w:tcW w:w="1424" w:type="dxa"/>
            <w:gridSpan w:val="4"/>
            <w:noWrap w:val="0"/>
            <w:vAlign w:val="center"/>
          </w:tcPr>
          <w:p w14:paraId="687C3153">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职称</w:t>
            </w:r>
          </w:p>
        </w:tc>
        <w:tc>
          <w:tcPr>
            <w:tcW w:w="1424" w:type="dxa"/>
            <w:noWrap w:val="0"/>
            <w:vAlign w:val="center"/>
          </w:tcPr>
          <w:p w14:paraId="4F958B70">
            <w:pPr>
              <w:widowControl w:val="0"/>
              <w:jc w:val="center"/>
              <w:rPr>
                <w:rFonts w:eastAsia="宋体"/>
                <w:color w:val="000000"/>
                <w:kern w:val="2"/>
                <w:sz w:val="21"/>
                <w:szCs w:val="24"/>
                <w:lang w:val="en-US" w:eastAsia="zh-CN" w:bidi="ar-SA"/>
              </w:rPr>
            </w:pPr>
          </w:p>
        </w:tc>
        <w:tc>
          <w:tcPr>
            <w:tcW w:w="1423" w:type="dxa"/>
            <w:gridSpan w:val="2"/>
            <w:noWrap w:val="0"/>
            <w:vAlign w:val="center"/>
          </w:tcPr>
          <w:p w14:paraId="556868E2">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从事专业</w:t>
            </w:r>
          </w:p>
        </w:tc>
        <w:tc>
          <w:tcPr>
            <w:tcW w:w="1424" w:type="dxa"/>
            <w:gridSpan w:val="2"/>
            <w:noWrap w:val="0"/>
            <w:vAlign w:val="center"/>
          </w:tcPr>
          <w:p w14:paraId="57C18986">
            <w:pPr>
              <w:widowControl w:val="0"/>
              <w:jc w:val="center"/>
              <w:rPr>
                <w:rFonts w:eastAsia="宋体"/>
                <w:color w:val="000000"/>
                <w:kern w:val="2"/>
                <w:sz w:val="21"/>
                <w:szCs w:val="24"/>
                <w:lang w:val="en-US" w:eastAsia="zh-CN" w:bidi="ar-SA"/>
              </w:rPr>
            </w:pPr>
          </w:p>
        </w:tc>
        <w:tc>
          <w:tcPr>
            <w:tcW w:w="1424" w:type="dxa"/>
            <w:gridSpan w:val="2"/>
            <w:noWrap w:val="0"/>
            <w:vAlign w:val="center"/>
          </w:tcPr>
          <w:p w14:paraId="668A8C32">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学历学位</w:t>
            </w:r>
          </w:p>
        </w:tc>
        <w:tc>
          <w:tcPr>
            <w:tcW w:w="1424" w:type="dxa"/>
            <w:gridSpan w:val="2"/>
            <w:noWrap w:val="0"/>
            <w:vAlign w:val="center"/>
          </w:tcPr>
          <w:p w14:paraId="0554FE14">
            <w:pPr>
              <w:widowControl w:val="0"/>
              <w:jc w:val="center"/>
              <w:rPr>
                <w:rFonts w:eastAsia="宋体"/>
                <w:color w:val="000000"/>
                <w:kern w:val="2"/>
                <w:sz w:val="21"/>
                <w:szCs w:val="24"/>
                <w:lang w:val="en-US" w:eastAsia="zh-CN" w:bidi="ar-SA"/>
              </w:rPr>
            </w:pPr>
          </w:p>
        </w:tc>
      </w:tr>
      <w:tr w14:paraId="4DA78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6D714735">
            <w:pPr>
              <w:widowControl w:val="0"/>
              <w:jc w:val="center"/>
              <w:rPr>
                <w:rFonts w:eastAsia="宋体"/>
                <w:color w:val="000000"/>
                <w:kern w:val="2"/>
                <w:sz w:val="21"/>
                <w:szCs w:val="24"/>
                <w:lang w:val="en-US" w:eastAsia="zh-CN" w:bidi="ar-SA"/>
              </w:rPr>
            </w:pPr>
          </w:p>
        </w:tc>
        <w:tc>
          <w:tcPr>
            <w:tcW w:w="1424" w:type="dxa"/>
            <w:gridSpan w:val="4"/>
            <w:noWrap w:val="0"/>
            <w:vAlign w:val="center"/>
          </w:tcPr>
          <w:p w14:paraId="4F822AD8">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单位职务</w:t>
            </w:r>
          </w:p>
        </w:tc>
        <w:tc>
          <w:tcPr>
            <w:tcW w:w="1424" w:type="dxa"/>
            <w:noWrap w:val="0"/>
            <w:vAlign w:val="center"/>
          </w:tcPr>
          <w:p w14:paraId="6284D870">
            <w:pPr>
              <w:widowControl w:val="0"/>
              <w:jc w:val="center"/>
              <w:rPr>
                <w:rFonts w:eastAsia="宋体"/>
                <w:color w:val="000000"/>
                <w:kern w:val="2"/>
                <w:sz w:val="21"/>
                <w:szCs w:val="24"/>
                <w:lang w:val="en-US" w:eastAsia="zh-CN" w:bidi="ar-SA"/>
              </w:rPr>
            </w:pPr>
          </w:p>
        </w:tc>
        <w:tc>
          <w:tcPr>
            <w:tcW w:w="1423" w:type="dxa"/>
            <w:gridSpan w:val="2"/>
            <w:noWrap w:val="0"/>
            <w:vAlign w:val="center"/>
          </w:tcPr>
          <w:p w14:paraId="47537213">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联系电话</w:t>
            </w:r>
          </w:p>
        </w:tc>
        <w:tc>
          <w:tcPr>
            <w:tcW w:w="1424" w:type="dxa"/>
            <w:gridSpan w:val="2"/>
            <w:noWrap w:val="0"/>
            <w:vAlign w:val="center"/>
          </w:tcPr>
          <w:p w14:paraId="21302D6D">
            <w:pPr>
              <w:widowControl w:val="0"/>
              <w:jc w:val="center"/>
              <w:rPr>
                <w:rFonts w:eastAsia="宋体"/>
                <w:color w:val="000000"/>
                <w:kern w:val="2"/>
                <w:sz w:val="21"/>
                <w:szCs w:val="24"/>
                <w:lang w:val="en-US" w:eastAsia="zh-CN" w:bidi="ar-SA"/>
              </w:rPr>
            </w:pPr>
          </w:p>
        </w:tc>
        <w:tc>
          <w:tcPr>
            <w:tcW w:w="1424" w:type="dxa"/>
            <w:gridSpan w:val="2"/>
            <w:noWrap w:val="0"/>
            <w:vAlign w:val="center"/>
          </w:tcPr>
          <w:p w14:paraId="1B144516">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电子邮箱</w:t>
            </w:r>
          </w:p>
        </w:tc>
        <w:tc>
          <w:tcPr>
            <w:tcW w:w="1424" w:type="dxa"/>
            <w:gridSpan w:val="2"/>
            <w:noWrap w:val="0"/>
            <w:vAlign w:val="center"/>
          </w:tcPr>
          <w:p w14:paraId="5E008215">
            <w:pPr>
              <w:widowControl w:val="0"/>
              <w:jc w:val="center"/>
              <w:rPr>
                <w:rFonts w:eastAsia="宋体"/>
                <w:color w:val="000000"/>
                <w:kern w:val="2"/>
                <w:sz w:val="21"/>
                <w:szCs w:val="24"/>
                <w:lang w:val="en-US" w:eastAsia="zh-CN" w:bidi="ar-SA"/>
              </w:rPr>
            </w:pPr>
          </w:p>
        </w:tc>
      </w:tr>
      <w:tr w14:paraId="691DA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05D735EC">
            <w:pPr>
              <w:widowControl w:val="0"/>
              <w:jc w:val="center"/>
              <w:rPr>
                <w:rFonts w:eastAsia="宋体"/>
                <w:color w:val="000000"/>
                <w:kern w:val="2"/>
                <w:sz w:val="21"/>
                <w:szCs w:val="24"/>
                <w:lang w:val="en-US" w:eastAsia="zh-CN" w:bidi="ar-SA"/>
              </w:rPr>
            </w:pPr>
          </w:p>
        </w:tc>
        <w:tc>
          <w:tcPr>
            <w:tcW w:w="2848" w:type="dxa"/>
            <w:gridSpan w:val="5"/>
            <w:noWrap w:val="0"/>
            <w:vAlign w:val="center"/>
          </w:tcPr>
          <w:p w14:paraId="21A2EB91">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专业工作年限</w:t>
            </w:r>
          </w:p>
        </w:tc>
        <w:tc>
          <w:tcPr>
            <w:tcW w:w="1423" w:type="dxa"/>
            <w:gridSpan w:val="2"/>
            <w:noWrap w:val="0"/>
            <w:vAlign w:val="center"/>
          </w:tcPr>
          <w:p w14:paraId="1CCBCBDF">
            <w:pPr>
              <w:widowControl w:val="0"/>
              <w:jc w:val="center"/>
              <w:rPr>
                <w:rFonts w:eastAsia="宋体"/>
                <w:color w:val="000000"/>
                <w:kern w:val="2"/>
                <w:sz w:val="21"/>
                <w:szCs w:val="24"/>
                <w:lang w:val="en-US" w:eastAsia="zh-CN" w:bidi="ar-SA"/>
              </w:rPr>
            </w:pPr>
          </w:p>
        </w:tc>
        <w:tc>
          <w:tcPr>
            <w:tcW w:w="2848" w:type="dxa"/>
            <w:gridSpan w:val="4"/>
            <w:noWrap w:val="0"/>
            <w:vAlign w:val="center"/>
          </w:tcPr>
          <w:p w14:paraId="0CDF5936">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个人签名</w:t>
            </w:r>
          </w:p>
        </w:tc>
        <w:tc>
          <w:tcPr>
            <w:tcW w:w="1424" w:type="dxa"/>
            <w:gridSpan w:val="2"/>
            <w:noWrap w:val="0"/>
            <w:vAlign w:val="center"/>
          </w:tcPr>
          <w:p w14:paraId="774C46F7">
            <w:pPr>
              <w:widowControl w:val="0"/>
              <w:jc w:val="center"/>
              <w:rPr>
                <w:rFonts w:eastAsia="宋体"/>
                <w:color w:val="000000"/>
                <w:kern w:val="2"/>
                <w:sz w:val="21"/>
                <w:szCs w:val="24"/>
                <w:lang w:val="en-US" w:eastAsia="zh-CN" w:bidi="ar-SA"/>
              </w:rPr>
            </w:pPr>
          </w:p>
        </w:tc>
      </w:tr>
      <w:tr w14:paraId="5B34C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restart"/>
            <w:noWrap w:val="0"/>
            <w:vAlign w:val="center"/>
          </w:tcPr>
          <w:p w14:paraId="29F76608">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拟开展第三方评估工作的主要人员信息三</w:t>
            </w:r>
          </w:p>
        </w:tc>
        <w:tc>
          <w:tcPr>
            <w:tcW w:w="1424" w:type="dxa"/>
            <w:gridSpan w:val="4"/>
            <w:noWrap w:val="0"/>
            <w:vAlign w:val="center"/>
          </w:tcPr>
          <w:p w14:paraId="01F3FEE6">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姓名</w:t>
            </w:r>
          </w:p>
        </w:tc>
        <w:tc>
          <w:tcPr>
            <w:tcW w:w="1424" w:type="dxa"/>
            <w:noWrap w:val="0"/>
            <w:vAlign w:val="center"/>
          </w:tcPr>
          <w:p w14:paraId="1D264E40">
            <w:pPr>
              <w:widowControl w:val="0"/>
              <w:jc w:val="center"/>
              <w:rPr>
                <w:rFonts w:eastAsia="宋体"/>
                <w:color w:val="000000"/>
                <w:kern w:val="2"/>
                <w:sz w:val="21"/>
                <w:szCs w:val="24"/>
                <w:lang w:val="en-US" w:eastAsia="zh-CN" w:bidi="ar-SA"/>
              </w:rPr>
            </w:pPr>
          </w:p>
        </w:tc>
        <w:tc>
          <w:tcPr>
            <w:tcW w:w="1423" w:type="dxa"/>
            <w:gridSpan w:val="2"/>
            <w:noWrap w:val="0"/>
            <w:vAlign w:val="center"/>
          </w:tcPr>
          <w:p w14:paraId="6DE933E2">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性别</w:t>
            </w:r>
          </w:p>
        </w:tc>
        <w:tc>
          <w:tcPr>
            <w:tcW w:w="1424" w:type="dxa"/>
            <w:gridSpan w:val="2"/>
            <w:noWrap w:val="0"/>
            <w:vAlign w:val="center"/>
          </w:tcPr>
          <w:p w14:paraId="5AC981B0">
            <w:pPr>
              <w:widowControl w:val="0"/>
              <w:jc w:val="center"/>
              <w:rPr>
                <w:rFonts w:eastAsia="宋体"/>
                <w:color w:val="000000"/>
                <w:kern w:val="2"/>
                <w:sz w:val="21"/>
                <w:szCs w:val="24"/>
                <w:lang w:val="en-US" w:eastAsia="zh-CN" w:bidi="ar-SA"/>
              </w:rPr>
            </w:pPr>
          </w:p>
        </w:tc>
        <w:tc>
          <w:tcPr>
            <w:tcW w:w="1424" w:type="dxa"/>
            <w:gridSpan w:val="2"/>
            <w:noWrap w:val="0"/>
            <w:vAlign w:val="center"/>
          </w:tcPr>
          <w:p w14:paraId="19B359EB">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出生年月</w:t>
            </w:r>
          </w:p>
        </w:tc>
        <w:tc>
          <w:tcPr>
            <w:tcW w:w="1424" w:type="dxa"/>
            <w:gridSpan w:val="2"/>
            <w:noWrap w:val="0"/>
            <w:vAlign w:val="center"/>
          </w:tcPr>
          <w:p w14:paraId="1F14BE1E">
            <w:pPr>
              <w:widowControl w:val="0"/>
              <w:jc w:val="center"/>
              <w:rPr>
                <w:rFonts w:eastAsia="宋体"/>
                <w:color w:val="000000"/>
                <w:kern w:val="2"/>
                <w:sz w:val="21"/>
                <w:szCs w:val="24"/>
                <w:lang w:val="en-US" w:eastAsia="zh-CN" w:bidi="ar-SA"/>
              </w:rPr>
            </w:pPr>
          </w:p>
        </w:tc>
      </w:tr>
      <w:tr w14:paraId="27267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6B5FB95E">
            <w:pPr>
              <w:widowControl w:val="0"/>
              <w:jc w:val="center"/>
              <w:rPr>
                <w:rFonts w:eastAsia="宋体"/>
                <w:color w:val="000000"/>
                <w:kern w:val="2"/>
                <w:sz w:val="21"/>
                <w:szCs w:val="24"/>
                <w:lang w:val="en-US" w:eastAsia="zh-CN" w:bidi="ar-SA"/>
              </w:rPr>
            </w:pPr>
          </w:p>
        </w:tc>
        <w:tc>
          <w:tcPr>
            <w:tcW w:w="1424" w:type="dxa"/>
            <w:gridSpan w:val="4"/>
            <w:noWrap w:val="0"/>
            <w:vAlign w:val="center"/>
          </w:tcPr>
          <w:p w14:paraId="39DC824A">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身份证号</w:t>
            </w:r>
          </w:p>
        </w:tc>
        <w:tc>
          <w:tcPr>
            <w:tcW w:w="4271" w:type="dxa"/>
            <w:gridSpan w:val="5"/>
            <w:noWrap w:val="0"/>
            <w:vAlign w:val="center"/>
          </w:tcPr>
          <w:p w14:paraId="269F2522">
            <w:pPr>
              <w:widowControl w:val="0"/>
              <w:jc w:val="center"/>
              <w:rPr>
                <w:rFonts w:eastAsia="宋体"/>
                <w:color w:val="000000"/>
                <w:kern w:val="2"/>
                <w:sz w:val="21"/>
                <w:szCs w:val="24"/>
                <w:lang w:val="en-US" w:eastAsia="zh-CN" w:bidi="ar-SA"/>
              </w:rPr>
            </w:pPr>
          </w:p>
        </w:tc>
        <w:tc>
          <w:tcPr>
            <w:tcW w:w="1424" w:type="dxa"/>
            <w:gridSpan w:val="2"/>
            <w:noWrap w:val="0"/>
            <w:vAlign w:val="center"/>
          </w:tcPr>
          <w:p w14:paraId="7E625D73">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民族</w:t>
            </w:r>
          </w:p>
        </w:tc>
        <w:tc>
          <w:tcPr>
            <w:tcW w:w="1424" w:type="dxa"/>
            <w:gridSpan w:val="2"/>
            <w:noWrap w:val="0"/>
            <w:vAlign w:val="center"/>
          </w:tcPr>
          <w:p w14:paraId="71985FB0">
            <w:pPr>
              <w:widowControl w:val="0"/>
              <w:jc w:val="center"/>
              <w:rPr>
                <w:rFonts w:eastAsia="宋体"/>
                <w:color w:val="000000"/>
                <w:kern w:val="2"/>
                <w:sz w:val="21"/>
                <w:szCs w:val="24"/>
                <w:lang w:val="en-US" w:eastAsia="zh-CN" w:bidi="ar-SA"/>
              </w:rPr>
            </w:pPr>
          </w:p>
        </w:tc>
      </w:tr>
      <w:tr w14:paraId="5AC75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7D650783">
            <w:pPr>
              <w:widowControl w:val="0"/>
              <w:jc w:val="center"/>
              <w:rPr>
                <w:rFonts w:eastAsia="宋体"/>
                <w:color w:val="000000"/>
                <w:kern w:val="2"/>
                <w:sz w:val="21"/>
                <w:szCs w:val="24"/>
                <w:lang w:val="en-US" w:eastAsia="zh-CN" w:bidi="ar-SA"/>
              </w:rPr>
            </w:pPr>
          </w:p>
        </w:tc>
        <w:tc>
          <w:tcPr>
            <w:tcW w:w="1424" w:type="dxa"/>
            <w:gridSpan w:val="4"/>
            <w:noWrap w:val="0"/>
            <w:vAlign w:val="center"/>
          </w:tcPr>
          <w:p w14:paraId="0332A2A0">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职称</w:t>
            </w:r>
          </w:p>
        </w:tc>
        <w:tc>
          <w:tcPr>
            <w:tcW w:w="1424" w:type="dxa"/>
            <w:noWrap w:val="0"/>
            <w:vAlign w:val="center"/>
          </w:tcPr>
          <w:p w14:paraId="1513486F">
            <w:pPr>
              <w:widowControl w:val="0"/>
              <w:jc w:val="center"/>
              <w:rPr>
                <w:rFonts w:eastAsia="宋体"/>
                <w:color w:val="000000"/>
                <w:kern w:val="2"/>
                <w:sz w:val="21"/>
                <w:szCs w:val="24"/>
                <w:lang w:val="en-US" w:eastAsia="zh-CN" w:bidi="ar-SA"/>
              </w:rPr>
            </w:pPr>
          </w:p>
        </w:tc>
        <w:tc>
          <w:tcPr>
            <w:tcW w:w="1423" w:type="dxa"/>
            <w:gridSpan w:val="2"/>
            <w:noWrap w:val="0"/>
            <w:vAlign w:val="center"/>
          </w:tcPr>
          <w:p w14:paraId="72324FCB">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从事专业</w:t>
            </w:r>
          </w:p>
        </w:tc>
        <w:tc>
          <w:tcPr>
            <w:tcW w:w="1424" w:type="dxa"/>
            <w:gridSpan w:val="2"/>
            <w:noWrap w:val="0"/>
            <w:vAlign w:val="center"/>
          </w:tcPr>
          <w:p w14:paraId="43F1AF3F">
            <w:pPr>
              <w:widowControl w:val="0"/>
              <w:jc w:val="center"/>
              <w:rPr>
                <w:rFonts w:eastAsia="宋体"/>
                <w:color w:val="000000"/>
                <w:kern w:val="2"/>
                <w:sz w:val="21"/>
                <w:szCs w:val="24"/>
                <w:lang w:val="en-US" w:eastAsia="zh-CN" w:bidi="ar-SA"/>
              </w:rPr>
            </w:pPr>
          </w:p>
        </w:tc>
        <w:tc>
          <w:tcPr>
            <w:tcW w:w="1424" w:type="dxa"/>
            <w:gridSpan w:val="2"/>
            <w:noWrap w:val="0"/>
            <w:vAlign w:val="center"/>
          </w:tcPr>
          <w:p w14:paraId="6A1A3A58">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学历学位</w:t>
            </w:r>
          </w:p>
        </w:tc>
        <w:tc>
          <w:tcPr>
            <w:tcW w:w="1424" w:type="dxa"/>
            <w:gridSpan w:val="2"/>
            <w:noWrap w:val="0"/>
            <w:vAlign w:val="center"/>
          </w:tcPr>
          <w:p w14:paraId="22CEECB5">
            <w:pPr>
              <w:widowControl w:val="0"/>
              <w:jc w:val="center"/>
              <w:rPr>
                <w:rFonts w:eastAsia="宋体"/>
                <w:color w:val="000000"/>
                <w:kern w:val="2"/>
                <w:sz w:val="21"/>
                <w:szCs w:val="24"/>
                <w:lang w:val="en-US" w:eastAsia="zh-CN" w:bidi="ar-SA"/>
              </w:rPr>
            </w:pPr>
          </w:p>
        </w:tc>
      </w:tr>
      <w:tr w14:paraId="18BE8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0534B2BF">
            <w:pPr>
              <w:widowControl w:val="0"/>
              <w:jc w:val="center"/>
              <w:rPr>
                <w:rFonts w:eastAsia="宋体"/>
                <w:color w:val="000000"/>
                <w:kern w:val="2"/>
                <w:sz w:val="21"/>
                <w:szCs w:val="24"/>
                <w:lang w:val="en-US" w:eastAsia="zh-CN" w:bidi="ar-SA"/>
              </w:rPr>
            </w:pPr>
          </w:p>
        </w:tc>
        <w:tc>
          <w:tcPr>
            <w:tcW w:w="1424" w:type="dxa"/>
            <w:gridSpan w:val="4"/>
            <w:noWrap w:val="0"/>
            <w:vAlign w:val="center"/>
          </w:tcPr>
          <w:p w14:paraId="69793A31">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单位职务</w:t>
            </w:r>
          </w:p>
        </w:tc>
        <w:tc>
          <w:tcPr>
            <w:tcW w:w="1424" w:type="dxa"/>
            <w:noWrap w:val="0"/>
            <w:vAlign w:val="center"/>
          </w:tcPr>
          <w:p w14:paraId="0BC110F7">
            <w:pPr>
              <w:widowControl w:val="0"/>
              <w:jc w:val="center"/>
              <w:rPr>
                <w:rFonts w:eastAsia="宋体"/>
                <w:color w:val="000000"/>
                <w:kern w:val="2"/>
                <w:sz w:val="21"/>
                <w:szCs w:val="24"/>
                <w:lang w:val="en-US" w:eastAsia="zh-CN" w:bidi="ar-SA"/>
              </w:rPr>
            </w:pPr>
          </w:p>
        </w:tc>
        <w:tc>
          <w:tcPr>
            <w:tcW w:w="1423" w:type="dxa"/>
            <w:gridSpan w:val="2"/>
            <w:noWrap w:val="0"/>
            <w:vAlign w:val="center"/>
          </w:tcPr>
          <w:p w14:paraId="029DEC27">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联系电话</w:t>
            </w:r>
          </w:p>
        </w:tc>
        <w:tc>
          <w:tcPr>
            <w:tcW w:w="1424" w:type="dxa"/>
            <w:gridSpan w:val="2"/>
            <w:noWrap w:val="0"/>
            <w:vAlign w:val="center"/>
          </w:tcPr>
          <w:p w14:paraId="624C2CDF">
            <w:pPr>
              <w:widowControl w:val="0"/>
              <w:jc w:val="center"/>
              <w:rPr>
                <w:rFonts w:eastAsia="宋体"/>
                <w:color w:val="000000"/>
                <w:kern w:val="2"/>
                <w:sz w:val="21"/>
                <w:szCs w:val="24"/>
                <w:lang w:val="en-US" w:eastAsia="zh-CN" w:bidi="ar-SA"/>
              </w:rPr>
            </w:pPr>
          </w:p>
        </w:tc>
        <w:tc>
          <w:tcPr>
            <w:tcW w:w="1424" w:type="dxa"/>
            <w:gridSpan w:val="2"/>
            <w:noWrap w:val="0"/>
            <w:vAlign w:val="center"/>
          </w:tcPr>
          <w:p w14:paraId="65491236">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电子邮箱</w:t>
            </w:r>
          </w:p>
        </w:tc>
        <w:tc>
          <w:tcPr>
            <w:tcW w:w="1424" w:type="dxa"/>
            <w:gridSpan w:val="2"/>
            <w:noWrap w:val="0"/>
            <w:vAlign w:val="center"/>
          </w:tcPr>
          <w:p w14:paraId="04350922">
            <w:pPr>
              <w:widowControl w:val="0"/>
              <w:jc w:val="center"/>
              <w:rPr>
                <w:rFonts w:eastAsia="宋体"/>
                <w:color w:val="000000"/>
                <w:kern w:val="2"/>
                <w:sz w:val="21"/>
                <w:szCs w:val="24"/>
                <w:lang w:val="en-US" w:eastAsia="zh-CN" w:bidi="ar-SA"/>
              </w:rPr>
            </w:pPr>
          </w:p>
        </w:tc>
      </w:tr>
      <w:tr w14:paraId="25000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47B2494D">
            <w:pPr>
              <w:widowControl w:val="0"/>
              <w:jc w:val="center"/>
              <w:rPr>
                <w:rFonts w:eastAsia="宋体"/>
                <w:color w:val="000000"/>
                <w:kern w:val="2"/>
                <w:sz w:val="21"/>
                <w:szCs w:val="24"/>
                <w:lang w:val="en-US" w:eastAsia="zh-CN" w:bidi="ar-SA"/>
              </w:rPr>
            </w:pPr>
          </w:p>
        </w:tc>
        <w:tc>
          <w:tcPr>
            <w:tcW w:w="2848" w:type="dxa"/>
            <w:gridSpan w:val="5"/>
            <w:noWrap w:val="0"/>
            <w:vAlign w:val="center"/>
          </w:tcPr>
          <w:p w14:paraId="4E2DBFDC">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专业工作年限</w:t>
            </w:r>
          </w:p>
        </w:tc>
        <w:tc>
          <w:tcPr>
            <w:tcW w:w="1423" w:type="dxa"/>
            <w:gridSpan w:val="2"/>
            <w:noWrap w:val="0"/>
            <w:vAlign w:val="center"/>
          </w:tcPr>
          <w:p w14:paraId="4B1ACD28">
            <w:pPr>
              <w:widowControl w:val="0"/>
              <w:jc w:val="center"/>
              <w:rPr>
                <w:rFonts w:eastAsia="宋体"/>
                <w:color w:val="000000"/>
                <w:kern w:val="2"/>
                <w:sz w:val="21"/>
                <w:szCs w:val="24"/>
                <w:lang w:val="en-US" w:eastAsia="zh-CN" w:bidi="ar-SA"/>
              </w:rPr>
            </w:pPr>
          </w:p>
        </w:tc>
        <w:tc>
          <w:tcPr>
            <w:tcW w:w="2848" w:type="dxa"/>
            <w:gridSpan w:val="4"/>
            <w:noWrap w:val="0"/>
            <w:vAlign w:val="center"/>
          </w:tcPr>
          <w:p w14:paraId="70D1F300">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个人签名</w:t>
            </w:r>
          </w:p>
        </w:tc>
        <w:tc>
          <w:tcPr>
            <w:tcW w:w="1424" w:type="dxa"/>
            <w:gridSpan w:val="2"/>
            <w:noWrap w:val="0"/>
            <w:vAlign w:val="center"/>
          </w:tcPr>
          <w:p w14:paraId="48348117">
            <w:pPr>
              <w:widowControl w:val="0"/>
              <w:jc w:val="center"/>
              <w:rPr>
                <w:rFonts w:eastAsia="宋体"/>
                <w:color w:val="000000"/>
                <w:kern w:val="2"/>
                <w:sz w:val="21"/>
                <w:szCs w:val="24"/>
                <w:lang w:val="en-US" w:eastAsia="zh-CN" w:bidi="ar-SA"/>
              </w:rPr>
            </w:pPr>
          </w:p>
        </w:tc>
      </w:tr>
      <w:tr w14:paraId="7CBA1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restart"/>
            <w:noWrap w:val="0"/>
            <w:vAlign w:val="center"/>
          </w:tcPr>
          <w:p w14:paraId="030D68D1">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拟开展第三方评估工作的主要人员信息四</w:t>
            </w:r>
          </w:p>
        </w:tc>
        <w:tc>
          <w:tcPr>
            <w:tcW w:w="1424" w:type="dxa"/>
            <w:gridSpan w:val="4"/>
            <w:noWrap w:val="0"/>
            <w:vAlign w:val="center"/>
          </w:tcPr>
          <w:p w14:paraId="191E5E22">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姓名</w:t>
            </w:r>
          </w:p>
        </w:tc>
        <w:tc>
          <w:tcPr>
            <w:tcW w:w="1424" w:type="dxa"/>
            <w:noWrap w:val="0"/>
            <w:vAlign w:val="center"/>
          </w:tcPr>
          <w:p w14:paraId="1A17193B">
            <w:pPr>
              <w:widowControl w:val="0"/>
              <w:jc w:val="center"/>
              <w:rPr>
                <w:rFonts w:eastAsia="宋体"/>
                <w:color w:val="000000"/>
                <w:kern w:val="2"/>
                <w:sz w:val="21"/>
                <w:szCs w:val="24"/>
                <w:lang w:val="en-US" w:eastAsia="zh-CN" w:bidi="ar-SA"/>
              </w:rPr>
            </w:pPr>
          </w:p>
        </w:tc>
        <w:tc>
          <w:tcPr>
            <w:tcW w:w="1423" w:type="dxa"/>
            <w:gridSpan w:val="2"/>
            <w:noWrap w:val="0"/>
            <w:vAlign w:val="center"/>
          </w:tcPr>
          <w:p w14:paraId="6AECC116">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性别</w:t>
            </w:r>
          </w:p>
        </w:tc>
        <w:tc>
          <w:tcPr>
            <w:tcW w:w="1424" w:type="dxa"/>
            <w:gridSpan w:val="2"/>
            <w:noWrap w:val="0"/>
            <w:vAlign w:val="center"/>
          </w:tcPr>
          <w:p w14:paraId="7C43BD5D">
            <w:pPr>
              <w:widowControl w:val="0"/>
              <w:jc w:val="center"/>
              <w:rPr>
                <w:rFonts w:eastAsia="宋体"/>
                <w:color w:val="000000"/>
                <w:kern w:val="2"/>
                <w:sz w:val="21"/>
                <w:szCs w:val="24"/>
                <w:lang w:val="en-US" w:eastAsia="zh-CN" w:bidi="ar-SA"/>
              </w:rPr>
            </w:pPr>
          </w:p>
        </w:tc>
        <w:tc>
          <w:tcPr>
            <w:tcW w:w="1424" w:type="dxa"/>
            <w:gridSpan w:val="2"/>
            <w:noWrap w:val="0"/>
            <w:vAlign w:val="center"/>
          </w:tcPr>
          <w:p w14:paraId="40B4A957">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出生年月</w:t>
            </w:r>
          </w:p>
        </w:tc>
        <w:tc>
          <w:tcPr>
            <w:tcW w:w="1424" w:type="dxa"/>
            <w:gridSpan w:val="2"/>
            <w:noWrap w:val="0"/>
            <w:vAlign w:val="center"/>
          </w:tcPr>
          <w:p w14:paraId="43B5F09F">
            <w:pPr>
              <w:widowControl w:val="0"/>
              <w:jc w:val="center"/>
              <w:rPr>
                <w:rFonts w:eastAsia="宋体"/>
                <w:color w:val="000000"/>
                <w:kern w:val="2"/>
                <w:sz w:val="21"/>
                <w:szCs w:val="24"/>
                <w:lang w:val="en-US" w:eastAsia="zh-CN" w:bidi="ar-SA"/>
              </w:rPr>
            </w:pPr>
          </w:p>
        </w:tc>
      </w:tr>
      <w:tr w14:paraId="2D080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1E501650">
            <w:pPr>
              <w:widowControl w:val="0"/>
              <w:jc w:val="center"/>
              <w:rPr>
                <w:rFonts w:eastAsia="宋体"/>
                <w:color w:val="000000"/>
                <w:kern w:val="2"/>
                <w:sz w:val="21"/>
                <w:szCs w:val="24"/>
                <w:lang w:val="en-US" w:eastAsia="zh-CN" w:bidi="ar-SA"/>
              </w:rPr>
            </w:pPr>
          </w:p>
        </w:tc>
        <w:tc>
          <w:tcPr>
            <w:tcW w:w="1424" w:type="dxa"/>
            <w:gridSpan w:val="4"/>
            <w:noWrap w:val="0"/>
            <w:vAlign w:val="center"/>
          </w:tcPr>
          <w:p w14:paraId="21E9ECFD">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身份证号</w:t>
            </w:r>
          </w:p>
        </w:tc>
        <w:tc>
          <w:tcPr>
            <w:tcW w:w="4271" w:type="dxa"/>
            <w:gridSpan w:val="5"/>
            <w:noWrap w:val="0"/>
            <w:vAlign w:val="center"/>
          </w:tcPr>
          <w:p w14:paraId="1EECC969">
            <w:pPr>
              <w:widowControl w:val="0"/>
              <w:jc w:val="center"/>
              <w:rPr>
                <w:rFonts w:eastAsia="宋体"/>
                <w:color w:val="000000"/>
                <w:kern w:val="2"/>
                <w:sz w:val="21"/>
                <w:szCs w:val="24"/>
                <w:lang w:val="en-US" w:eastAsia="zh-CN" w:bidi="ar-SA"/>
              </w:rPr>
            </w:pPr>
          </w:p>
        </w:tc>
        <w:tc>
          <w:tcPr>
            <w:tcW w:w="1424" w:type="dxa"/>
            <w:gridSpan w:val="2"/>
            <w:noWrap w:val="0"/>
            <w:vAlign w:val="center"/>
          </w:tcPr>
          <w:p w14:paraId="3FFD7438">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民族</w:t>
            </w:r>
          </w:p>
        </w:tc>
        <w:tc>
          <w:tcPr>
            <w:tcW w:w="1424" w:type="dxa"/>
            <w:gridSpan w:val="2"/>
            <w:noWrap w:val="0"/>
            <w:vAlign w:val="center"/>
          </w:tcPr>
          <w:p w14:paraId="5B4FEBE2">
            <w:pPr>
              <w:widowControl w:val="0"/>
              <w:jc w:val="center"/>
              <w:rPr>
                <w:rFonts w:eastAsia="宋体"/>
                <w:color w:val="000000"/>
                <w:kern w:val="2"/>
                <w:sz w:val="21"/>
                <w:szCs w:val="24"/>
                <w:lang w:val="en-US" w:eastAsia="zh-CN" w:bidi="ar-SA"/>
              </w:rPr>
            </w:pPr>
          </w:p>
        </w:tc>
      </w:tr>
      <w:tr w14:paraId="197FE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1E26BE6E">
            <w:pPr>
              <w:widowControl w:val="0"/>
              <w:jc w:val="center"/>
              <w:rPr>
                <w:rFonts w:eastAsia="宋体"/>
                <w:color w:val="000000"/>
                <w:kern w:val="2"/>
                <w:sz w:val="21"/>
                <w:szCs w:val="24"/>
                <w:lang w:val="en-US" w:eastAsia="zh-CN" w:bidi="ar-SA"/>
              </w:rPr>
            </w:pPr>
          </w:p>
        </w:tc>
        <w:tc>
          <w:tcPr>
            <w:tcW w:w="1424" w:type="dxa"/>
            <w:gridSpan w:val="4"/>
            <w:noWrap w:val="0"/>
            <w:vAlign w:val="center"/>
          </w:tcPr>
          <w:p w14:paraId="63B12332">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职称</w:t>
            </w:r>
          </w:p>
        </w:tc>
        <w:tc>
          <w:tcPr>
            <w:tcW w:w="1424" w:type="dxa"/>
            <w:noWrap w:val="0"/>
            <w:vAlign w:val="center"/>
          </w:tcPr>
          <w:p w14:paraId="5F62BD21">
            <w:pPr>
              <w:widowControl w:val="0"/>
              <w:jc w:val="center"/>
              <w:rPr>
                <w:rFonts w:eastAsia="宋体"/>
                <w:color w:val="000000"/>
                <w:kern w:val="2"/>
                <w:sz w:val="21"/>
                <w:szCs w:val="24"/>
                <w:lang w:val="en-US" w:eastAsia="zh-CN" w:bidi="ar-SA"/>
              </w:rPr>
            </w:pPr>
          </w:p>
        </w:tc>
        <w:tc>
          <w:tcPr>
            <w:tcW w:w="1423" w:type="dxa"/>
            <w:gridSpan w:val="2"/>
            <w:noWrap w:val="0"/>
            <w:vAlign w:val="center"/>
          </w:tcPr>
          <w:p w14:paraId="05319531">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从事专业</w:t>
            </w:r>
          </w:p>
        </w:tc>
        <w:tc>
          <w:tcPr>
            <w:tcW w:w="1424" w:type="dxa"/>
            <w:gridSpan w:val="2"/>
            <w:noWrap w:val="0"/>
            <w:vAlign w:val="center"/>
          </w:tcPr>
          <w:p w14:paraId="50D48C04">
            <w:pPr>
              <w:widowControl w:val="0"/>
              <w:jc w:val="center"/>
              <w:rPr>
                <w:rFonts w:eastAsia="宋体"/>
                <w:color w:val="000000"/>
                <w:kern w:val="2"/>
                <w:sz w:val="21"/>
                <w:szCs w:val="24"/>
                <w:lang w:val="en-US" w:eastAsia="zh-CN" w:bidi="ar-SA"/>
              </w:rPr>
            </w:pPr>
          </w:p>
        </w:tc>
        <w:tc>
          <w:tcPr>
            <w:tcW w:w="1424" w:type="dxa"/>
            <w:gridSpan w:val="2"/>
            <w:noWrap w:val="0"/>
            <w:vAlign w:val="center"/>
          </w:tcPr>
          <w:p w14:paraId="62281CA2">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学历学位</w:t>
            </w:r>
          </w:p>
        </w:tc>
        <w:tc>
          <w:tcPr>
            <w:tcW w:w="1424" w:type="dxa"/>
            <w:gridSpan w:val="2"/>
            <w:noWrap w:val="0"/>
            <w:vAlign w:val="center"/>
          </w:tcPr>
          <w:p w14:paraId="5779CE38">
            <w:pPr>
              <w:widowControl w:val="0"/>
              <w:jc w:val="center"/>
              <w:rPr>
                <w:rFonts w:eastAsia="宋体"/>
                <w:color w:val="000000"/>
                <w:kern w:val="2"/>
                <w:sz w:val="21"/>
                <w:szCs w:val="24"/>
                <w:lang w:val="en-US" w:eastAsia="zh-CN" w:bidi="ar-SA"/>
              </w:rPr>
            </w:pPr>
          </w:p>
        </w:tc>
      </w:tr>
      <w:tr w14:paraId="0233F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670D89A3">
            <w:pPr>
              <w:widowControl w:val="0"/>
              <w:jc w:val="center"/>
              <w:rPr>
                <w:rFonts w:eastAsia="宋体"/>
                <w:color w:val="000000"/>
                <w:kern w:val="2"/>
                <w:sz w:val="21"/>
                <w:szCs w:val="24"/>
                <w:lang w:val="en-US" w:eastAsia="zh-CN" w:bidi="ar-SA"/>
              </w:rPr>
            </w:pPr>
          </w:p>
        </w:tc>
        <w:tc>
          <w:tcPr>
            <w:tcW w:w="1424" w:type="dxa"/>
            <w:gridSpan w:val="4"/>
            <w:noWrap w:val="0"/>
            <w:vAlign w:val="center"/>
          </w:tcPr>
          <w:p w14:paraId="4732C836">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单位职务</w:t>
            </w:r>
          </w:p>
        </w:tc>
        <w:tc>
          <w:tcPr>
            <w:tcW w:w="1424" w:type="dxa"/>
            <w:noWrap w:val="0"/>
            <w:vAlign w:val="center"/>
          </w:tcPr>
          <w:p w14:paraId="65AED7C0">
            <w:pPr>
              <w:widowControl w:val="0"/>
              <w:jc w:val="center"/>
              <w:rPr>
                <w:rFonts w:eastAsia="宋体"/>
                <w:color w:val="000000"/>
                <w:kern w:val="2"/>
                <w:sz w:val="21"/>
                <w:szCs w:val="24"/>
                <w:lang w:val="en-US" w:eastAsia="zh-CN" w:bidi="ar-SA"/>
              </w:rPr>
            </w:pPr>
          </w:p>
        </w:tc>
        <w:tc>
          <w:tcPr>
            <w:tcW w:w="1423" w:type="dxa"/>
            <w:gridSpan w:val="2"/>
            <w:noWrap w:val="0"/>
            <w:vAlign w:val="center"/>
          </w:tcPr>
          <w:p w14:paraId="30571478">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联系电话</w:t>
            </w:r>
          </w:p>
        </w:tc>
        <w:tc>
          <w:tcPr>
            <w:tcW w:w="1424" w:type="dxa"/>
            <w:gridSpan w:val="2"/>
            <w:noWrap w:val="0"/>
            <w:vAlign w:val="center"/>
          </w:tcPr>
          <w:p w14:paraId="1516CD9A">
            <w:pPr>
              <w:widowControl w:val="0"/>
              <w:jc w:val="center"/>
              <w:rPr>
                <w:rFonts w:eastAsia="宋体"/>
                <w:color w:val="000000"/>
                <w:kern w:val="2"/>
                <w:sz w:val="21"/>
                <w:szCs w:val="24"/>
                <w:lang w:val="en-US" w:eastAsia="zh-CN" w:bidi="ar-SA"/>
              </w:rPr>
            </w:pPr>
          </w:p>
        </w:tc>
        <w:tc>
          <w:tcPr>
            <w:tcW w:w="1424" w:type="dxa"/>
            <w:gridSpan w:val="2"/>
            <w:noWrap w:val="0"/>
            <w:vAlign w:val="center"/>
          </w:tcPr>
          <w:p w14:paraId="22D4E175">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电子邮箱</w:t>
            </w:r>
          </w:p>
        </w:tc>
        <w:tc>
          <w:tcPr>
            <w:tcW w:w="1424" w:type="dxa"/>
            <w:gridSpan w:val="2"/>
            <w:noWrap w:val="0"/>
            <w:vAlign w:val="center"/>
          </w:tcPr>
          <w:p w14:paraId="2EDAB7C6">
            <w:pPr>
              <w:widowControl w:val="0"/>
              <w:jc w:val="center"/>
              <w:rPr>
                <w:rFonts w:eastAsia="宋体"/>
                <w:color w:val="000000"/>
                <w:kern w:val="2"/>
                <w:sz w:val="21"/>
                <w:szCs w:val="24"/>
                <w:lang w:val="en-US" w:eastAsia="zh-CN" w:bidi="ar-SA"/>
              </w:rPr>
            </w:pPr>
          </w:p>
        </w:tc>
      </w:tr>
      <w:tr w14:paraId="24E4B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33C26B27">
            <w:pPr>
              <w:widowControl w:val="0"/>
              <w:jc w:val="center"/>
              <w:rPr>
                <w:rFonts w:eastAsia="宋体"/>
                <w:color w:val="000000"/>
                <w:kern w:val="2"/>
                <w:sz w:val="21"/>
                <w:szCs w:val="24"/>
                <w:lang w:val="en-US" w:eastAsia="zh-CN" w:bidi="ar-SA"/>
              </w:rPr>
            </w:pPr>
          </w:p>
        </w:tc>
        <w:tc>
          <w:tcPr>
            <w:tcW w:w="2848" w:type="dxa"/>
            <w:gridSpan w:val="5"/>
            <w:noWrap w:val="0"/>
            <w:vAlign w:val="center"/>
          </w:tcPr>
          <w:p w14:paraId="4FFF855E">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专业工作年限</w:t>
            </w:r>
          </w:p>
        </w:tc>
        <w:tc>
          <w:tcPr>
            <w:tcW w:w="1423" w:type="dxa"/>
            <w:gridSpan w:val="2"/>
            <w:noWrap w:val="0"/>
            <w:vAlign w:val="center"/>
          </w:tcPr>
          <w:p w14:paraId="4B4E3998">
            <w:pPr>
              <w:widowControl w:val="0"/>
              <w:jc w:val="center"/>
              <w:rPr>
                <w:rFonts w:eastAsia="宋体"/>
                <w:color w:val="000000"/>
                <w:kern w:val="2"/>
                <w:sz w:val="21"/>
                <w:szCs w:val="24"/>
                <w:lang w:val="en-US" w:eastAsia="zh-CN" w:bidi="ar-SA"/>
              </w:rPr>
            </w:pPr>
          </w:p>
        </w:tc>
        <w:tc>
          <w:tcPr>
            <w:tcW w:w="2848" w:type="dxa"/>
            <w:gridSpan w:val="4"/>
            <w:noWrap w:val="0"/>
            <w:vAlign w:val="center"/>
          </w:tcPr>
          <w:p w14:paraId="6C5B1DCE">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个人签名</w:t>
            </w:r>
          </w:p>
        </w:tc>
        <w:tc>
          <w:tcPr>
            <w:tcW w:w="1424" w:type="dxa"/>
            <w:gridSpan w:val="2"/>
            <w:noWrap w:val="0"/>
            <w:vAlign w:val="center"/>
          </w:tcPr>
          <w:p w14:paraId="5DB4FC23">
            <w:pPr>
              <w:widowControl w:val="0"/>
              <w:jc w:val="center"/>
              <w:rPr>
                <w:rFonts w:eastAsia="宋体"/>
                <w:color w:val="000000"/>
                <w:kern w:val="2"/>
                <w:sz w:val="21"/>
                <w:szCs w:val="24"/>
                <w:lang w:val="en-US" w:eastAsia="zh-CN" w:bidi="ar-SA"/>
              </w:rPr>
            </w:pPr>
          </w:p>
        </w:tc>
      </w:tr>
      <w:tr w14:paraId="5E007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restart"/>
            <w:noWrap w:val="0"/>
            <w:vAlign w:val="center"/>
          </w:tcPr>
          <w:p w14:paraId="3AFB8F84">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拟开展第三方评估工作的主要人员信息五</w:t>
            </w:r>
          </w:p>
        </w:tc>
        <w:tc>
          <w:tcPr>
            <w:tcW w:w="1424" w:type="dxa"/>
            <w:gridSpan w:val="4"/>
            <w:noWrap w:val="0"/>
            <w:vAlign w:val="center"/>
          </w:tcPr>
          <w:p w14:paraId="073927B3">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姓名</w:t>
            </w:r>
          </w:p>
        </w:tc>
        <w:tc>
          <w:tcPr>
            <w:tcW w:w="1424" w:type="dxa"/>
            <w:noWrap w:val="0"/>
            <w:vAlign w:val="center"/>
          </w:tcPr>
          <w:p w14:paraId="60728DCB">
            <w:pPr>
              <w:widowControl w:val="0"/>
              <w:jc w:val="center"/>
              <w:rPr>
                <w:rFonts w:eastAsia="宋体"/>
                <w:color w:val="000000"/>
                <w:kern w:val="2"/>
                <w:sz w:val="21"/>
                <w:szCs w:val="24"/>
                <w:lang w:val="en-US" w:eastAsia="zh-CN" w:bidi="ar-SA"/>
              </w:rPr>
            </w:pPr>
          </w:p>
        </w:tc>
        <w:tc>
          <w:tcPr>
            <w:tcW w:w="1423" w:type="dxa"/>
            <w:gridSpan w:val="2"/>
            <w:noWrap w:val="0"/>
            <w:vAlign w:val="center"/>
          </w:tcPr>
          <w:p w14:paraId="15BC57B5">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性别</w:t>
            </w:r>
          </w:p>
        </w:tc>
        <w:tc>
          <w:tcPr>
            <w:tcW w:w="1424" w:type="dxa"/>
            <w:gridSpan w:val="2"/>
            <w:noWrap w:val="0"/>
            <w:vAlign w:val="center"/>
          </w:tcPr>
          <w:p w14:paraId="620A0871">
            <w:pPr>
              <w:widowControl w:val="0"/>
              <w:jc w:val="center"/>
              <w:rPr>
                <w:rFonts w:eastAsia="宋体"/>
                <w:color w:val="000000"/>
                <w:kern w:val="2"/>
                <w:sz w:val="21"/>
                <w:szCs w:val="24"/>
                <w:lang w:val="en-US" w:eastAsia="zh-CN" w:bidi="ar-SA"/>
              </w:rPr>
            </w:pPr>
          </w:p>
        </w:tc>
        <w:tc>
          <w:tcPr>
            <w:tcW w:w="1424" w:type="dxa"/>
            <w:gridSpan w:val="2"/>
            <w:noWrap w:val="0"/>
            <w:vAlign w:val="center"/>
          </w:tcPr>
          <w:p w14:paraId="5883CF29">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出生年月</w:t>
            </w:r>
          </w:p>
        </w:tc>
        <w:tc>
          <w:tcPr>
            <w:tcW w:w="1424" w:type="dxa"/>
            <w:gridSpan w:val="2"/>
            <w:noWrap w:val="0"/>
            <w:vAlign w:val="center"/>
          </w:tcPr>
          <w:p w14:paraId="4D828289">
            <w:pPr>
              <w:widowControl w:val="0"/>
              <w:jc w:val="center"/>
              <w:rPr>
                <w:rFonts w:eastAsia="宋体"/>
                <w:color w:val="000000"/>
                <w:kern w:val="2"/>
                <w:sz w:val="21"/>
                <w:szCs w:val="24"/>
                <w:lang w:val="en-US" w:eastAsia="zh-CN" w:bidi="ar-SA"/>
              </w:rPr>
            </w:pPr>
          </w:p>
        </w:tc>
      </w:tr>
      <w:tr w14:paraId="636A5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1644109F">
            <w:pPr>
              <w:widowControl w:val="0"/>
              <w:jc w:val="center"/>
              <w:rPr>
                <w:rFonts w:eastAsia="宋体"/>
                <w:color w:val="000000"/>
                <w:kern w:val="2"/>
                <w:sz w:val="21"/>
                <w:szCs w:val="24"/>
                <w:lang w:val="en-US" w:eastAsia="zh-CN" w:bidi="ar-SA"/>
              </w:rPr>
            </w:pPr>
          </w:p>
        </w:tc>
        <w:tc>
          <w:tcPr>
            <w:tcW w:w="1424" w:type="dxa"/>
            <w:gridSpan w:val="4"/>
            <w:noWrap w:val="0"/>
            <w:vAlign w:val="center"/>
          </w:tcPr>
          <w:p w14:paraId="3AF3B609">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身份证号</w:t>
            </w:r>
          </w:p>
        </w:tc>
        <w:tc>
          <w:tcPr>
            <w:tcW w:w="4271" w:type="dxa"/>
            <w:gridSpan w:val="5"/>
            <w:noWrap w:val="0"/>
            <w:vAlign w:val="center"/>
          </w:tcPr>
          <w:p w14:paraId="273E03A6">
            <w:pPr>
              <w:widowControl w:val="0"/>
              <w:jc w:val="center"/>
              <w:rPr>
                <w:rFonts w:eastAsia="宋体"/>
                <w:color w:val="000000"/>
                <w:kern w:val="2"/>
                <w:sz w:val="21"/>
                <w:szCs w:val="24"/>
                <w:lang w:val="en-US" w:eastAsia="zh-CN" w:bidi="ar-SA"/>
              </w:rPr>
            </w:pPr>
          </w:p>
        </w:tc>
        <w:tc>
          <w:tcPr>
            <w:tcW w:w="1424" w:type="dxa"/>
            <w:gridSpan w:val="2"/>
            <w:noWrap w:val="0"/>
            <w:vAlign w:val="center"/>
          </w:tcPr>
          <w:p w14:paraId="0FE16AF5">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民族</w:t>
            </w:r>
          </w:p>
        </w:tc>
        <w:tc>
          <w:tcPr>
            <w:tcW w:w="1424" w:type="dxa"/>
            <w:gridSpan w:val="2"/>
            <w:noWrap w:val="0"/>
            <w:vAlign w:val="center"/>
          </w:tcPr>
          <w:p w14:paraId="6A22BE6A">
            <w:pPr>
              <w:widowControl w:val="0"/>
              <w:jc w:val="center"/>
              <w:rPr>
                <w:rFonts w:eastAsia="宋体"/>
                <w:color w:val="000000"/>
                <w:kern w:val="2"/>
                <w:sz w:val="21"/>
                <w:szCs w:val="24"/>
                <w:lang w:val="en-US" w:eastAsia="zh-CN" w:bidi="ar-SA"/>
              </w:rPr>
            </w:pPr>
          </w:p>
        </w:tc>
      </w:tr>
      <w:tr w14:paraId="02DC0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4CDB2ADF">
            <w:pPr>
              <w:widowControl w:val="0"/>
              <w:jc w:val="center"/>
              <w:rPr>
                <w:rFonts w:eastAsia="宋体"/>
                <w:color w:val="000000"/>
                <w:kern w:val="2"/>
                <w:sz w:val="21"/>
                <w:szCs w:val="24"/>
                <w:lang w:val="en-US" w:eastAsia="zh-CN" w:bidi="ar-SA"/>
              </w:rPr>
            </w:pPr>
          </w:p>
        </w:tc>
        <w:tc>
          <w:tcPr>
            <w:tcW w:w="1424" w:type="dxa"/>
            <w:gridSpan w:val="4"/>
            <w:noWrap w:val="0"/>
            <w:vAlign w:val="center"/>
          </w:tcPr>
          <w:p w14:paraId="2C7DF0B8">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职称</w:t>
            </w:r>
          </w:p>
        </w:tc>
        <w:tc>
          <w:tcPr>
            <w:tcW w:w="1424" w:type="dxa"/>
            <w:noWrap w:val="0"/>
            <w:vAlign w:val="center"/>
          </w:tcPr>
          <w:p w14:paraId="70F7C0C5">
            <w:pPr>
              <w:widowControl w:val="0"/>
              <w:jc w:val="center"/>
              <w:rPr>
                <w:rFonts w:eastAsia="宋体"/>
                <w:color w:val="000000"/>
                <w:kern w:val="2"/>
                <w:sz w:val="21"/>
                <w:szCs w:val="24"/>
                <w:lang w:val="en-US" w:eastAsia="zh-CN" w:bidi="ar-SA"/>
              </w:rPr>
            </w:pPr>
          </w:p>
        </w:tc>
        <w:tc>
          <w:tcPr>
            <w:tcW w:w="1423" w:type="dxa"/>
            <w:gridSpan w:val="2"/>
            <w:noWrap w:val="0"/>
            <w:vAlign w:val="center"/>
          </w:tcPr>
          <w:p w14:paraId="63612F59">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从事专业</w:t>
            </w:r>
          </w:p>
        </w:tc>
        <w:tc>
          <w:tcPr>
            <w:tcW w:w="1424" w:type="dxa"/>
            <w:gridSpan w:val="2"/>
            <w:noWrap w:val="0"/>
            <w:vAlign w:val="center"/>
          </w:tcPr>
          <w:p w14:paraId="3851C605">
            <w:pPr>
              <w:widowControl w:val="0"/>
              <w:jc w:val="center"/>
              <w:rPr>
                <w:rFonts w:eastAsia="宋体"/>
                <w:color w:val="000000"/>
                <w:kern w:val="2"/>
                <w:sz w:val="21"/>
                <w:szCs w:val="24"/>
                <w:lang w:val="en-US" w:eastAsia="zh-CN" w:bidi="ar-SA"/>
              </w:rPr>
            </w:pPr>
          </w:p>
        </w:tc>
        <w:tc>
          <w:tcPr>
            <w:tcW w:w="1424" w:type="dxa"/>
            <w:gridSpan w:val="2"/>
            <w:noWrap w:val="0"/>
            <w:vAlign w:val="center"/>
          </w:tcPr>
          <w:p w14:paraId="40E70DE2">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学历学位</w:t>
            </w:r>
          </w:p>
        </w:tc>
        <w:tc>
          <w:tcPr>
            <w:tcW w:w="1424" w:type="dxa"/>
            <w:gridSpan w:val="2"/>
            <w:noWrap w:val="0"/>
            <w:vAlign w:val="center"/>
          </w:tcPr>
          <w:p w14:paraId="15B63942">
            <w:pPr>
              <w:widowControl w:val="0"/>
              <w:jc w:val="center"/>
              <w:rPr>
                <w:rFonts w:eastAsia="宋体"/>
                <w:color w:val="000000"/>
                <w:kern w:val="2"/>
                <w:sz w:val="21"/>
                <w:szCs w:val="24"/>
                <w:lang w:val="en-US" w:eastAsia="zh-CN" w:bidi="ar-SA"/>
              </w:rPr>
            </w:pPr>
          </w:p>
        </w:tc>
      </w:tr>
      <w:tr w14:paraId="108E2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014A83BA">
            <w:pPr>
              <w:widowControl w:val="0"/>
              <w:jc w:val="center"/>
              <w:rPr>
                <w:rFonts w:eastAsia="宋体"/>
                <w:color w:val="000000"/>
                <w:kern w:val="2"/>
                <w:sz w:val="21"/>
                <w:szCs w:val="24"/>
                <w:lang w:val="en-US" w:eastAsia="zh-CN" w:bidi="ar-SA"/>
              </w:rPr>
            </w:pPr>
          </w:p>
        </w:tc>
        <w:tc>
          <w:tcPr>
            <w:tcW w:w="1424" w:type="dxa"/>
            <w:gridSpan w:val="4"/>
            <w:noWrap w:val="0"/>
            <w:vAlign w:val="center"/>
          </w:tcPr>
          <w:p w14:paraId="1B641E82">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单位职务</w:t>
            </w:r>
          </w:p>
        </w:tc>
        <w:tc>
          <w:tcPr>
            <w:tcW w:w="1424" w:type="dxa"/>
            <w:noWrap w:val="0"/>
            <w:vAlign w:val="center"/>
          </w:tcPr>
          <w:p w14:paraId="19DC7335">
            <w:pPr>
              <w:widowControl w:val="0"/>
              <w:jc w:val="center"/>
              <w:rPr>
                <w:rFonts w:eastAsia="宋体"/>
                <w:color w:val="000000"/>
                <w:kern w:val="2"/>
                <w:sz w:val="21"/>
                <w:szCs w:val="24"/>
                <w:lang w:val="en-US" w:eastAsia="zh-CN" w:bidi="ar-SA"/>
              </w:rPr>
            </w:pPr>
          </w:p>
        </w:tc>
        <w:tc>
          <w:tcPr>
            <w:tcW w:w="1423" w:type="dxa"/>
            <w:gridSpan w:val="2"/>
            <w:noWrap w:val="0"/>
            <w:vAlign w:val="center"/>
          </w:tcPr>
          <w:p w14:paraId="6C998A27">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联系电话</w:t>
            </w:r>
          </w:p>
        </w:tc>
        <w:tc>
          <w:tcPr>
            <w:tcW w:w="1424" w:type="dxa"/>
            <w:gridSpan w:val="2"/>
            <w:noWrap w:val="0"/>
            <w:vAlign w:val="center"/>
          </w:tcPr>
          <w:p w14:paraId="34327C60">
            <w:pPr>
              <w:widowControl w:val="0"/>
              <w:jc w:val="center"/>
              <w:rPr>
                <w:rFonts w:eastAsia="宋体"/>
                <w:color w:val="000000"/>
                <w:kern w:val="2"/>
                <w:sz w:val="21"/>
                <w:szCs w:val="24"/>
                <w:lang w:val="en-US" w:eastAsia="zh-CN" w:bidi="ar-SA"/>
              </w:rPr>
            </w:pPr>
          </w:p>
        </w:tc>
        <w:tc>
          <w:tcPr>
            <w:tcW w:w="1424" w:type="dxa"/>
            <w:gridSpan w:val="2"/>
            <w:noWrap w:val="0"/>
            <w:vAlign w:val="center"/>
          </w:tcPr>
          <w:p w14:paraId="22EA5A12">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电子邮箱</w:t>
            </w:r>
          </w:p>
        </w:tc>
        <w:tc>
          <w:tcPr>
            <w:tcW w:w="1424" w:type="dxa"/>
            <w:gridSpan w:val="2"/>
            <w:noWrap w:val="0"/>
            <w:vAlign w:val="center"/>
          </w:tcPr>
          <w:p w14:paraId="3FC628AD">
            <w:pPr>
              <w:widowControl w:val="0"/>
              <w:jc w:val="center"/>
              <w:rPr>
                <w:rFonts w:eastAsia="宋体"/>
                <w:color w:val="000000"/>
                <w:kern w:val="2"/>
                <w:sz w:val="21"/>
                <w:szCs w:val="24"/>
                <w:lang w:val="en-US" w:eastAsia="zh-CN" w:bidi="ar-SA"/>
              </w:rPr>
            </w:pPr>
          </w:p>
        </w:tc>
      </w:tr>
      <w:tr w14:paraId="76D0D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3" w:type="dxa"/>
            <w:gridSpan w:val="2"/>
            <w:vMerge w:val="continue"/>
            <w:noWrap w:val="0"/>
            <w:vAlign w:val="center"/>
          </w:tcPr>
          <w:p w14:paraId="02CE84DF">
            <w:pPr>
              <w:widowControl w:val="0"/>
              <w:jc w:val="center"/>
              <w:rPr>
                <w:rFonts w:eastAsia="宋体"/>
                <w:color w:val="000000"/>
                <w:kern w:val="2"/>
                <w:sz w:val="21"/>
                <w:szCs w:val="24"/>
                <w:lang w:val="en-US" w:eastAsia="zh-CN" w:bidi="ar-SA"/>
              </w:rPr>
            </w:pPr>
          </w:p>
        </w:tc>
        <w:tc>
          <w:tcPr>
            <w:tcW w:w="2848" w:type="dxa"/>
            <w:gridSpan w:val="5"/>
            <w:noWrap w:val="0"/>
            <w:vAlign w:val="center"/>
          </w:tcPr>
          <w:p w14:paraId="7C6FA39A">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专业工作年限</w:t>
            </w:r>
          </w:p>
        </w:tc>
        <w:tc>
          <w:tcPr>
            <w:tcW w:w="1423" w:type="dxa"/>
            <w:gridSpan w:val="2"/>
            <w:noWrap w:val="0"/>
            <w:vAlign w:val="center"/>
          </w:tcPr>
          <w:p w14:paraId="5CD81075">
            <w:pPr>
              <w:widowControl w:val="0"/>
              <w:jc w:val="center"/>
              <w:rPr>
                <w:rFonts w:eastAsia="宋体"/>
                <w:color w:val="000000"/>
                <w:kern w:val="2"/>
                <w:sz w:val="21"/>
                <w:szCs w:val="24"/>
                <w:lang w:val="en-US" w:eastAsia="zh-CN" w:bidi="ar-SA"/>
              </w:rPr>
            </w:pPr>
          </w:p>
        </w:tc>
        <w:tc>
          <w:tcPr>
            <w:tcW w:w="2848" w:type="dxa"/>
            <w:gridSpan w:val="4"/>
            <w:noWrap w:val="0"/>
            <w:vAlign w:val="center"/>
          </w:tcPr>
          <w:p w14:paraId="4FF1E207">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个人签名</w:t>
            </w:r>
          </w:p>
        </w:tc>
        <w:tc>
          <w:tcPr>
            <w:tcW w:w="1424" w:type="dxa"/>
            <w:gridSpan w:val="2"/>
            <w:noWrap w:val="0"/>
            <w:vAlign w:val="center"/>
          </w:tcPr>
          <w:p w14:paraId="2C0191EE">
            <w:pPr>
              <w:widowControl w:val="0"/>
              <w:jc w:val="center"/>
              <w:rPr>
                <w:rFonts w:eastAsia="宋体"/>
                <w:color w:val="000000"/>
                <w:kern w:val="2"/>
                <w:sz w:val="21"/>
                <w:szCs w:val="24"/>
                <w:lang w:val="en-US" w:eastAsia="zh-CN" w:bidi="ar-SA"/>
              </w:rPr>
            </w:pPr>
          </w:p>
        </w:tc>
      </w:tr>
      <w:tr w14:paraId="51AA3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966" w:type="dxa"/>
            <w:gridSpan w:val="15"/>
            <w:noWrap w:val="0"/>
            <w:vAlign w:val="center"/>
          </w:tcPr>
          <w:p w14:paraId="2BB01F8D">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拟开展第三方评估工作的其</w:t>
            </w:r>
            <w:r>
              <w:rPr>
                <w:rFonts w:ascii="Calibri" w:hAnsi="Calibri" w:eastAsia="宋体"/>
                <w:color w:val="000000"/>
                <w:kern w:val="2"/>
                <w:sz w:val="21"/>
                <w:szCs w:val="24"/>
                <w:lang w:val="en-US" w:eastAsia="zh-CN" w:bidi="ar-SA"/>
              </w:rPr>
              <w:t>他</w:t>
            </w:r>
            <w:r>
              <w:rPr>
                <w:rFonts w:eastAsia="宋体"/>
                <w:color w:val="000000"/>
                <w:kern w:val="2"/>
                <w:sz w:val="21"/>
                <w:szCs w:val="24"/>
                <w:lang w:val="en-US" w:eastAsia="zh-CN" w:bidi="ar-SA"/>
              </w:rPr>
              <w:t>人员信息</w:t>
            </w:r>
          </w:p>
        </w:tc>
      </w:tr>
      <w:tr w14:paraId="72035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969" w:type="dxa"/>
            <w:noWrap w:val="0"/>
            <w:vAlign w:val="center"/>
          </w:tcPr>
          <w:p w14:paraId="47D5D1CE">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姓名</w:t>
            </w:r>
          </w:p>
        </w:tc>
        <w:tc>
          <w:tcPr>
            <w:tcW w:w="709" w:type="dxa"/>
            <w:gridSpan w:val="2"/>
            <w:noWrap w:val="0"/>
            <w:vAlign w:val="center"/>
          </w:tcPr>
          <w:p w14:paraId="6B8146B2">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性别</w:t>
            </w:r>
          </w:p>
        </w:tc>
        <w:tc>
          <w:tcPr>
            <w:tcW w:w="1134" w:type="dxa"/>
            <w:gridSpan w:val="2"/>
            <w:tcBorders>
              <w:right w:val="single" w:color="auto" w:sz="4" w:space="0"/>
            </w:tcBorders>
            <w:noWrap w:val="0"/>
            <w:vAlign w:val="center"/>
          </w:tcPr>
          <w:p w14:paraId="7C977CF1">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学历学位</w:t>
            </w:r>
          </w:p>
        </w:tc>
        <w:tc>
          <w:tcPr>
            <w:tcW w:w="2410" w:type="dxa"/>
            <w:gridSpan w:val="3"/>
            <w:tcBorders>
              <w:left w:val="single" w:color="auto" w:sz="4" w:space="0"/>
            </w:tcBorders>
            <w:noWrap w:val="0"/>
            <w:vAlign w:val="center"/>
          </w:tcPr>
          <w:p w14:paraId="6AA67A67">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身份证号</w:t>
            </w:r>
          </w:p>
        </w:tc>
        <w:tc>
          <w:tcPr>
            <w:tcW w:w="1842" w:type="dxa"/>
            <w:gridSpan w:val="2"/>
            <w:noWrap w:val="0"/>
            <w:vAlign w:val="center"/>
          </w:tcPr>
          <w:p w14:paraId="601CFADB">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职称</w:t>
            </w:r>
          </w:p>
        </w:tc>
        <w:tc>
          <w:tcPr>
            <w:tcW w:w="1701" w:type="dxa"/>
            <w:gridSpan w:val="4"/>
            <w:noWrap w:val="0"/>
            <w:vAlign w:val="center"/>
          </w:tcPr>
          <w:p w14:paraId="2F261868">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从事专业</w:t>
            </w:r>
          </w:p>
        </w:tc>
        <w:tc>
          <w:tcPr>
            <w:tcW w:w="1201" w:type="dxa"/>
            <w:noWrap w:val="0"/>
            <w:vAlign w:val="center"/>
          </w:tcPr>
          <w:p w14:paraId="66365D41">
            <w:pPr>
              <w:widowControl w:val="0"/>
              <w:jc w:val="center"/>
              <w:rPr>
                <w:rFonts w:eastAsia="宋体"/>
                <w:color w:val="000000"/>
                <w:kern w:val="2"/>
                <w:sz w:val="21"/>
                <w:szCs w:val="24"/>
                <w:lang w:val="en-US" w:eastAsia="zh-CN" w:bidi="ar-SA"/>
              </w:rPr>
            </w:pPr>
            <w:r>
              <w:rPr>
                <w:rFonts w:eastAsia="宋体"/>
                <w:color w:val="000000"/>
                <w:kern w:val="2"/>
                <w:sz w:val="21"/>
                <w:szCs w:val="24"/>
                <w:lang w:val="en-US" w:eastAsia="zh-CN" w:bidi="ar-SA"/>
              </w:rPr>
              <w:t>个人签名</w:t>
            </w:r>
          </w:p>
        </w:tc>
      </w:tr>
      <w:tr w14:paraId="14A43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noWrap w:val="0"/>
            <w:vAlign w:val="center"/>
          </w:tcPr>
          <w:p w14:paraId="1178D124">
            <w:pPr>
              <w:widowControl w:val="0"/>
              <w:jc w:val="center"/>
              <w:rPr>
                <w:rFonts w:eastAsia="宋体"/>
                <w:color w:val="000000"/>
                <w:kern w:val="2"/>
                <w:sz w:val="21"/>
                <w:szCs w:val="24"/>
                <w:lang w:val="en-US" w:eastAsia="zh-CN" w:bidi="ar-SA"/>
              </w:rPr>
            </w:pPr>
          </w:p>
        </w:tc>
        <w:tc>
          <w:tcPr>
            <w:tcW w:w="709" w:type="dxa"/>
            <w:gridSpan w:val="2"/>
            <w:noWrap w:val="0"/>
            <w:vAlign w:val="center"/>
          </w:tcPr>
          <w:p w14:paraId="127FDCCC">
            <w:pPr>
              <w:widowControl w:val="0"/>
              <w:jc w:val="center"/>
              <w:rPr>
                <w:rFonts w:eastAsia="宋体"/>
                <w:color w:val="000000"/>
                <w:kern w:val="2"/>
                <w:sz w:val="21"/>
                <w:szCs w:val="24"/>
                <w:lang w:val="en-US" w:eastAsia="zh-CN" w:bidi="ar-SA"/>
              </w:rPr>
            </w:pPr>
          </w:p>
        </w:tc>
        <w:tc>
          <w:tcPr>
            <w:tcW w:w="1134" w:type="dxa"/>
            <w:gridSpan w:val="2"/>
            <w:tcBorders>
              <w:right w:val="single" w:color="auto" w:sz="4" w:space="0"/>
            </w:tcBorders>
            <w:noWrap w:val="0"/>
            <w:vAlign w:val="center"/>
          </w:tcPr>
          <w:p w14:paraId="4894A1E3">
            <w:pPr>
              <w:widowControl w:val="0"/>
              <w:jc w:val="center"/>
              <w:rPr>
                <w:rFonts w:eastAsia="宋体"/>
                <w:color w:val="000000"/>
                <w:kern w:val="2"/>
                <w:sz w:val="21"/>
                <w:szCs w:val="24"/>
                <w:lang w:val="en-US" w:eastAsia="zh-CN" w:bidi="ar-SA"/>
              </w:rPr>
            </w:pPr>
          </w:p>
        </w:tc>
        <w:tc>
          <w:tcPr>
            <w:tcW w:w="2410" w:type="dxa"/>
            <w:gridSpan w:val="3"/>
            <w:tcBorders>
              <w:left w:val="single" w:color="auto" w:sz="4" w:space="0"/>
            </w:tcBorders>
            <w:noWrap w:val="0"/>
            <w:vAlign w:val="center"/>
          </w:tcPr>
          <w:p w14:paraId="1EEC8647">
            <w:pPr>
              <w:widowControl w:val="0"/>
              <w:jc w:val="center"/>
              <w:rPr>
                <w:rFonts w:eastAsia="宋体"/>
                <w:color w:val="000000"/>
                <w:kern w:val="2"/>
                <w:sz w:val="21"/>
                <w:szCs w:val="24"/>
                <w:lang w:val="en-US" w:eastAsia="zh-CN" w:bidi="ar-SA"/>
              </w:rPr>
            </w:pPr>
          </w:p>
        </w:tc>
        <w:tc>
          <w:tcPr>
            <w:tcW w:w="1842" w:type="dxa"/>
            <w:gridSpan w:val="2"/>
            <w:noWrap w:val="0"/>
            <w:vAlign w:val="center"/>
          </w:tcPr>
          <w:p w14:paraId="11574CFB">
            <w:pPr>
              <w:widowControl w:val="0"/>
              <w:jc w:val="center"/>
              <w:rPr>
                <w:rFonts w:eastAsia="宋体"/>
                <w:color w:val="000000"/>
                <w:kern w:val="2"/>
                <w:sz w:val="21"/>
                <w:szCs w:val="24"/>
                <w:lang w:val="en-US" w:eastAsia="zh-CN" w:bidi="ar-SA"/>
              </w:rPr>
            </w:pPr>
          </w:p>
        </w:tc>
        <w:tc>
          <w:tcPr>
            <w:tcW w:w="1701" w:type="dxa"/>
            <w:gridSpan w:val="4"/>
            <w:noWrap w:val="0"/>
            <w:vAlign w:val="center"/>
          </w:tcPr>
          <w:p w14:paraId="54DFD858">
            <w:pPr>
              <w:widowControl w:val="0"/>
              <w:jc w:val="center"/>
              <w:rPr>
                <w:rFonts w:eastAsia="宋体"/>
                <w:color w:val="000000"/>
                <w:kern w:val="2"/>
                <w:sz w:val="21"/>
                <w:szCs w:val="24"/>
                <w:lang w:val="en-US" w:eastAsia="zh-CN" w:bidi="ar-SA"/>
              </w:rPr>
            </w:pPr>
          </w:p>
        </w:tc>
        <w:tc>
          <w:tcPr>
            <w:tcW w:w="1201" w:type="dxa"/>
            <w:noWrap w:val="0"/>
            <w:vAlign w:val="center"/>
          </w:tcPr>
          <w:p w14:paraId="39C2904A">
            <w:pPr>
              <w:widowControl w:val="0"/>
              <w:jc w:val="center"/>
              <w:rPr>
                <w:rFonts w:eastAsia="宋体"/>
                <w:color w:val="000000"/>
                <w:kern w:val="2"/>
                <w:sz w:val="21"/>
                <w:szCs w:val="24"/>
                <w:lang w:val="en-US" w:eastAsia="zh-CN" w:bidi="ar-SA"/>
              </w:rPr>
            </w:pPr>
          </w:p>
        </w:tc>
      </w:tr>
      <w:tr w14:paraId="65C24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 w:type="dxa"/>
            <w:noWrap w:val="0"/>
            <w:vAlign w:val="center"/>
          </w:tcPr>
          <w:p w14:paraId="14CADBFD">
            <w:pPr>
              <w:widowControl w:val="0"/>
              <w:jc w:val="center"/>
              <w:rPr>
                <w:rFonts w:eastAsia="宋体"/>
                <w:color w:val="000000"/>
                <w:kern w:val="2"/>
                <w:sz w:val="21"/>
                <w:szCs w:val="24"/>
                <w:lang w:val="en-US" w:eastAsia="zh-CN" w:bidi="ar-SA"/>
              </w:rPr>
            </w:pPr>
          </w:p>
        </w:tc>
        <w:tc>
          <w:tcPr>
            <w:tcW w:w="709" w:type="dxa"/>
            <w:gridSpan w:val="2"/>
            <w:noWrap w:val="0"/>
            <w:vAlign w:val="center"/>
          </w:tcPr>
          <w:p w14:paraId="48A182FF">
            <w:pPr>
              <w:widowControl w:val="0"/>
              <w:jc w:val="center"/>
              <w:rPr>
                <w:rFonts w:eastAsia="宋体"/>
                <w:color w:val="000000"/>
                <w:kern w:val="2"/>
                <w:sz w:val="21"/>
                <w:szCs w:val="24"/>
                <w:lang w:val="en-US" w:eastAsia="zh-CN" w:bidi="ar-SA"/>
              </w:rPr>
            </w:pPr>
          </w:p>
        </w:tc>
        <w:tc>
          <w:tcPr>
            <w:tcW w:w="1134" w:type="dxa"/>
            <w:gridSpan w:val="2"/>
            <w:tcBorders>
              <w:right w:val="single" w:color="auto" w:sz="4" w:space="0"/>
            </w:tcBorders>
            <w:noWrap w:val="0"/>
            <w:vAlign w:val="center"/>
          </w:tcPr>
          <w:p w14:paraId="0E552A15">
            <w:pPr>
              <w:widowControl w:val="0"/>
              <w:jc w:val="center"/>
              <w:rPr>
                <w:rFonts w:eastAsia="宋体"/>
                <w:color w:val="000000"/>
                <w:kern w:val="2"/>
                <w:sz w:val="21"/>
                <w:szCs w:val="24"/>
                <w:lang w:val="en-US" w:eastAsia="zh-CN" w:bidi="ar-SA"/>
              </w:rPr>
            </w:pPr>
          </w:p>
        </w:tc>
        <w:tc>
          <w:tcPr>
            <w:tcW w:w="2410" w:type="dxa"/>
            <w:gridSpan w:val="3"/>
            <w:tcBorders>
              <w:left w:val="single" w:color="auto" w:sz="4" w:space="0"/>
            </w:tcBorders>
            <w:noWrap w:val="0"/>
            <w:vAlign w:val="center"/>
          </w:tcPr>
          <w:p w14:paraId="692D57A9">
            <w:pPr>
              <w:widowControl w:val="0"/>
              <w:jc w:val="center"/>
              <w:rPr>
                <w:rFonts w:eastAsia="宋体"/>
                <w:color w:val="000000"/>
                <w:kern w:val="2"/>
                <w:sz w:val="21"/>
                <w:szCs w:val="24"/>
                <w:lang w:val="en-US" w:eastAsia="zh-CN" w:bidi="ar-SA"/>
              </w:rPr>
            </w:pPr>
          </w:p>
        </w:tc>
        <w:tc>
          <w:tcPr>
            <w:tcW w:w="1842" w:type="dxa"/>
            <w:gridSpan w:val="2"/>
            <w:noWrap w:val="0"/>
            <w:vAlign w:val="center"/>
          </w:tcPr>
          <w:p w14:paraId="770708C1">
            <w:pPr>
              <w:widowControl w:val="0"/>
              <w:jc w:val="center"/>
              <w:rPr>
                <w:rFonts w:eastAsia="宋体"/>
                <w:color w:val="000000"/>
                <w:kern w:val="2"/>
                <w:sz w:val="21"/>
                <w:szCs w:val="24"/>
                <w:lang w:val="en-US" w:eastAsia="zh-CN" w:bidi="ar-SA"/>
              </w:rPr>
            </w:pPr>
          </w:p>
        </w:tc>
        <w:tc>
          <w:tcPr>
            <w:tcW w:w="1701" w:type="dxa"/>
            <w:gridSpan w:val="4"/>
            <w:noWrap w:val="0"/>
            <w:vAlign w:val="center"/>
          </w:tcPr>
          <w:p w14:paraId="74F66965">
            <w:pPr>
              <w:widowControl w:val="0"/>
              <w:jc w:val="center"/>
              <w:rPr>
                <w:rFonts w:eastAsia="宋体"/>
                <w:color w:val="000000"/>
                <w:kern w:val="2"/>
                <w:sz w:val="21"/>
                <w:szCs w:val="24"/>
                <w:lang w:val="en-US" w:eastAsia="zh-CN" w:bidi="ar-SA"/>
              </w:rPr>
            </w:pPr>
          </w:p>
        </w:tc>
        <w:tc>
          <w:tcPr>
            <w:tcW w:w="1201" w:type="dxa"/>
            <w:noWrap w:val="0"/>
            <w:vAlign w:val="center"/>
          </w:tcPr>
          <w:p w14:paraId="17CA0845">
            <w:pPr>
              <w:widowControl w:val="0"/>
              <w:jc w:val="center"/>
              <w:rPr>
                <w:rFonts w:eastAsia="宋体"/>
                <w:color w:val="000000"/>
                <w:kern w:val="2"/>
                <w:sz w:val="21"/>
                <w:szCs w:val="24"/>
                <w:lang w:val="en-US" w:eastAsia="zh-CN" w:bidi="ar-SA"/>
              </w:rPr>
            </w:pPr>
          </w:p>
        </w:tc>
      </w:tr>
    </w:tbl>
    <w:p w14:paraId="26B46F61">
      <w:pPr>
        <w:rPr>
          <w:color w:val="000000"/>
          <w:highlight w:val="yellow"/>
        </w:rPr>
      </w:pPr>
    </w:p>
    <w:p w14:paraId="7D9A217F">
      <w:pPr>
        <w:spacing w:before="0" w:after="0"/>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附件</w:t>
      </w:r>
      <w:r>
        <w:rPr>
          <w:rFonts w:eastAsia="黑体"/>
          <w:bCs/>
          <w:color w:val="000000"/>
          <w:sz w:val="32"/>
          <w:szCs w:val="32"/>
        </w:rPr>
        <w:t>5</w:t>
      </w:r>
    </w:p>
    <w:p w14:paraId="74FF6151">
      <w:pPr>
        <w:spacing w:before="156" w:beforeLines="50" w:after="156" w:afterLines="50"/>
        <w:jc w:val="center"/>
        <w:rPr>
          <w:rFonts w:ascii="Calibri" w:hAnsi="Calibri"/>
          <w:color w:val="000000"/>
        </w:rPr>
      </w:pPr>
      <w:r>
        <w:rPr>
          <w:rFonts w:hint="eastAsia" w:ascii="方正小标宋简体" w:hAnsi="方正小标宋简体" w:eastAsia="方正小标宋简体" w:cs="方正小标宋简体"/>
          <w:color w:val="000000"/>
          <w:sz w:val="44"/>
          <w:szCs w:val="44"/>
        </w:rPr>
        <w:t>承</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诺</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书</w:t>
      </w:r>
    </w:p>
    <w:p w14:paraId="2FECC9BD">
      <w:pPr>
        <w:autoSpaceDE w:val="0"/>
        <w:autoSpaceDN w:val="0"/>
        <w:adjustRightInd w:val="0"/>
        <w:ind w:firstLine="640" w:firstLineChars="200"/>
        <w:rPr>
          <w:rFonts w:eastAsia="仿宋_GB2312"/>
          <w:color w:val="000000"/>
          <w:sz w:val="32"/>
          <w:szCs w:val="32"/>
        </w:rPr>
      </w:pPr>
      <w:r>
        <w:rPr>
          <w:rFonts w:eastAsia="仿宋_GB2312"/>
          <w:color w:val="000000"/>
          <w:sz w:val="32"/>
          <w:szCs w:val="32"/>
        </w:rPr>
        <w:t>本评估组承诺，此次绿色矿山第三方评估工作，我们将客观公正、实事求是，全过程严格按照绿色矿山第三方评估工作要求、绿色矿山建设标准和评价指标有关要求开展评估，不以任何理由收取矿山企业任何费用，确保评估结论真实、有效。如有违反规定或弄虚作假，愿承担相应责任。</w:t>
      </w:r>
    </w:p>
    <w:p w14:paraId="4E736754">
      <w:pPr>
        <w:keepNext w:val="0"/>
        <w:keepLines w:val="0"/>
        <w:widowControl/>
        <w:suppressLineNumbers w:val="0"/>
        <w:jc w:val="left"/>
        <w:rPr>
          <w:rFonts w:ascii="仿宋_GB2312" w:hAnsi="宋体" w:eastAsia="仿宋_GB2312" w:cs="仿宋_GB2312"/>
          <w:color w:val="000000"/>
          <w:kern w:val="0"/>
          <w:sz w:val="31"/>
          <w:szCs w:val="31"/>
          <w:lang w:bidi="ar"/>
        </w:rPr>
      </w:pPr>
    </w:p>
    <w:p w14:paraId="45E39827">
      <w:pPr>
        <w:keepNext w:val="0"/>
        <w:keepLines w:val="0"/>
        <w:widowControl/>
        <w:suppressLineNumbers w:val="0"/>
        <w:jc w:val="left"/>
        <w:rPr>
          <w:rFonts w:ascii="仿宋_GB2312" w:hAnsi="宋体" w:eastAsia="仿宋_GB2312" w:cs="仿宋_GB2312"/>
          <w:color w:val="000000"/>
          <w:kern w:val="0"/>
          <w:sz w:val="31"/>
          <w:szCs w:val="31"/>
          <w:lang w:bidi="ar"/>
        </w:rPr>
      </w:pPr>
    </w:p>
    <w:p w14:paraId="126288C5">
      <w:pPr>
        <w:keepNext w:val="0"/>
        <w:keepLines w:val="0"/>
        <w:widowControl/>
        <w:suppressLineNumbers w:val="0"/>
        <w:jc w:val="left"/>
        <w:rPr>
          <w:rFonts w:ascii="仿宋_GB2312" w:hAnsi="宋体" w:eastAsia="仿宋_GB2312" w:cs="仿宋_GB2312"/>
          <w:color w:val="000000"/>
          <w:kern w:val="0"/>
          <w:sz w:val="31"/>
          <w:szCs w:val="31"/>
          <w:lang w:bidi="ar"/>
        </w:rPr>
      </w:pPr>
    </w:p>
    <w:p w14:paraId="0A678358">
      <w:pPr>
        <w:keepNext w:val="0"/>
        <w:keepLines w:val="0"/>
        <w:pageBreakBefore w:val="0"/>
        <w:widowControl/>
        <w:suppressLineNumbers w:val="0"/>
        <w:kinsoku/>
        <w:wordWrap/>
        <w:overflowPunct/>
        <w:topLinePunct w:val="0"/>
        <w:autoSpaceDE/>
        <w:autoSpaceDN/>
        <w:bidi w:val="0"/>
        <w:adjustRightInd/>
        <w:snapToGrid/>
        <w:ind w:left="1680" w:leftChars="800" w:right="840" w:rightChars="400"/>
        <w:jc w:val="left"/>
        <w:textAlignment w:val="auto"/>
        <w:rPr>
          <w:rFonts w:ascii="Calibri" w:hAnsi="Calibri"/>
          <w:color w:val="000000"/>
          <w:sz w:val="32"/>
          <w:szCs w:val="32"/>
        </w:rPr>
      </w:pPr>
      <w:r>
        <w:rPr>
          <w:rFonts w:ascii="仿宋_GB2312" w:hAnsi="宋体" w:eastAsia="仿宋_GB2312" w:cs="仿宋_GB2312"/>
          <w:color w:val="000000"/>
          <w:kern w:val="0"/>
          <w:sz w:val="32"/>
          <w:szCs w:val="32"/>
          <w:lang w:bidi="ar"/>
        </w:rPr>
        <w:t>第三方评估机构：（盖章）</w:t>
      </w:r>
    </w:p>
    <w:p w14:paraId="2A0F699B">
      <w:pPr>
        <w:keepNext w:val="0"/>
        <w:keepLines w:val="0"/>
        <w:pageBreakBefore w:val="0"/>
        <w:widowControl/>
        <w:suppressLineNumbers w:val="0"/>
        <w:kinsoku/>
        <w:wordWrap/>
        <w:overflowPunct/>
        <w:topLinePunct w:val="0"/>
        <w:autoSpaceDE/>
        <w:autoSpaceDN/>
        <w:bidi w:val="0"/>
        <w:adjustRightInd/>
        <w:snapToGrid/>
        <w:ind w:left="1680" w:leftChars="800" w:right="840" w:rightChars="400"/>
        <w:jc w:val="left"/>
        <w:textAlignment w:val="auto"/>
        <w:rPr>
          <w:rFonts w:ascii="Calibri" w:hAnsi="Calibri"/>
          <w:color w:val="000000"/>
          <w:sz w:val="32"/>
          <w:szCs w:val="32"/>
        </w:rPr>
      </w:pPr>
      <w:r>
        <w:rPr>
          <w:rFonts w:ascii="仿宋_GB2312" w:hAnsi="宋体" w:eastAsia="仿宋_GB2312" w:cs="仿宋_GB2312"/>
          <w:color w:val="000000"/>
          <w:kern w:val="0"/>
          <w:sz w:val="32"/>
          <w:szCs w:val="32"/>
          <w:lang w:bidi="ar"/>
        </w:rPr>
        <w:t xml:space="preserve">评估组组长： </w:t>
      </w:r>
    </w:p>
    <w:p w14:paraId="780742C0">
      <w:pPr>
        <w:keepNext w:val="0"/>
        <w:keepLines w:val="0"/>
        <w:pageBreakBefore w:val="0"/>
        <w:widowControl/>
        <w:suppressLineNumbers w:val="0"/>
        <w:kinsoku/>
        <w:wordWrap/>
        <w:overflowPunct/>
        <w:topLinePunct w:val="0"/>
        <w:autoSpaceDE/>
        <w:autoSpaceDN/>
        <w:bidi w:val="0"/>
        <w:adjustRightInd/>
        <w:snapToGrid/>
        <w:ind w:left="1680" w:leftChars="800" w:right="840" w:rightChars="400"/>
        <w:jc w:val="left"/>
        <w:textAlignment w:val="auto"/>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评估组成员：</w:t>
      </w:r>
    </w:p>
    <w:p w14:paraId="3626F1B3">
      <w:pPr>
        <w:keepNext w:val="0"/>
        <w:keepLines w:val="0"/>
        <w:pageBreakBefore w:val="0"/>
        <w:widowControl/>
        <w:suppressLineNumbers w:val="0"/>
        <w:kinsoku/>
        <w:wordWrap/>
        <w:overflowPunct/>
        <w:topLinePunct w:val="0"/>
        <w:autoSpaceDE/>
        <w:autoSpaceDN/>
        <w:bidi w:val="0"/>
        <w:adjustRightInd/>
        <w:snapToGrid/>
        <w:ind w:right="840" w:rightChars="400"/>
        <w:jc w:val="right"/>
        <w:textAlignment w:val="auto"/>
        <w:rPr>
          <w:rFonts w:ascii="仿宋_GB2312" w:hAnsi="宋体" w:eastAsia="仿宋_GB2312" w:cs="仿宋_GB2312"/>
          <w:color w:val="000000"/>
          <w:kern w:val="0"/>
          <w:sz w:val="31"/>
          <w:szCs w:val="31"/>
          <w:lang w:bidi="ar"/>
        </w:rPr>
      </w:pPr>
    </w:p>
    <w:p w14:paraId="3C6147C8">
      <w:pPr>
        <w:keepNext w:val="0"/>
        <w:keepLines w:val="0"/>
        <w:pageBreakBefore w:val="0"/>
        <w:widowControl/>
        <w:suppressLineNumbers w:val="0"/>
        <w:kinsoku/>
        <w:wordWrap/>
        <w:overflowPunct/>
        <w:topLinePunct w:val="0"/>
        <w:autoSpaceDE/>
        <w:autoSpaceDN/>
        <w:bidi w:val="0"/>
        <w:adjustRightInd/>
        <w:snapToGrid/>
        <w:ind w:right="840" w:rightChars="400"/>
        <w:jc w:val="right"/>
        <w:textAlignment w:val="auto"/>
        <w:rPr>
          <w:rFonts w:ascii="仿宋_GB2312" w:hAnsi="宋体" w:eastAsia="仿宋_GB2312" w:cs="仿宋_GB2312"/>
          <w:color w:val="000000"/>
          <w:kern w:val="0"/>
          <w:sz w:val="31"/>
          <w:szCs w:val="31"/>
          <w:lang w:bidi="ar"/>
        </w:rPr>
      </w:pPr>
    </w:p>
    <w:p w14:paraId="219250CA">
      <w:pPr>
        <w:keepNext w:val="0"/>
        <w:keepLines w:val="0"/>
        <w:pageBreakBefore w:val="0"/>
        <w:widowControl/>
        <w:suppressLineNumbers w:val="0"/>
        <w:kinsoku/>
        <w:wordWrap/>
        <w:overflowPunct/>
        <w:topLinePunct w:val="0"/>
        <w:autoSpaceDE/>
        <w:autoSpaceDN/>
        <w:bidi w:val="0"/>
        <w:adjustRightInd/>
        <w:snapToGrid/>
        <w:ind w:right="840" w:rightChars="400"/>
        <w:jc w:val="right"/>
        <w:textAlignment w:val="auto"/>
        <w:rPr>
          <w:rFonts w:ascii="Calibri" w:hAnsi="Calibri"/>
          <w:color w:val="000000"/>
        </w:rPr>
      </w:pPr>
      <w:r>
        <w:rPr>
          <w:rFonts w:ascii="仿宋_GB2312" w:hAnsi="宋体" w:eastAsia="仿宋_GB2312" w:cs="仿宋_GB2312"/>
          <w:color w:val="000000"/>
          <w:kern w:val="0"/>
          <w:sz w:val="31"/>
          <w:szCs w:val="31"/>
          <w:lang w:bidi="ar"/>
        </w:rPr>
        <w:t>年</w:t>
      </w:r>
      <w:r>
        <w:rPr>
          <w:rFonts w:hint="eastAsia" w:ascii="仿宋_GB2312" w:hAnsi="宋体" w:eastAsia="仿宋_GB2312" w:cs="仿宋_GB2312"/>
          <w:color w:val="000000"/>
          <w:kern w:val="0"/>
          <w:sz w:val="31"/>
          <w:szCs w:val="31"/>
          <w:lang w:bidi="ar"/>
        </w:rPr>
        <w:t xml:space="preserve">   </w:t>
      </w:r>
      <w:r>
        <w:rPr>
          <w:rFonts w:ascii="仿宋_GB2312" w:hAnsi="宋体" w:eastAsia="仿宋_GB2312" w:cs="仿宋_GB2312"/>
          <w:color w:val="000000"/>
          <w:kern w:val="0"/>
          <w:sz w:val="31"/>
          <w:szCs w:val="31"/>
          <w:lang w:bidi="ar"/>
        </w:rPr>
        <w:t>月</w:t>
      </w:r>
      <w:r>
        <w:rPr>
          <w:rFonts w:hint="eastAsia" w:ascii="仿宋_GB2312" w:hAnsi="宋体" w:eastAsia="仿宋_GB2312" w:cs="仿宋_GB2312"/>
          <w:color w:val="000000"/>
          <w:kern w:val="0"/>
          <w:sz w:val="31"/>
          <w:szCs w:val="31"/>
          <w:lang w:bidi="ar"/>
        </w:rPr>
        <w:t xml:space="preserve">   </w:t>
      </w:r>
      <w:r>
        <w:rPr>
          <w:rFonts w:ascii="仿宋_GB2312" w:hAnsi="宋体" w:eastAsia="仿宋_GB2312" w:cs="仿宋_GB2312"/>
          <w:color w:val="000000"/>
          <w:kern w:val="0"/>
          <w:sz w:val="31"/>
          <w:szCs w:val="31"/>
          <w:lang w:bidi="ar"/>
        </w:rPr>
        <w:t>日</w:t>
      </w:r>
    </w:p>
    <w:p w14:paraId="6C05D571">
      <w:pPr>
        <w:rPr>
          <w:color w:val="000000"/>
          <w:highlight w:val="yellow"/>
        </w:rPr>
      </w:pPr>
    </w:p>
    <w:p w14:paraId="2AFBF010">
      <w:pPr>
        <w:spacing w:before="0" w:after="0"/>
        <w:outlineLvl w:val="0"/>
        <w:rPr>
          <w:rFonts w:eastAsia="仿宋_GB2312"/>
          <w:bCs/>
          <w:color w:val="000000"/>
          <w:sz w:val="32"/>
          <w:szCs w:val="32"/>
        </w:rPr>
      </w:pPr>
    </w:p>
    <w:p w14:paraId="63C1D922">
      <w:pPr>
        <w:spacing w:before="0" w:after="0"/>
        <w:outlineLvl w:val="0"/>
        <w:rPr>
          <w:rFonts w:eastAsia="黑体"/>
          <w:bCs/>
          <w:color w:val="000000"/>
          <w:sz w:val="32"/>
          <w:szCs w:val="32"/>
        </w:rPr>
      </w:pPr>
      <w:r>
        <w:rPr>
          <w:rFonts w:eastAsia="黑体"/>
          <w:bCs/>
          <w:color w:val="000000"/>
          <w:sz w:val="32"/>
          <w:szCs w:val="32"/>
        </w:rPr>
        <w:br w:type="page"/>
      </w:r>
      <w:r>
        <w:rPr>
          <w:rFonts w:eastAsia="黑体"/>
          <w:bCs/>
          <w:color w:val="000000"/>
          <w:sz w:val="32"/>
          <w:szCs w:val="32"/>
        </w:rPr>
        <w:t xml:space="preserve">附件6 </w:t>
      </w:r>
    </w:p>
    <w:p w14:paraId="60E1CF4C">
      <w:pPr>
        <w:jc w:val="center"/>
        <w:rPr>
          <w:rFonts w:eastAsia="方正小标宋_GBK"/>
          <w:color w:val="000000"/>
          <w:sz w:val="44"/>
          <w:szCs w:val="44"/>
          <w:highlight w:val="yellow"/>
        </w:rPr>
      </w:pPr>
    </w:p>
    <w:p w14:paraId="7E32FF31">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湖南省绿色矿山第三方评估报告</w:t>
      </w:r>
    </w:p>
    <w:p w14:paraId="4D6C31FD">
      <w:pPr>
        <w:jc w:val="center"/>
        <w:rPr>
          <w:rFonts w:eastAsia="楷体"/>
          <w:color w:val="000000"/>
          <w:sz w:val="36"/>
          <w:szCs w:val="36"/>
        </w:rPr>
      </w:pPr>
      <w:r>
        <w:rPr>
          <w:rFonts w:eastAsia="楷体"/>
          <w:color w:val="000000"/>
          <w:sz w:val="36"/>
          <w:szCs w:val="36"/>
        </w:rPr>
        <w:t>（参考模板）</w:t>
      </w:r>
    </w:p>
    <w:p w14:paraId="57FF3366">
      <w:pPr>
        <w:jc w:val="center"/>
        <w:rPr>
          <w:color w:val="000000"/>
          <w:sz w:val="36"/>
          <w:szCs w:val="36"/>
        </w:rPr>
      </w:pPr>
    </w:p>
    <w:p w14:paraId="5F83D116">
      <w:pPr>
        <w:jc w:val="center"/>
        <w:rPr>
          <w:color w:val="000000"/>
          <w:sz w:val="36"/>
          <w:szCs w:val="36"/>
        </w:rPr>
      </w:pPr>
    </w:p>
    <w:p w14:paraId="56D46FC0">
      <w:pPr>
        <w:jc w:val="center"/>
        <w:rPr>
          <w:color w:val="000000"/>
          <w:sz w:val="36"/>
          <w:szCs w:val="36"/>
        </w:rPr>
      </w:pPr>
    </w:p>
    <w:p w14:paraId="03AA9A17">
      <w:pPr>
        <w:jc w:val="center"/>
        <w:rPr>
          <w:color w:val="000000"/>
          <w:sz w:val="36"/>
          <w:szCs w:val="36"/>
        </w:rPr>
      </w:pPr>
    </w:p>
    <w:p w14:paraId="102CE8BC">
      <w:pPr>
        <w:rPr>
          <w:color w:val="000000"/>
          <w:sz w:val="36"/>
          <w:szCs w:val="36"/>
        </w:rPr>
      </w:pPr>
    </w:p>
    <w:p w14:paraId="0DA16A19">
      <w:pPr>
        <w:spacing w:line="1000" w:lineRule="exact"/>
        <w:ind w:firstLine="1080" w:firstLineChars="300"/>
        <w:rPr>
          <w:color w:val="000000"/>
          <w:sz w:val="36"/>
          <w:szCs w:val="36"/>
          <w:u w:val="single"/>
        </w:rPr>
      </w:pPr>
      <w:r>
        <w:rPr>
          <w:color w:val="000000"/>
          <w:sz w:val="36"/>
          <w:szCs w:val="36"/>
        </w:rPr>
        <w:t>矿山企业名称：</w:t>
      </w:r>
      <w:r>
        <w:rPr>
          <w:color w:val="000000"/>
          <w:sz w:val="36"/>
          <w:szCs w:val="36"/>
          <w:u w:val="single"/>
        </w:rPr>
        <w:t xml:space="preserve">                        </w:t>
      </w:r>
    </w:p>
    <w:p w14:paraId="2C4BB2C8">
      <w:pPr>
        <w:spacing w:line="1000" w:lineRule="exact"/>
        <w:ind w:firstLine="1080" w:firstLineChars="300"/>
        <w:rPr>
          <w:color w:val="000000"/>
          <w:sz w:val="36"/>
          <w:szCs w:val="36"/>
          <w:u w:val="single"/>
        </w:rPr>
      </w:pPr>
      <w:r>
        <w:rPr>
          <w:color w:val="000000"/>
          <w:sz w:val="36"/>
          <w:szCs w:val="36"/>
        </w:rPr>
        <w:t>第三方评估机构名称：</w:t>
      </w:r>
      <w:r>
        <w:rPr>
          <w:color w:val="000000"/>
          <w:sz w:val="36"/>
          <w:szCs w:val="36"/>
          <w:u w:val="single"/>
        </w:rPr>
        <w:t xml:space="preserve">                  </w:t>
      </w:r>
    </w:p>
    <w:p w14:paraId="1AE402B8">
      <w:pPr>
        <w:autoSpaceDE w:val="0"/>
        <w:autoSpaceDN w:val="0"/>
        <w:adjustRightInd w:val="0"/>
        <w:spacing w:line="620" w:lineRule="exact"/>
        <w:rPr>
          <w:color w:val="000000"/>
          <w:kern w:val="0"/>
        </w:rPr>
      </w:pPr>
    </w:p>
    <w:p w14:paraId="25BD56D4">
      <w:pPr>
        <w:autoSpaceDE w:val="0"/>
        <w:autoSpaceDN w:val="0"/>
        <w:adjustRightInd w:val="0"/>
        <w:spacing w:line="620" w:lineRule="exact"/>
        <w:rPr>
          <w:color w:val="000000"/>
          <w:kern w:val="0"/>
        </w:rPr>
      </w:pPr>
    </w:p>
    <w:p w14:paraId="054B21EC">
      <w:pPr>
        <w:autoSpaceDE w:val="0"/>
        <w:autoSpaceDN w:val="0"/>
        <w:adjustRightInd w:val="0"/>
        <w:spacing w:line="620" w:lineRule="exact"/>
        <w:rPr>
          <w:color w:val="000000"/>
          <w:kern w:val="0"/>
        </w:rPr>
      </w:pPr>
    </w:p>
    <w:p w14:paraId="05D3447B">
      <w:pPr>
        <w:autoSpaceDE w:val="0"/>
        <w:autoSpaceDN w:val="0"/>
        <w:adjustRightInd w:val="0"/>
        <w:spacing w:line="620" w:lineRule="exact"/>
        <w:rPr>
          <w:color w:val="000000"/>
          <w:kern w:val="0"/>
        </w:rPr>
      </w:pPr>
    </w:p>
    <w:p w14:paraId="59BAF8A2">
      <w:pPr>
        <w:autoSpaceDE w:val="0"/>
        <w:autoSpaceDN w:val="0"/>
        <w:adjustRightInd w:val="0"/>
        <w:spacing w:line="620" w:lineRule="exact"/>
        <w:rPr>
          <w:color w:val="000000"/>
          <w:kern w:val="0"/>
        </w:rPr>
      </w:pPr>
    </w:p>
    <w:p w14:paraId="0827ADAA">
      <w:pPr>
        <w:autoSpaceDE w:val="0"/>
        <w:autoSpaceDN w:val="0"/>
        <w:adjustRightInd w:val="0"/>
        <w:spacing w:line="620" w:lineRule="exact"/>
        <w:jc w:val="center"/>
        <w:rPr>
          <w:rFonts w:eastAsia="楷体"/>
          <w:color w:val="000000"/>
          <w:kern w:val="0"/>
          <w:sz w:val="44"/>
          <w:szCs w:val="44"/>
        </w:rPr>
      </w:pPr>
      <w:r>
        <w:rPr>
          <w:rFonts w:eastAsia="楷体"/>
          <w:color w:val="000000"/>
          <w:kern w:val="0"/>
          <w:sz w:val="44"/>
          <w:szCs w:val="44"/>
        </w:rPr>
        <w:t>湖南省自然资源厅制</w:t>
      </w:r>
    </w:p>
    <w:p w14:paraId="630BEB1F">
      <w:pPr>
        <w:autoSpaceDE w:val="0"/>
        <w:autoSpaceDN w:val="0"/>
        <w:adjustRightInd w:val="0"/>
        <w:spacing w:line="620" w:lineRule="exact"/>
        <w:jc w:val="center"/>
        <w:rPr>
          <w:rFonts w:eastAsia="楷体"/>
          <w:color w:val="000000"/>
          <w:kern w:val="0"/>
          <w:sz w:val="32"/>
          <w:szCs w:val="32"/>
        </w:rPr>
      </w:pPr>
      <w:r>
        <w:rPr>
          <w:rFonts w:eastAsia="楷体"/>
          <w:color w:val="000000"/>
          <w:kern w:val="0"/>
          <w:sz w:val="32"/>
          <w:szCs w:val="32"/>
        </w:rPr>
        <w:t>年   月   日</w:t>
      </w:r>
    </w:p>
    <w:p w14:paraId="0C5CCB8C">
      <w:pPr>
        <w:autoSpaceDE w:val="0"/>
        <w:autoSpaceDN w:val="0"/>
        <w:adjustRightInd w:val="0"/>
        <w:spacing w:line="620" w:lineRule="exact"/>
        <w:jc w:val="center"/>
        <w:rPr>
          <w:rFonts w:hint="eastAsia" w:ascii="方正小标宋简体" w:hAnsi="方正小标宋简体" w:eastAsia="方正小标宋简体" w:cs="方正小标宋简体"/>
          <w:color w:val="000000"/>
          <w:kern w:val="0"/>
          <w:sz w:val="36"/>
          <w:szCs w:val="36"/>
        </w:rPr>
      </w:pPr>
      <w:r>
        <w:rPr>
          <w:rFonts w:eastAsia="方正小标宋_GBK"/>
          <w:color w:val="000000"/>
          <w:kern w:val="0"/>
          <w:sz w:val="36"/>
          <w:szCs w:val="36"/>
        </w:rPr>
        <w:br w:type="column"/>
      </w:r>
      <w:r>
        <w:rPr>
          <w:rFonts w:hint="eastAsia" w:ascii="方正小标宋简体" w:hAnsi="方正小标宋简体" w:eastAsia="方正小标宋简体" w:cs="方正小标宋简体"/>
          <w:color w:val="000000"/>
          <w:kern w:val="0"/>
          <w:sz w:val="36"/>
          <w:szCs w:val="36"/>
        </w:rPr>
        <w:t>基本信息表</w:t>
      </w:r>
    </w:p>
    <w:tbl>
      <w:tblPr>
        <w:tblStyle w:val="5"/>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41"/>
        <w:gridCol w:w="1701"/>
        <w:gridCol w:w="976"/>
        <w:gridCol w:w="17"/>
        <w:gridCol w:w="1701"/>
        <w:gridCol w:w="2841"/>
      </w:tblGrid>
      <w:tr w14:paraId="323C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jc w:val="center"/>
        </w:trPr>
        <w:tc>
          <w:tcPr>
            <w:tcW w:w="9117" w:type="dxa"/>
            <w:gridSpan w:val="7"/>
            <w:noWrap w:val="0"/>
            <w:vAlign w:val="center"/>
          </w:tcPr>
          <w:p w14:paraId="7A3C73B7">
            <w:pPr>
              <w:widowControl w:val="0"/>
              <w:spacing w:line="340" w:lineRule="exact"/>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矿山企业信息</w:t>
            </w:r>
          </w:p>
        </w:tc>
      </w:tr>
      <w:tr w14:paraId="041B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0" w:type="dxa"/>
            <w:noWrap w:val="0"/>
            <w:vAlign w:val="center"/>
          </w:tcPr>
          <w:p w14:paraId="56013AB2">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矿山名称</w:t>
            </w:r>
          </w:p>
        </w:tc>
        <w:tc>
          <w:tcPr>
            <w:tcW w:w="2835" w:type="dxa"/>
            <w:gridSpan w:val="4"/>
            <w:noWrap w:val="0"/>
            <w:vAlign w:val="center"/>
          </w:tcPr>
          <w:p w14:paraId="68D66A18">
            <w:pPr>
              <w:widowControl w:val="0"/>
              <w:spacing w:line="340" w:lineRule="exact"/>
              <w:jc w:val="center"/>
              <w:rPr>
                <w:rFonts w:eastAsia="仿宋_GB2312"/>
                <w:color w:val="000000"/>
                <w:kern w:val="2"/>
                <w:sz w:val="28"/>
                <w:szCs w:val="28"/>
                <w:lang w:val="en-US" w:eastAsia="zh-CN" w:bidi="ar-SA"/>
              </w:rPr>
            </w:pPr>
          </w:p>
        </w:tc>
        <w:tc>
          <w:tcPr>
            <w:tcW w:w="1701" w:type="dxa"/>
            <w:noWrap w:val="0"/>
            <w:vAlign w:val="center"/>
          </w:tcPr>
          <w:p w14:paraId="05F1E4AC">
            <w:pPr>
              <w:widowControl w:val="0"/>
              <w:spacing w:line="340" w:lineRule="exact"/>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矿山地址</w:t>
            </w:r>
          </w:p>
        </w:tc>
        <w:tc>
          <w:tcPr>
            <w:tcW w:w="2841" w:type="dxa"/>
            <w:noWrap w:val="0"/>
            <w:vAlign w:val="center"/>
          </w:tcPr>
          <w:p w14:paraId="7A4C9F8A">
            <w:pPr>
              <w:widowControl w:val="0"/>
              <w:spacing w:line="340" w:lineRule="exact"/>
              <w:jc w:val="center"/>
              <w:rPr>
                <w:rFonts w:eastAsia="仿宋_GB2312"/>
                <w:color w:val="000000"/>
                <w:kern w:val="2"/>
                <w:sz w:val="28"/>
                <w:szCs w:val="28"/>
                <w:lang w:val="en-US" w:eastAsia="zh-CN" w:bidi="ar-SA"/>
              </w:rPr>
            </w:pPr>
          </w:p>
        </w:tc>
      </w:tr>
      <w:tr w14:paraId="4C4F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40" w:type="dxa"/>
            <w:noWrap w:val="0"/>
            <w:vAlign w:val="center"/>
          </w:tcPr>
          <w:p w14:paraId="0D62201A">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采矿许可证</w:t>
            </w:r>
          </w:p>
        </w:tc>
        <w:tc>
          <w:tcPr>
            <w:tcW w:w="2835" w:type="dxa"/>
            <w:gridSpan w:val="4"/>
            <w:noWrap w:val="0"/>
            <w:vAlign w:val="center"/>
          </w:tcPr>
          <w:p w14:paraId="3840AC57">
            <w:pPr>
              <w:widowControl w:val="0"/>
              <w:spacing w:line="340" w:lineRule="exact"/>
              <w:jc w:val="center"/>
              <w:rPr>
                <w:rFonts w:eastAsia="仿宋_GB2312"/>
                <w:color w:val="000000"/>
                <w:kern w:val="2"/>
                <w:sz w:val="28"/>
                <w:szCs w:val="28"/>
                <w:lang w:val="en-US" w:eastAsia="zh-CN" w:bidi="ar-SA"/>
              </w:rPr>
            </w:pPr>
          </w:p>
        </w:tc>
        <w:tc>
          <w:tcPr>
            <w:tcW w:w="1701" w:type="dxa"/>
            <w:noWrap w:val="0"/>
            <w:vAlign w:val="center"/>
          </w:tcPr>
          <w:p w14:paraId="1B229D54">
            <w:pPr>
              <w:widowControl w:val="0"/>
              <w:spacing w:line="340" w:lineRule="exact"/>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发证机关</w:t>
            </w:r>
          </w:p>
        </w:tc>
        <w:tc>
          <w:tcPr>
            <w:tcW w:w="2841" w:type="dxa"/>
            <w:noWrap w:val="0"/>
            <w:vAlign w:val="center"/>
          </w:tcPr>
          <w:p w14:paraId="608D9D94">
            <w:pPr>
              <w:widowControl w:val="0"/>
              <w:spacing w:line="340" w:lineRule="exact"/>
              <w:jc w:val="center"/>
              <w:rPr>
                <w:rFonts w:eastAsia="仿宋_GB2312"/>
                <w:color w:val="000000"/>
                <w:kern w:val="2"/>
                <w:sz w:val="28"/>
                <w:szCs w:val="28"/>
                <w:lang w:val="en-US" w:eastAsia="zh-CN" w:bidi="ar-SA"/>
              </w:rPr>
            </w:pPr>
          </w:p>
        </w:tc>
      </w:tr>
      <w:tr w14:paraId="1F7F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40" w:type="dxa"/>
            <w:noWrap w:val="0"/>
            <w:vAlign w:val="center"/>
          </w:tcPr>
          <w:p w14:paraId="5F289C6C">
            <w:pPr>
              <w:widowControl w:val="0"/>
              <w:spacing w:line="400" w:lineRule="exact"/>
              <w:jc w:val="center"/>
              <w:rPr>
                <w:rFonts w:eastAsia="仿宋_GB2312"/>
                <w:color w:val="000000"/>
                <w:kern w:val="2"/>
                <w:sz w:val="28"/>
                <w:szCs w:val="28"/>
                <w:lang w:val="en-US" w:eastAsia="zh-CN" w:bidi="ar-SA"/>
              </w:rPr>
            </w:pPr>
            <w:r>
              <w:rPr>
                <w:rFonts w:hint="eastAsia" w:ascii="Calibri" w:hAnsi="Calibri" w:eastAsia="仿宋_GB2312"/>
                <w:color w:val="000000"/>
                <w:kern w:val="2"/>
                <w:sz w:val="28"/>
                <w:szCs w:val="28"/>
                <w:lang w:val="en-US" w:eastAsia="zh-CN" w:bidi="ar-SA"/>
              </w:rPr>
              <w:t>统一社会信用代码</w:t>
            </w:r>
          </w:p>
        </w:tc>
        <w:tc>
          <w:tcPr>
            <w:tcW w:w="7377" w:type="dxa"/>
            <w:gridSpan w:val="6"/>
            <w:noWrap w:val="0"/>
            <w:vAlign w:val="center"/>
          </w:tcPr>
          <w:p w14:paraId="1B88E33D">
            <w:pPr>
              <w:widowControl w:val="0"/>
              <w:spacing w:line="340" w:lineRule="exact"/>
              <w:jc w:val="center"/>
              <w:rPr>
                <w:rFonts w:eastAsia="仿宋_GB2312"/>
                <w:color w:val="000000"/>
                <w:spacing w:val="-20"/>
                <w:kern w:val="2"/>
                <w:sz w:val="28"/>
                <w:szCs w:val="28"/>
                <w:lang w:val="en-US" w:eastAsia="zh-CN" w:bidi="ar-SA"/>
              </w:rPr>
            </w:pPr>
          </w:p>
        </w:tc>
      </w:tr>
      <w:tr w14:paraId="2B2F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40" w:type="dxa"/>
            <w:noWrap w:val="0"/>
            <w:vAlign w:val="center"/>
          </w:tcPr>
          <w:p w14:paraId="0CFB4642">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法人代表</w:t>
            </w:r>
          </w:p>
        </w:tc>
        <w:tc>
          <w:tcPr>
            <w:tcW w:w="2818" w:type="dxa"/>
            <w:gridSpan w:val="3"/>
            <w:noWrap w:val="0"/>
            <w:vAlign w:val="center"/>
          </w:tcPr>
          <w:p w14:paraId="6F4809DD">
            <w:pPr>
              <w:widowControl w:val="0"/>
              <w:jc w:val="center"/>
              <w:rPr>
                <w:rFonts w:eastAsia="仿宋_GB2312"/>
                <w:color w:val="000000"/>
                <w:spacing w:val="-20"/>
                <w:kern w:val="2"/>
                <w:sz w:val="28"/>
                <w:szCs w:val="28"/>
                <w:lang w:val="en-US" w:eastAsia="zh-CN" w:bidi="ar-SA"/>
              </w:rPr>
            </w:pPr>
          </w:p>
        </w:tc>
        <w:tc>
          <w:tcPr>
            <w:tcW w:w="1718" w:type="dxa"/>
            <w:gridSpan w:val="2"/>
            <w:noWrap w:val="0"/>
            <w:vAlign w:val="center"/>
          </w:tcPr>
          <w:p w14:paraId="7B8C054A">
            <w:pPr>
              <w:widowControl w:val="0"/>
              <w:jc w:val="center"/>
              <w:rPr>
                <w:rFonts w:eastAsia="仿宋_GB2312"/>
                <w:color w:val="000000"/>
                <w:spacing w:val="-20"/>
                <w:kern w:val="2"/>
                <w:sz w:val="28"/>
                <w:szCs w:val="28"/>
                <w:lang w:val="en-US" w:eastAsia="zh-CN" w:bidi="ar-SA"/>
              </w:rPr>
            </w:pPr>
            <w:r>
              <w:rPr>
                <w:rFonts w:eastAsia="仿宋_GB2312"/>
                <w:color w:val="000000"/>
                <w:spacing w:val="-20"/>
                <w:kern w:val="2"/>
                <w:sz w:val="28"/>
                <w:szCs w:val="28"/>
                <w:lang w:val="en-US" w:eastAsia="zh-CN" w:bidi="ar-SA"/>
              </w:rPr>
              <w:t>联系电话</w:t>
            </w:r>
          </w:p>
        </w:tc>
        <w:tc>
          <w:tcPr>
            <w:tcW w:w="2841" w:type="dxa"/>
            <w:noWrap w:val="0"/>
            <w:vAlign w:val="center"/>
          </w:tcPr>
          <w:p w14:paraId="7AE03B1F">
            <w:pPr>
              <w:widowControl w:val="0"/>
              <w:jc w:val="center"/>
              <w:rPr>
                <w:rFonts w:eastAsia="仿宋_GB2312"/>
                <w:color w:val="000000"/>
                <w:spacing w:val="-20"/>
                <w:kern w:val="2"/>
                <w:sz w:val="28"/>
                <w:szCs w:val="28"/>
                <w:lang w:val="en-US" w:eastAsia="zh-CN" w:bidi="ar-SA"/>
              </w:rPr>
            </w:pPr>
          </w:p>
        </w:tc>
      </w:tr>
      <w:tr w14:paraId="06F8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40" w:type="dxa"/>
            <w:noWrap w:val="0"/>
            <w:vAlign w:val="center"/>
          </w:tcPr>
          <w:p w14:paraId="752BE5B4">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联系人</w:t>
            </w:r>
          </w:p>
        </w:tc>
        <w:tc>
          <w:tcPr>
            <w:tcW w:w="2818" w:type="dxa"/>
            <w:gridSpan w:val="3"/>
            <w:noWrap w:val="0"/>
            <w:vAlign w:val="center"/>
          </w:tcPr>
          <w:p w14:paraId="377CAF44">
            <w:pPr>
              <w:widowControl w:val="0"/>
              <w:jc w:val="center"/>
              <w:rPr>
                <w:rFonts w:eastAsia="仿宋_GB2312"/>
                <w:color w:val="000000"/>
                <w:spacing w:val="-20"/>
                <w:kern w:val="2"/>
                <w:sz w:val="28"/>
                <w:szCs w:val="28"/>
                <w:lang w:val="en-US" w:eastAsia="zh-CN" w:bidi="ar-SA"/>
              </w:rPr>
            </w:pPr>
          </w:p>
        </w:tc>
        <w:tc>
          <w:tcPr>
            <w:tcW w:w="1718" w:type="dxa"/>
            <w:gridSpan w:val="2"/>
            <w:noWrap w:val="0"/>
            <w:vAlign w:val="center"/>
          </w:tcPr>
          <w:p w14:paraId="1C90B60C">
            <w:pPr>
              <w:widowControl w:val="0"/>
              <w:jc w:val="center"/>
              <w:rPr>
                <w:rFonts w:eastAsia="仿宋_GB2312"/>
                <w:color w:val="000000"/>
                <w:spacing w:val="-20"/>
                <w:kern w:val="2"/>
                <w:sz w:val="28"/>
                <w:szCs w:val="28"/>
                <w:lang w:val="en-US" w:eastAsia="zh-CN" w:bidi="ar-SA"/>
              </w:rPr>
            </w:pPr>
            <w:r>
              <w:rPr>
                <w:rFonts w:eastAsia="仿宋_GB2312"/>
                <w:color w:val="000000"/>
                <w:spacing w:val="-20"/>
                <w:kern w:val="2"/>
                <w:sz w:val="28"/>
                <w:szCs w:val="28"/>
                <w:lang w:val="en-US" w:eastAsia="zh-CN" w:bidi="ar-SA"/>
              </w:rPr>
              <w:t>联系电话</w:t>
            </w:r>
          </w:p>
        </w:tc>
        <w:tc>
          <w:tcPr>
            <w:tcW w:w="2841" w:type="dxa"/>
            <w:noWrap w:val="0"/>
            <w:vAlign w:val="center"/>
          </w:tcPr>
          <w:p w14:paraId="0B7F5402">
            <w:pPr>
              <w:widowControl w:val="0"/>
              <w:jc w:val="center"/>
              <w:rPr>
                <w:rFonts w:eastAsia="仿宋_GB2312"/>
                <w:color w:val="000000"/>
                <w:spacing w:val="-20"/>
                <w:kern w:val="2"/>
                <w:sz w:val="28"/>
                <w:szCs w:val="28"/>
                <w:lang w:val="en-US" w:eastAsia="zh-CN" w:bidi="ar-SA"/>
              </w:rPr>
            </w:pPr>
          </w:p>
        </w:tc>
      </w:tr>
      <w:tr w14:paraId="70E3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558" w:type="dxa"/>
            <w:gridSpan w:val="4"/>
            <w:noWrap w:val="0"/>
            <w:vAlign w:val="center"/>
          </w:tcPr>
          <w:p w14:paraId="07484F5A">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企业自评得分</w:t>
            </w:r>
          </w:p>
        </w:tc>
        <w:tc>
          <w:tcPr>
            <w:tcW w:w="4559" w:type="dxa"/>
            <w:gridSpan w:val="3"/>
            <w:noWrap w:val="0"/>
            <w:vAlign w:val="center"/>
          </w:tcPr>
          <w:p w14:paraId="28807583">
            <w:pPr>
              <w:widowControl w:val="0"/>
              <w:jc w:val="center"/>
              <w:rPr>
                <w:rFonts w:eastAsia="仿宋_GB2312"/>
                <w:color w:val="000000"/>
                <w:kern w:val="2"/>
                <w:sz w:val="28"/>
                <w:szCs w:val="28"/>
                <w:lang w:val="en-US" w:eastAsia="zh-CN" w:bidi="ar-SA"/>
              </w:rPr>
            </w:pPr>
          </w:p>
        </w:tc>
      </w:tr>
      <w:tr w14:paraId="73D5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117" w:type="dxa"/>
            <w:gridSpan w:val="7"/>
            <w:noWrap w:val="0"/>
            <w:vAlign w:val="center"/>
          </w:tcPr>
          <w:p w14:paraId="395CA434">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第三方评估机构信息</w:t>
            </w:r>
          </w:p>
        </w:tc>
      </w:tr>
      <w:tr w14:paraId="5F42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81" w:type="dxa"/>
            <w:gridSpan w:val="2"/>
            <w:noWrap w:val="0"/>
            <w:vAlign w:val="center"/>
          </w:tcPr>
          <w:p w14:paraId="3F99844F">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机构名称</w:t>
            </w:r>
          </w:p>
        </w:tc>
        <w:tc>
          <w:tcPr>
            <w:tcW w:w="2677" w:type="dxa"/>
            <w:gridSpan w:val="2"/>
            <w:noWrap w:val="0"/>
            <w:vAlign w:val="center"/>
          </w:tcPr>
          <w:p w14:paraId="14B615BB">
            <w:pPr>
              <w:widowControl w:val="0"/>
              <w:jc w:val="center"/>
              <w:rPr>
                <w:rFonts w:eastAsia="仿宋_GB2312"/>
                <w:color w:val="000000"/>
                <w:kern w:val="2"/>
                <w:sz w:val="28"/>
                <w:szCs w:val="28"/>
                <w:lang w:val="en-US" w:eastAsia="zh-CN" w:bidi="ar-SA"/>
              </w:rPr>
            </w:pPr>
          </w:p>
        </w:tc>
        <w:tc>
          <w:tcPr>
            <w:tcW w:w="1718" w:type="dxa"/>
            <w:gridSpan w:val="2"/>
            <w:noWrap w:val="0"/>
            <w:vAlign w:val="center"/>
          </w:tcPr>
          <w:p w14:paraId="380433DF">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机构地址</w:t>
            </w:r>
          </w:p>
        </w:tc>
        <w:tc>
          <w:tcPr>
            <w:tcW w:w="2841" w:type="dxa"/>
            <w:noWrap w:val="0"/>
            <w:vAlign w:val="center"/>
          </w:tcPr>
          <w:p w14:paraId="69276711">
            <w:pPr>
              <w:widowControl w:val="0"/>
              <w:jc w:val="center"/>
              <w:rPr>
                <w:rFonts w:eastAsia="仿宋_GB2312"/>
                <w:color w:val="000000"/>
                <w:kern w:val="2"/>
                <w:sz w:val="28"/>
                <w:szCs w:val="28"/>
                <w:lang w:val="en-US" w:eastAsia="zh-CN" w:bidi="ar-SA"/>
              </w:rPr>
            </w:pPr>
          </w:p>
        </w:tc>
      </w:tr>
      <w:tr w14:paraId="7A3E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81" w:type="dxa"/>
            <w:gridSpan w:val="2"/>
            <w:noWrap w:val="0"/>
            <w:vAlign w:val="center"/>
          </w:tcPr>
          <w:p w14:paraId="3F775CA5">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法人代表</w:t>
            </w:r>
          </w:p>
        </w:tc>
        <w:tc>
          <w:tcPr>
            <w:tcW w:w="2677" w:type="dxa"/>
            <w:gridSpan w:val="2"/>
            <w:noWrap w:val="0"/>
            <w:vAlign w:val="center"/>
          </w:tcPr>
          <w:p w14:paraId="0FBA52BF">
            <w:pPr>
              <w:widowControl w:val="0"/>
              <w:jc w:val="center"/>
              <w:rPr>
                <w:rFonts w:eastAsia="仿宋_GB2312"/>
                <w:color w:val="000000"/>
                <w:kern w:val="2"/>
                <w:sz w:val="28"/>
                <w:szCs w:val="28"/>
                <w:lang w:val="en-US" w:eastAsia="zh-CN" w:bidi="ar-SA"/>
              </w:rPr>
            </w:pPr>
          </w:p>
        </w:tc>
        <w:tc>
          <w:tcPr>
            <w:tcW w:w="1718" w:type="dxa"/>
            <w:gridSpan w:val="2"/>
            <w:noWrap w:val="0"/>
            <w:vAlign w:val="center"/>
          </w:tcPr>
          <w:p w14:paraId="560EC08E">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联系电话</w:t>
            </w:r>
          </w:p>
        </w:tc>
        <w:tc>
          <w:tcPr>
            <w:tcW w:w="2841" w:type="dxa"/>
            <w:noWrap w:val="0"/>
            <w:vAlign w:val="center"/>
          </w:tcPr>
          <w:p w14:paraId="0BCF4F79">
            <w:pPr>
              <w:widowControl w:val="0"/>
              <w:jc w:val="center"/>
              <w:rPr>
                <w:rFonts w:eastAsia="仿宋_GB2312"/>
                <w:color w:val="000000"/>
                <w:kern w:val="2"/>
                <w:sz w:val="28"/>
                <w:szCs w:val="28"/>
                <w:lang w:val="en-US" w:eastAsia="zh-CN" w:bidi="ar-SA"/>
              </w:rPr>
            </w:pPr>
          </w:p>
        </w:tc>
      </w:tr>
      <w:tr w14:paraId="4B2B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81" w:type="dxa"/>
            <w:gridSpan w:val="2"/>
            <w:noWrap w:val="0"/>
            <w:vAlign w:val="center"/>
          </w:tcPr>
          <w:p w14:paraId="633CC057">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联系人</w:t>
            </w:r>
          </w:p>
        </w:tc>
        <w:tc>
          <w:tcPr>
            <w:tcW w:w="2677" w:type="dxa"/>
            <w:gridSpan w:val="2"/>
            <w:noWrap w:val="0"/>
            <w:vAlign w:val="center"/>
          </w:tcPr>
          <w:p w14:paraId="11E2376E">
            <w:pPr>
              <w:widowControl w:val="0"/>
              <w:jc w:val="center"/>
              <w:rPr>
                <w:rFonts w:eastAsia="仿宋_GB2312"/>
                <w:color w:val="000000"/>
                <w:kern w:val="2"/>
                <w:sz w:val="28"/>
                <w:szCs w:val="28"/>
                <w:lang w:val="en-US" w:eastAsia="zh-CN" w:bidi="ar-SA"/>
              </w:rPr>
            </w:pPr>
          </w:p>
        </w:tc>
        <w:tc>
          <w:tcPr>
            <w:tcW w:w="1718" w:type="dxa"/>
            <w:gridSpan w:val="2"/>
            <w:noWrap w:val="0"/>
            <w:vAlign w:val="center"/>
          </w:tcPr>
          <w:p w14:paraId="38F30195">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联系电话</w:t>
            </w:r>
          </w:p>
        </w:tc>
        <w:tc>
          <w:tcPr>
            <w:tcW w:w="2841" w:type="dxa"/>
            <w:noWrap w:val="0"/>
            <w:vAlign w:val="center"/>
          </w:tcPr>
          <w:p w14:paraId="477A8CDA">
            <w:pPr>
              <w:widowControl w:val="0"/>
              <w:jc w:val="center"/>
              <w:rPr>
                <w:rFonts w:eastAsia="仿宋_GB2312"/>
                <w:color w:val="000000"/>
                <w:kern w:val="2"/>
                <w:sz w:val="28"/>
                <w:szCs w:val="28"/>
                <w:lang w:val="en-US" w:eastAsia="zh-CN" w:bidi="ar-SA"/>
              </w:rPr>
            </w:pPr>
          </w:p>
        </w:tc>
      </w:tr>
      <w:tr w14:paraId="6C84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81" w:type="dxa"/>
            <w:gridSpan w:val="2"/>
            <w:noWrap w:val="0"/>
            <w:vAlign w:val="center"/>
          </w:tcPr>
          <w:p w14:paraId="1D7B9A1E">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报告编制人</w:t>
            </w:r>
          </w:p>
        </w:tc>
        <w:tc>
          <w:tcPr>
            <w:tcW w:w="2677" w:type="dxa"/>
            <w:gridSpan w:val="2"/>
            <w:noWrap w:val="0"/>
            <w:vAlign w:val="center"/>
          </w:tcPr>
          <w:p w14:paraId="1E6EB6B6">
            <w:pPr>
              <w:widowControl w:val="0"/>
              <w:jc w:val="center"/>
              <w:rPr>
                <w:rFonts w:eastAsia="仿宋_GB2312"/>
                <w:color w:val="000000"/>
                <w:kern w:val="2"/>
                <w:sz w:val="28"/>
                <w:szCs w:val="28"/>
                <w:lang w:val="en-US" w:eastAsia="zh-CN" w:bidi="ar-SA"/>
              </w:rPr>
            </w:pPr>
          </w:p>
        </w:tc>
        <w:tc>
          <w:tcPr>
            <w:tcW w:w="1718" w:type="dxa"/>
            <w:gridSpan w:val="2"/>
            <w:noWrap w:val="0"/>
            <w:vAlign w:val="center"/>
          </w:tcPr>
          <w:p w14:paraId="404B07B3">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联系电话</w:t>
            </w:r>
          </w:p>
        </w:tc>
        <w:tc>
          <w:tcPr>
            <w:tcW w:w="2841" w:type="dxa"/>
            <w:noWrap w:val="0"/>
            <w:vAlign w:val="center"/>
          </w:tcPr>
          <w:p w14:paraId="4F864E78">
            <w:pPr>
              <w:widowControl w:val="0"/>
              <w:jc w:val="center"/>
              <w:rPr>
                <w:rFonts w:eastAsia="仿宋_GB2312"/>
                <w:color w:val="000000"/>
                <w:kern w:val="2"/>
                <w:sz w:val="28"/>
                <w:szCs w:val="28"/>
                <w:lang w:val="en-US" w:eastAsia="zh-CN" w:bidi="ar-SA"/>
              </w:rPr>
            </w:pPr>
          </w:p>
        </w:tc>
      </w:tr>
      <w:tr w14:paraId="6BF3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81" w:type="dxa"/>
            <w:gridSpan w:val="2"/>
            <w:noWrap w:val="0"/>
            <w:vAlign w:val="center"/>
          </w:tcPr>
          <w:p w14:paraId="17F33184">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报告审核人</w:t>
            </w:r>
          </w:p>
        </w:tc>
        <w:tc>
          <w:tcPr>
            <w:tcW w:w="2677" w:type="dxa"/>
            <w:gridSpan w:val="2"/>
            <w:noWrap w:val="0"/>
            <w:vAlign w:val="center"/>
          </w:tcPr>
          <w:p w14:paraId="18E9FD5C">
            <w:pPr>
              <w:widowControl w:val="0"/>
              <w:jc w:val="center"/>
              <w:rPr>
                <w:rFonts w:eastAsia="仿宋_GB2312"/>
                <w:color w:val="000000"/>
                <w:kern w:val="2"/>
                <w:sz w:val="28"/>
                <w:szCs w:val="28"/>
                <w:lang w:val="en-US" w:eastAsia="zh-CN" w:bidi="ar-SA"/>
              </w:rPr>
            </w:pPr>
          </w:p>
        </w:tc>
        <w:tc>
          <w:tcPr>
            <w:tcW w:w="1718" w:type="dxa"/>
            <w:gridSpan w:val="2"/>
            <w:noWrap w:val="0"/>
            <w:vAlign w:val="center"/>
          </w:tcPr>
          <w:p w14:paraId="340C2D29">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联系电话</w:t>
            </w:r>
          </w:p>
        </w:tc>
        <w:tc>
          <w:tcPr>
            <w:tcW w:w="2841" w:type="dxa"/>
            <w:noWrap w:val="0"/>
            <w:vAlign w:val="center"/>
          </w:tcPr>
          <w:p w14:paraId="1A5E7910">
            <w:pPr>
              <w:widowControl w:val="0"/>
              <w:jc w:val="center"/>
              <w:rPr>
                <w:rFonts w:eastAsia="仿宋_GB2312"/>
                <w:color w:val="000000"/>
                <w:kern w:val="2"/>
                <w:sz w:val="28"/>
                <w:szCs w:val="28"/>
                <w:lang w:val="en-US" w:eastAsia="zh-CN" w:bidi="ar-SA"/>
              </w:rPr>
            </w:pPr>
          </w:p>
        </w:tc>
      </w:tr>
      <w:tr w14:paraId="27E3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7" w:type="dxa"/>
            <w:gridSpan w:val="7"/>
            <w:noWrap w:val="0"/>
            <w:vAlign w:val="center"/>
          </w:tcPr>
          <w:p w14:paraId="4282AC6A">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评估结果</w:t>
            </w:r>
          </w:p>
        </w:tc>
      </w:tr>
      <w:tr w14:paraId="763C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881" w:type="dxa"/>
            <w:gridSpan w:val="2"/>
            <w:noWrap w:val="0"/>
            <w:vAlign w:val="center"/>
          </w:tcPr>
          <w:p w14:paraId="1CCB5A73">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评估得分</w:t>
            </w:r>
          </w:p>
        </w:tc>
        <w:tc>
          <w:tcPr>
            <w:tcW w:w="1701" w:type="dxa"/>
            <w:noWrap w:val="0"/>
            <w:vAlign w:val="center"/>
          </w:tcPr>
          <w:p w14:paraId="3A021700">
            <w:pPr>
              <w:widowControl w:val="0"/>
              <w:jc w:val="center"/>
              <w:rPr>
                <w:rFonts w:eastAsia="仿宋_GB2312"/>
                <w:color w:val="000000"/>
                <w:kern w:val="2"/>
                <w:sz w:val="28"/>
                <w:szCs w:val="28"/>
                <w:lang w:val="en-US" w:eastAsia="zh-CN" w:bidi="ar-SA"/>
              </w:rPr>
            </w:pPr>
          </w:p>
        </w:tc>
        <w:tc>
          <w:tcPr>
            <w:tcW w:w="2694" w:type="dxa"/>
            <w:gridSpan w:val="3"/>
            <w:noWrap w:val="0"/>
            <w:vAlign w:val="center"/>
          </w:tcPr>
          <w:p w14:paraId="433EB6F1">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是否符合</w:t>
            </w:r>
          </w:p>
        </w:tc>
        <w:tc>
          <w:tcPr>
            <w:tcW w:w="2841" w:type="dxa"/>
            <w:noWrap w:val="0"/>
            <w:vAlign w:val="center"/>
          </w:tcPr>
          <w:p w14:paraId="45893B13">
            <w:pPr>
              <w:widowControl w:val="0"/>
              <w:jc w:val="center"/>
              <w:rPr>
                <w:rFonts w:eastAsia="仿宋_GB2312"/>
                <w:color w:val="000000"/>
                <w:kern w:val="2"/>
                <w:sz w:val="28"/>
                <w:szCs w:val="28"/>
                <w:lang w:val="en-US" w:eastAsia="zh-CN" w:bidi="ar-SA"/>
              </w:rPr>
            </w:pPr>
            <w:r>
              <w:rPr>
                <w:rFonts w:eastAsia="仿宋_GB2312"/>
                <w:color w:val="000000"/>
                <w:kern w:val="2"/>
                <w:sz w:val="28"/>
                <w:szCs w:val="28"/>
                <w:lang w:val="en-US" w:eastAsia="zh-CN" w:bidi="ar-SA"/>
              </w:rPr>
              <w:t>是</w:t>
            </w:r>
            <w:r>
              <w:rPr>
                <w:rFonts w:eastAsia="仿宋_GB2312"/>
                <w:color w:val="000000"/>
                <w:kern w:val="2"/>
                <w:sz w:val="32"/>
                <w:szCs w:val="32"/>
                <w:lang w:val="en-US" w:eastAsia="zh-CN" w:bidi="ar-SA"/>
              </w:rPr>
              <w:t>□</w:t>
            </w:r>
            <w:r>
              <w:rPr>
                <w:rFonts w:eastAsia="仿宋_GB2312"/>
                <w:color w:val="000000"/>
                <w:kern w:val="2"/>
                <w:sz w:val="28"/>
                <w:szCs w:val="28"/>
                <w:lang w:val="en-US" w:eastAsia="zh-CN" w:bidi="ar-SA"/>
              </w:rPr>
              <w:t xml:space="preserve">   否</w:t>
            </w:r>
            <w:r>
              <w:rPr>
                <w:rFonts w:eastAsia="仿宋_GB2312"/>
                <w:color w:val="000000"/>
                <w:kern w:val="2"/>
                <w:sz w:val="32"/>
                <w:szCs w:val="32"/>
                <w:lang w:val="en-US" w:eastAsia="zh-CN" w:bidi="ar-SA"/>
              </w:rPr>
              <w:t>□</w:t>
            </w:r>
          </w:p>
        </w:tc>
      </w:tr>
      <w:tr w14:paraId="0ECB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117" w:type="dxa"/>
            <w:gridSpan w:val="7"/>
            <w:noWrap w:val="0"/>
            <w:vAlign w:val="center"/>
          </w:tcPr>
          <w:p w14:paraId="7837367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eastAsia="仿宋_GB2312"/>
                <w:color w:val="000000"/>
                <w:kern w:val="0"/>
                <w:sz w:val="28"/>
                <w:szCs w:val="28"/>
                <w:lang w:val="en-US" w:eastAsia="zh-CN" w:bidi="ar-SA"/>
              </w:rPr>
            </w:pPr>
            <w:r>
              <w:rPr>
                <w:rFonts w:eastAsia="仿宋_GB2312"/>
                <w:color w:val="000000"/>
                <w:kern w:val="0"/>
                <w:sz w:val="28"/>
                <w:szCs w:val="28"/>
                <w:lang w:val="en-US" w:eastAsia="zh-CN" w:bidi="ar-SA"/>
              </w:rPr>
              <w:t>本机构承诺，已对申请单位材料进行了全面审核，开展了现场核查，材料真实有效，评估程序规范完整，结论客观公正。评价报告若存在弄虚作假，本机构愿承担责任。</w:t>
            </w:r>
          </w:p>
          <w:p w14:paraId="5EBD8B00">
            <w:pPr>
              <w:widowControl w:val="0"/>
              <w:jc w:val="both"/>
              <w:rPr>
                <w:rFonts w:eastAsia="仿宋_GB2312"/>
                <w:color w:val="000000"/>
                <w:kern w:val="2"/>
                <w:sz w:val="28"/>
                <w:szCs w:val="28"/>
                <w:lang w:val="en-US" w:eastAsia="zh-CN" w:bidi="ar-SA"/>
              </w:rPr>
            </w:pPr>
            <w:r>
              <w:rPr>
                <w:rFonts w:eastAsia="仿宋_GB2312"/>
                <w:color w:val="000000"/>
                <w:kern w:val="2"/>
                <w:sz w:val="28"/>
                <w:szCs w:val="28"/>
                <w:lang w:val="en-US" w:eastAsia="zh-CN" w:bidi="ar-SA"/>
              </w:rPr>
              <w:t>评估负责人签字：                      单位公章：</w:t>
            </w:r>
          </w:p>
        </w:tc>
      </w:tr>
    </w:tbl>
    <w:p w14:paraId="5ED7DB3A">
      <w:pPr>
        <w:autoSpaceDE w:val="0"/>
        <w:autoSpaceDN w:val="0"/>
        <w:adjustRightInd w:val="0"/>
        <w:spacing w:line="620" w:lineRule="exact"/>
        <w:jc w:val="center"/>
        <w:rPr>
          <w:rFonts w:eastAsia="微软雅黑"/>
          <w:color w:val="000000"/>
          <w:kern w:val="0"/>
          <w:sz w:val="32"/>
          <w:szCs w:val="32"/>
        </w:rPr>
      </w:pPr>
    </w:p>
    <w:p w14:paraId="658044C8">
      <w:pPr>
        <w:autoSpaceDE w:val="0"/>
        <w:autoSpaceDN w:val="0"/>
        <w:adjustRightInd w:val="0"/>
        <w:spacing w:line="620" w:lineRule="exact"/>
        <w:jc w:val="center"/>
        <w:rPr>
          <w:rFonts w:eastAsia="方正小标宋_GBK"/>
          <w:color w:val="000000"/>
          <w:kern w:val="0"/>
          <w:sz w:val="44"/>
          <w:szCs w:val="44"/>
        </w:rPr>
      </w:pPr>
      <w:r>
        <w:rPr>
          <w:rFonts w:hint="eastAsia" w:ascii="方正小标宋简体" w:hAnsi="方正小标宋简体" w:eastAsia="方正小标宋简体" w:cs="方正小标宋简体"/>
          <w:color w:val="000000"/>
          <w:kern w:val="0"/>
          <w:sz w:val="44"/>
          <w:szCs w:val="44"/>
        </w:rPr>
        <w:t>绿色矿山第三方评估报告（大纲）</w:t>
      </w:r>
    </w:p>
    <w:p w14:paraId="6FD492DB">
      <w:pPr>
        <w:autoSpaceDE w:val="0"/>
        <w:autoSpaceDN w:val="0"/>
        <w:adjustRightInd w:val="0"/>
        <w:spacing w:line="480" w:lineRule="auto"/>
        <w:jc w:val="center"/>
        <w:rPr>
          <w:color w:val="000000"/>
          <w:kern w:val="0"/>
          <w:sz w:val="44"/>
          <w:szCs w:val="44"/>
        </w:rPr>
      </w:pPr>
    </w:p>
    <w:p w14:paraId="5896DA8F">
      <w:pPr>
        <w:numPr>
          <w:ilvl w:val="0"/>
          <w:numId w:val="1"/>
        </w:numPr>
        <w:autoSpaceDE w:val="0"/>
        <w:autoSpaceDN w:val="0"/>
        <w:adjustRightInd w:val="0"/>
        <w:ind w:firstLine="640" w:firstLineChars="200"/>
        <w:rPr>
          <w:rFonts w:eastAsia="黑体"/>
          <w:color w:val="000000"/>
          <w:kern w:val="0"/>
          <w:sz w:val="32"/>
          <w:szCs w:val="32"/>
        </w:rPr>
      </w:pPr>
      <w:r>
        <w:rPr>
          <w:rFonts w:eastAsia="黑体"/>
          <w:color w:val="000000"/>
          <w:kern w:val="0"/>
          <w:sz w:val="32"/>
          <w:szCs w:val="32"/>
        </w:rPr>
        <w:t>概况</w:t>
      </w:r>
    </w:p>
    <w:p w14:paraId="58766C5A">
      <w:pPr>
        <w:autoSpaceDE w:val="0"/>
        <w:autoSpaceDN w:val="0"/>
        <w:adjustRightInd w:val="0"/>
        <w:ind w:firstLine="640" w:firstLineChars="200"/>
        <w:rPr>
          <w:rFonts w:eastAsia="仿宋_GB2312"/>
          <w:color w:val="000000"/>
          <w:kern w:val="0"/>
          <w:sz w:val="32"/>
          <w:szCs w:val="32"/>
        </w:rPr>
      </w:pPr>
      <w:r>
        <w:rPr>
          <w:rFonts w:hint="eastAsia" w:eastAsia="仿宋_GB2312"/>
          <w:color w:val="000000"/>
          <w:kern w:val="0"/>
          <w:sz w:val="32"/>
          <w:szCs w:val="32"/>
        </w:rPr>
        <w:t>介绍任务来源</w:t>
      </w:r>
      <w:r>
        <w:rPr>
          <w:rFonts w:hint="eastAsia" w:ascii="Calibri" w:hAnsi="Calibri" w:eastAsia="仿宋_GB2312"/>
          <w:color w:val="000000"/>
          <w:kern w:val="0"/>
          <w:sz w:val="32"/>
          <w:szCs w:val="32"/>
        </w:rPr>
        <w:t>、</w:t>
      </w:r>
      <w:r>
        <w:rPr>
          <w:rFonts w:hint="eastAsia" w:eastAsia="仿宋_GB2312"/>
          <w:color w:val="000000"/>
          <w:kern w:val="0"/>
          <w:sz w:val="32"/>
          <w:szCs w:val="32"/>
        </w:rPr>
        <w:t>评估</w:t>
      </w:r>
      <w:r>
        <w:rPr>
          <w:rFonts w:hint="eastAsia" w:ascii="Calibri" w:hAnsi="Calibri" w:eastAsia="仿宋_GB2312"/>
          <w:color w:val="000000"/>
          <w:kern w:val="0"/>
          <w:sz w:val="32"/>
          <w:szCs w:val="32"/>
        </w:rPr>
        <w:t>依据、</w:t>
      </w:r>
      <w:r>
        <w:rPr>
          <w:rFonts w:hint="eastAsia" w:eastAsia="仿宋_GB2312"/>
          <w:color w:val="000000"/>
          <w:kern w:val="0"/>
          <w:sz w:val="32"/>
          <w:szCs w:val="32"/>
        </w:rPr>
        <w:t>组织安排和</w:t>
      </w:r>
      <w:r>
        <w:rPr>
          <w:rFonts w:hint="eastAsia" w:ascii="Calibri" w:hAnsi="Calibri" w:eastAsia="仿宋_GB2312"/>
          <w:color w:val="000000"/>
          <w:kern w:val="0"/>
          <w:sz w:val="32"/>
          <w:szCs w:val="32"/>
        </w:rPr>
        <w:t>实施</w:t>
      </w:r>
      <w:r>
        <w:rPr>
          <w:rFonts w:hint="eastAsia" w:eastAsia="仿宋_GB2312"/>
          <w:color w:val="000000"/>
          <w:kern w:val="0"/>
          <w:sz w:val="32"/>
          <w:szCs w:val="32"/>
        </w:rPr>
        <w:t>过程等。</w:t>
      </w:r>
    </w:p>
    <w:p w14:paraId="5F2B07A0">
      <w:pPr>
        <w:autoSpaceDE w:val="0"/>
        <w:autoSpaceDN w:val="0"/>
        <w:adjustRightInd w:val="0"/>
        <w:ind w:firstLine="640" w:firstLineChars="200"/>
        <w:rPr>
          <w:rFonts w:eastAsia="黑体"/>
          <w:color w:val="000000"/>
          <w:kern w:val="0"/>
          <w:sz w:val="32"/>
          <w:szCs w:val="32"/>
        </w:rPr>
      </w:pPr>
      <w:r>
        <w:rPr>
          <w:rFonts w:hint="eastAsia" w:eastAsia="黑体"/>
          <w:color w:val="000000"/>
          <w:kern w:val="0"/>
          <w:sz w:val="32"/>
          <w:szCs w:val="32"/>
        </w:rPr>
        <w:t>二、评估方法</w:t>
      </w:r>
    </w:p>
    <w:p w14:paraId="25368A84">
      <w:pPr>
        <w:autoSpaceDE w:val="0"/>
        <w:autoSpaceDN w:val="0"/>
        <w:adjustRightInd w:val="0"/>
        <w:ind w:firstLine="640" w:firstLineChars="200"/>
        <w:rPr>
          <w:rFonts w:eastAsia="仿宋_GB2312"/>
          <w:color w:val="000000"/>
          <w:kern w:val="0"/>
          <w:sz w:val="32"/>
          <w:szCs w:val="32"/>
        </w:rPr>
      </w:pPr>
      <w:r>
        <w:rPr>
          <w:rFonts w:eastAsia="仿宋_GB2312"/>
          <w:color w:val="000000"/>
          <w:kern w:val="0"/>
          <w:sz w:val="32"/>
          <w:szCs w:val="32"/>
        </w:rPr>
        <w:t>介绍评估</w:t>
      </w:r>
      <w:r>
        <w:rPr>
          <w:rFonts w:hint="eastAsia" w:ascii="Calibri" w:hAnsi="Calibri" w:eastAsia="仿宋_GB2312"/>
          <w:color w:val="000000"/>
          <w:kern w:val="0"/>
          <w:sz w:val="32"/>
          <w:szCs w:val="32"/>
        </w:rPr>
        <w:t>采用的主要方法，如资料审核、实地核查、指标测算等</w:t>
      </w:r>
      <w:r>
        <w:rPr>
          <w:rFonts w:eastAsia="仿宋_GB2312"/>
          <w:color w:val="000000"/>
          <w:kern w:val="0"/>
          <w:sz w:val="32"/>
          <w:szCs w:val="32"/>
        </w:rPr>
        <w:t>。</w:t>
      </w:r>
    </w:p>
    <w:p w14:paraId="2573B8AA">
      <w:pPr>
        <w:autoSpaceDE w:val="0"/>
        <w:autoSpaceDN w:val="0"/>
        <w:adjustRightInd w:val="0"/>
        <w:ind w:firstLine="640" w:firstLineChars="200"/>
        <w:rPr>
          <w:rFonts w:hint="eastAsia" w:eastAsia="黑体"/>
          <w:color w:val="000000"/>
          <w:kern w:val="0"/>
          <w:sz w:val="32"/>
          <w:szCs w:val="32"/>
        </w:rPr>
      </w:pPr>
      <w:r>
        <w:rPr>
          <w:rFonts w:hint="eastAsia" w:ascii="Calibri" w:hAnsi="Calibri" w:eastAsia="黑体"/>
          <w:color w:val="000000"/>
          <w:kern w:val="0"/>
          <w:sz w:val="32"/>
          <w:szCs w:val="32"/>
        </w:rPr>
        <w:t>三、</w:t>
      </w:r>
      <w:r>
        <w:rPr>
          <w:rFonts w:eastAsia="黑体"/>
          <w:color w:val="000000"/>
          <w:kern w:val="0"/>
          <w:sz w:val="32"/>
          <w:szCs w:val="32"/>
        </w:rPr>
        <w:t>评估</w:t>
      </w:r>
      <w:r>
        <w:rPr>
          <w:rFonts w:hint="eastAsia" w:eastAsia="黑体"/>
          <w:color w:val="000000"/>
          <w:kern w:val="0"/>
          <w:sz w:val="32"/>
          <w:szCs w:val="32"/>
        </w:rPr>
        <w:t>情况</w:t>
      </w:r>
    </w:p>
    <w:p w14:paraId="7F82FE44">
      <w:pPr>
        <w:numPr>
          <w:ilvl w:val="0"/>
          <w:numId w:val="2"/>
        </w:numPr>
        <w:autoSpaceDE w:val="0"/>
        <w:autoSpaceDN w:val="0"/>
        <w:adjustRightInd w:val="0"/>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内业评估</w:t>
      </w:r>
    </w:p>
    <w:p w14:paraId="110B4148">
      <w:pPr>
        <w:autoSpaceDE w:val="0"/>
        <w:autoSpaceDN w:val="0"/>
        <w:adjustRightInd w:val="0"/>
        <w:ind w:firstLine="640" w:firstLineChars="200"/>
        <w:rPr>
          <w:rFonts w:eastAsia="仿宋_GB2312"/>
          <w:color w:val="000000"/>
          <w:kern w:val="0"/>
          <w:sz w:val="32"/>
          <w:szCs w:val="32"/>
        </w:rPr>
      </w:pPr>
      <w:r>
        <w:rPr>
          <w:rFonts w:hint="eastAsia" w:eastAsia="仿宋_GB2312"/>
          <w:color w:val="000000"/>
          <w:kern w:val="0"/>
          <w:sz w:val="32"/>
          <w:szCs w:val="32"/>
        </w:rPr>
        <w:t>对矿山提交的自评</w:t>
      </w:r>
      <w:r>
        <w:rPr>
          <w:rFonts w:hint="eastAsia" w:ascii="Calibri" w:hAnsi="Calibri" w:eastAsia="仿宋_GB2312"/>
          <w:color w:val="000000"/>
          <w:kern w:val="0"/>
          <w:sz w:val="32"/>
          <w:szCs w:val="32"/>
        </w:rPr>
        <w:t>估</w:t>
      </w:r>
      <w:r>
        <w:rPr>
          <w:rFonts w:hint="eastAsia" w:eastAsia="仿宋_GB2312"/>
          <w:color w:val="000000"/>
          <w:kern w:val="0"/>
          <w:sz w:val="32"/>
          <w:szCs w:val="32"/>
        </w:rPr>
        <w:t>报告、入库信息</w:t>
      </w:r>
      <w:r>
        <w:rPr>
          <w:rFonts w:hint="eastAsia" w:ascii="Calibri" w:hAnsi="Calibri" w:eastAsia="仿宋_GB2312"/>
          <w:color w:val="000000"/>
          <w:kern w:val="0"/>
          <w:sz w:val="32"/>
          <w:szCs w:val="32"/>
        </w:rPr>
        <w:t>表</w:t>
      </w:r>
      <w:r>
        <w:rPr>
          <w:rFonts w:hint="eastAsia" w:eastAsia="仿宋_GB2312"/>
          <w:color w:val="000000"/>
          <w:kern w:val="0"/>
          <w:sz w:val="32"/>
          <w:szCs w:val="32"/>
        </w:rPr>
        <w:t>、照片视频及先决条件等材料的完整性进行预评估，形成审核结论。</w:t>
      </w:r>
    </w:p>
    <w:p w14:paraId="0E94F052">
      <w:pPr>
        <w:numPr>
          <w:ilvl w:val="0"/>
          <w:numId w:val="2"/>
        </w:numPr>
        <w:autoSpaceDE w:val="0"/>
        <w:autoSpaceDN w:val="0"/>
        <w:adjustRightInd w:val="0"/>
        <w:ind w:firstLine="640"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现场评估</w:t>
      </w:r>
    </w:p>
    <w:p w14:paraId="0C497ED2">
      <w:pPr>
        <w:autoSpaceDE w:val="0"/>
        <w:autoSpaceDN w:val="0"/>
        <w:adjustRightInd w:val="0"/>
        <w:ind w:firstLine="624" w:firstLineChars="200"/>
        <w:rPr>
          <w:rFonts w:eastAsia="仿宋_GB2312"/>
          <w:color w:val="000000"/>
          <w:spacing w:val="-4"/>
          <w:kern w:val="0"/>
          <w:sz w:val="32"/>
          <w:szCs w:val="32"/>
        </w:rPr>
      </w:pPr>
      <w:r>
        <w:rPr>
          <w:rFonts w:hint="eastAsia" w:ascii="Calibri" w:hAnsi="Calibri" w:eastAsia="仿宋_GB2312"/>
          <w:color w:val="000000"/>
          <w:spacing w:val="-4"/>
          <w:kern w:val="0"/>
          <w:sz w:val="32"/>
          <w:szCs w:val="32"/>
        </w:rPr>
        <w:t>根据</w:t>
      </w:r>
      <w:r>
        <w:rPr>
          <w:rFonts w:ascii="Calibri" w:hAnsi="Calibri" w:eastAsia="仿宋_GB2312"/>
          <w:color w:val="000000"/>
          <w:spacing w:val="-4"/>
          <w:kern w:val="0"/>
          <w:sz w:val="32"/>
          <w:szCs w:val="32"/>
        </w:rPr>
        <w:t>《</w:t>
      </w:r>
      <w:r>
        <w:rPr>
          <w:rFonts w:hint="eastAsia" w:ascii="Calibri" w:hAnsi="Calibri" w:eastAsia="仿宋_GB2312"/>
          <w:color w:val="000000"/>
          <w:spacing w:val="-4"/>
          <w:kern w:val="0"/>
          <w:sz w:val="32"/>
          <w:szCs w:val="32"/>
        </w:rPr>
        <w:t>湖南省绿色矿山建设评价指标</w:t>
      </w:r>
      <w:r>
        <w:rPr>
          <w:rFonts w:ascii="Calibri" w:hAnsi="Calibri" w:eastAsia="仿宋_GB2312"/>
          <w:color w:val="000000"/>
          <w:spacing w:val="-4"/>
          <w:kern w:val="0"/>
          <w:sz w:val="32"/>
          <w:szCs w:val="32"/>
        </w:rPr>
        <w:t>》</w:t>
      </w:r>
      <w:r>
        <w:rPr>
          <w:rFonts w:hint="eastAsia" w:ascii="Calibri" w:hAnsi="Calibri" w:eastAsia="仿宋_GB2312"/>
          <w:color w:val="000000"/>
          <w:spacing w:val="-4"/>
          <w:kern w:val="0"/>
          <w:sz w:val="32"/>
          <w:szCs w:val="32"/>
        </w:rPr>
        <w:t>，从矿区环境、资源开采、资源综合利用、绿色低碳、生态修复与环境治理、科技创新与规范管理</w:t>
      </w:r>
      <w:r>
        <w:rPr>
          <w:rFonts w:eastAsia="仿宋_GB2312"/>
          <w:color w:val="000000"/>
          <w:spacing w:val="-4"/>
          <w:kern w:val="0"/>
          <w:sz w:val="32"/>
          <w:szCs w:val="32"/>
        </w:rPr>
        <w:t>等</w:t>
      </w:r>
      <w:r>
        <w:rPr>
          <w:rFonts w:hint="eastAsia" w:ascii="Calibri" w:hAnsi="Calibri" w:eastAsia="仿宋_GB2312"/>
          <w:color w:val="000000"/>
          <w:spacing w:val="-4"/>
          <w:kern w:val="0"/>
          <w:sz w:val="32"/>
          <w:szCs w:val="32"/>
        </w:rPr>
        <w:t>方面逐项进行评估，附现场核查照片</w:t>
      </w:r>
      <w:r>
        <w:rPr>
          <w:rFonts w:eastAsia="仿宋_GB2312"/>
          <w:color w:val="000000"/>
          <w:spacing w:val="-4"/>
          <w:kern w:val="0"/>
          <w:sz w:val="32"/>
          <w:szCs w:val="32"/>
        </w:rPr>
        <w:t>。</w:t>
      </w:r>
      <w:r>
        <w:rPr>
          <w:rFonts w:hint="eastAsia" w:ascii="Calibri" w:hAnsi="Calibri" w:eastAsia="仿宋_GB2312"/>
          <w:color w:val="000000"/>
          <w:spacing w:val="-4"/>
          <w:kern w:val="0"/>
          <w:sz w:val="32"/>
          <w:szCs w:val="32"/>
        </w:rPr>
        <w:t>分析建设中存在的问题，明确失分项及原因等。</w:t>
      </w:r>
    </w:p>
    <w:p w14:paraId="66A9F98E">
      <w:pPr>
        <w:autoSpaceDE w:val="0"/>
        <w:autoSpaceDN w:val="0"/>
        <w:adjustRightInd w:val="0"/>
        <w:ind w:firstLine="640" w:firstLineChars="200"/>
        <w:rPr>
          <w:rFonts w:eastAsia="黑体"/>
          <w:color w:val="000000"/>
          <w:kern w:val="0"/>
          <w:sz w:val="32"/>
          <w:szCs w:val="32"/>
        </w:rPr>
      </w:pPr>
      <w:r>
        <w:rPr>
          <w:rFonts w:hint="eastAsia" w:ascii="Calibri" w:hAnsi="Calibri" w:eastAsia="黑体"/>
          <w:color w:val="000000"/>
          <w:kern w:val="0"/>
          <w:sz w:val="32"/>
          <w:szCs w:val="32"/>
        </w:rPr>
        <w:t>四</w:t>
      </w:r>
      <w:r>
        <w:rPr>
          <w:rFonts w:eastAsia="黑体"/>
          <w:color w:val="000000"/>
          <w:kern w:val="0"/>
          <w:sz w:val="32"/>
          <w:szCs w:val="32"/>
        </w:rPr>
        <w:t>、评估结论及建议</w:t>
      </w:r>
    </w:p>
    <w:p w14:paraId="46391B7C">
      <w:pPr>
        <w:autoSpaceDE w:val="0"/>
        <w:autoSpaceDN w:val="0"/>
        <w:adjustRightInd w:val="0"/>
        <w:ind w:firstLine="624" w:firstLineChars="200"/>
        <w:rPr>
          <w:rFonts w:eastAsia="仿宋_GB2312"/>
          <w:color w:val="000000"/>
          <w:spacing w:val="-4"/>
          <w:kern w:val="0"/>
          <w:sz w:val="32"/>
          <w:szCs w:val="32"/>
        </w:rPr>
      </w:pPr>
      <w:r>
        <w:rPr>
          <w:rFonts w:eastAsia="仿宋_GB2312"/>
          <w:color w:val="000000"/>
          <w:spacing w:val="-4"/>
          <w:kern w:val="0"/>
          <w:sz w:val="32"/>
          <w:szCs w:val="32"/>
        </w:rPr>
        <w:t>对矿山是否符合</w:t>
      </w:r>
      <w:r>
        <w:rPr>
          <w:rFonts w:hint="eastAsia" w:ascii="Calibri" w:hAnsi="Calibri" w:eastAsia="仿宋_GB2312"/>
          <w:color w:val="000000"/>
          <w:spacing w:val="-4"/>
          <w:kern w:val="0"/>
          <w:sz w:val="32"/>
          <w:szCs w:val="32"/>
        </w:rPr>
        <w:t>湖南省</w:t>
      </w:r>
      <w:r>
        <w:rPr>
          <w:rFonts w:eastAsia="仿宋_GB2312"/>
          <w:color w:val="000000"/>
          <w:spacing w:val="-4"/>
          <w:kern w:val="0"/>
          <w:sz w:val="32"/>
          <w:szCs w:val="32"/>
        </w:rPr>
        <w:t>绿色矿山</w:t>
      </w:r>
      <w:r>
        <w:rPr>
          <w:rFonts w:hint="eastAsia" w:ascii="Calibri" w:hAnsi="Calibri" w:eastAsia="仿宋_GB2312"/>
          <w:color w:val="000000"/>
          <w:spacing w:val="-4"/>
          <w:kern w:val="0"/>
          <w:sz w:val="32"/>
          <w:szCs w:val="32"/>
        </w:rPr>
        <w:t>建设要求，是否可以通过评估，给出明确的结论性意见</w:t>
      </w:r>
      <w:r>
        <w:rPr>
          <w:rFonts w:eastAsia="仿宋_GB2312"/>
          <w:color w:val="000000"/>
          <w:spacing w:val="-4"/>
          <w:kern w:val="0"/>
          <w:sz w:val="32"/>
          <w:szCs w:val="32"/>
        </w:rPr>
        <w:t>。</w:t>
      </w:r>
    </w:p>
    <w:p w14:paraId="549633A7">
      <w:pPr>
        <w:autoSpaceDE w:val="0"/>
        <w:autoSpaceDN w:val="0"/>
        <w:adjustRightInd w:val="0"/>
        <w:ind w:firstLine="624" w:firstLineChars="200"/>
        <w:rPr>
          <w:rFonts w:eastAsia="仿宋_GB2312"/>
          <w:color w:val="000000"/>
          <w:spacing w:val="-4"/>
          <w:kern w:val="0"/>
          <w:sz w:val="32"/>
          <w:szCs w:val="32"/>
          <w:highlight w:val="yellow"/>
        </w:rPr>
      </w:pPr>
      <w:r>
        <w:rPr>
          <w:rFonts w:hint="eastAsia" w:ascii="Calibri" w:hAnsi="Calibri" w:eastAsia="仿宋_GB2312"/>
          <w:color w:val="000000"/>
          <w:spacing w:val="-4"/>
          <w:kern w:val="0"/>
          <w:sz w:val="32"/>
          <w:szCs w:val="32"/>
        </w:rPr>
        <w:t>总结矿山企业的</w:t>
      </w:r>
      <w:r>
        <w:rPr>
          <w:rFonts w:eastAsia="仿宋_GB2312"/>
          <w:color w:val="000000"/>
          <w:spacing w:val="-4"/>
          <w:kern w:val="0"/>
          <w:sz w:val="32"/>
          <w:szCs w:val="32"/>
        </w:rPr>
        <w:t>工作亮点，并对持续</w:t>
      </w:r>
      <w:r>
        <w:rPr>
          <w:rFonts w:hint="eastAsia" w:ascii="Calibri" w:hAnsi="Calibri" w:eastAsia="仿宋_GB2312"/>
          <w:color w:val="000000"/>
          <w:spacing w:val="-4"/>
          <w:kern w:val="0"/>
          <w:sz w:val="32"/>
          <w:szCs w:val="32"/>
        </w:rPr>
        <w:t>建设</w:t>
      </w:r>
      <w:r>
        <w:rPr>
          <w:rFonts w:eastAsia="仿宋_GB2312"/>
          <w:color w:val="000000"/>
          <w:spacing w:val="-4"/>
          <w:kern w:val="0"/>
          <w:sz w:val="32"/>
          <w:szCs w:val="32"/>
        </w:rPr>
        <w:t>绿色矿山的下一步工作提出建议。</w:t>
      </w:r>
    </w:p>
    <w:p w14:paraId="764558FE">
      <w:pPr>
        <w:autoSpaceDE w:val="0"/>
        <w:autoSpaceDN w:val="0"/>
        <w:adjustRightInd w:val="0"/>
        <w:ind w:firstLine="624" w:firstLineChars="200"/>
        <w:rPr>
          <w:rFonts w:eastAsia="黑体"/>
          <w:color w:val="000000"/>
          <w:spacing w:val="-4"/>
          <w:kern w:val="0"/>
          <w:sz w:val="32"/>
          <w:szCs w:val="32"/>
        </w:rPr>
      </w:pPr>
      <w:r>
        <w:rPr>
          <w:rFonts w:hint="eastAsia" w:ascii="Calibri" w:hAnsi="Calibri" w:eastAsia="黑体"/>
          <w:color w:val="000000"/>
          <w:spacing w:val="-4"/>
          <w:kern w:val="0"/>
          <w:sz w:val="32"/>
          <w:szCs w:val="32"/>
        </w:rPr>
        <w:t>五</w:t>
      </w:r>
      <w:r>
        <w:rPr>
          <w:rFonts w:eastAsia="黑体"/>
          <w:color w:val="000000"/>
          <w:spacing w:val="-4"/>
          <w:kern w:val="0"/>
          <w:sz w:val="32"/>
          <w:szCs w:val="32"/>
        </w:rPr>
        <w:t>、</w:t>
      </w:r>
      <w:r>
        <w:rPr>
          <w:rFonts w:hint="eastAsia" w:ascii="Calibri" w:hAnsi="Calibri" w:eastAsia="黑体"/>
          <w:color w:val="000000"/>
          <w:spacing w:val="-4"/>
          <w:kern w:val="0"/>
          <w:sz w:val="32"/>
          <w:szCs w:val="32"/>
        </w:rPr>
        <w:t>相关材料</w:t>
      </w:r>
      <w:r>
        <w:rPr>
          <w:rFonts w:eastAsia="黑体"/>
          <w:color w:val="000000"/>
          <w:spacing w:val="-4"/>
          <w:kern w:val="0"/>
          <w:sz w:val="32"/>
          <w:szCs w:val="32"/>
        </w:rPr>
        <w:t>。</w:t>
      </w:r>
    </w:p>
    <w:p w14:paraId="640854A1">
      <w:pPr>
        <w:autoSpaceDE w:val="0"/>
        <w:autoSpaceDN w:val="0"/>
        <w:adjustRightInd w:val="0"/>
        <w:ind w:firstLine="624" w:firstLineChars="200"/>
        <w:rPr>
          <w:rFonts w:eastAsia="仿宋_GB2312"/>
          <w:color w:val="000000"/>
          <w:spacing w:val="-4"/>
          <w:kern w:val="0"/>
          <w:sz w:val="32"/>
          <w:szCs w:val="32"/>
        </w:rPr>
      </w:pPr>
      <w:r>
        <w:rPr>
          <w:rFonts w:hint="eastAsia" w:eastAsia="仿宋_GB2312"/>
          <w:color w:val="000000"/>
          <w:spacing w:val="-4"/>
          <w:kern w:val="0"/>
          <w:sz w:val="32"/>
          <w:szCs w:val="32"/>
        </w:rPr>
        <w:t>列出评估报告编写过程中所使用的相关参考文件</w:t>
      </w:r>
      <w:r>
        <w:rPr>
          <w:rFonts w:eastAsia="仿宋_GB2312"/>
          <w:color w:val="000000"/>
          <w:spacing w:val="-4"/>
          <w:kern w:val="0"/>
          <w:sz w:val="32"/>
          <w:szCs w:val="32"/>
        </w:rPr>
        <w:t>，</w:t>
      </w:r>
      <w:r>
        <w:rPr>
          <w:rFonts w:hint="eastAsia" w:eastAsia="仿宋_GB2312"/>
          <w:color w:val="000000"/>
          <w:spacing w:val="-4"/>
          <w:kern w:val="0"/>
          <w:sz w:val="32"/>
          <w:szCs w:val="32"/>
        </w:rPr>
        <w:t>以及评估工作委托函（合同、协议）、承诺书、绿色矿山建设评分表、评估组专家名单（含姓名、职称、专业等信息）、评估会议签到表、会议记录、实地核查记录、核查影像资料、评估专家与被评估单位无关联关系声明等资料。</w:t>
      </w:r>
    </w:p>
    <w:p w14:paraId="374220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4E622">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82C31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882C31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4D094">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7C4D69D3">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909FE"/>
    <w:multiLevelType w:val="singleLevel"/>
    <w:tmpl w:val="A00909FE"/>
    <w:lvl w:ilvl="0" w:tentative="0">
      <w:start w:val="1"/>
      <w:numFmt w:val="chineseCounting"/>
      <w:suff w:val="nothing"/>
      <w:lvlText w:val="%1、"/>
      <w:lvlJc w:val="left"/>
      <w:rPr>
        <w:rFonts w:hint="eastAsia"/>
      </w:rPr>
    </w:lvl>
  </w:abstractNum>
  <w:abstractNum w:abstractNumId="1">
    <w:nsid w:val="7FC4F500"/>
    <w:multiLevelType w:val="singleLevel"/>
    <w:tmpl w:val="7FC4F50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C2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cs="Calibri"/>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character" w:styleId="7">
    <w:name w:val="page number"/>
    <w:basedOn w:val="6"/>
    <w:qFormat/>
    <w:uiPriority w:val="0"/>
  </w:style>
  <w:style w:type="paragraph" w:customStyle="1" w:styleId="8">
    <w:name w:val=" Char"/>
    <w:basedOn w:val="1"/>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2025-10-31T08:27:48Z</dcterms:created>
  <dc:creator>Administrator</dc:creator>
  <cp:lastModifiedBy>liangl8816</cp:lastModifiedBy>
  <dcterms:modified xsi:type="dcterms:W3CDTF">2025-10-31T08:28:45Z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eyJoZGlkIjoiNWNmNmMwN2Y5NmVhMGNhODk4OTU4ZWEwMjk4ZGJkYjAiLCJ1c2VySWQiOiIxMjEyODM2Nzk1In0=</vt:lpwstr>
  </property>
  <property fmtid="{D5CDD505-2E9C-101B-9397-08002B2CF9AE}" pid="4" name="ICV">
    <vt:lpwstr>FF002F025819497B9DCF095B41E0C68B_12</vt:lpwstr>
  </property>
</Properties>
</file>