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7B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附件2</w:t>
      </w:r>
    </w:p>
    <w:p w14:paraId="30F084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</w:p>
    <w:p w14:paraId="26C861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  <w:t>《湖南省工业固体废物资源综合利用评价报告》大纲</w:t>
      </w:r>
    </w:p>
    <w:p w14:paraId="773CD3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</w:p>
    <w:p w14:paraId="113C42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一、评价概述。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评价目的、评价依据、评价范围、评价期、对评价报告真实性的承诺。</w:t>
      </w:r>
    </w:p>
    <w:p w14:paraId="5533C6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二、企业基本情况。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企业简介、性质、所在地、主要经营范围、从业人数及构成、规模等。</w:t>
      </w:r>
    </w:p>
    <w:p w14:paraId="7BB102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三、企业生产及经营。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主要工业固体废物综合利用产品生产能力、固废利用能力、原料来源、实际产量、产值、利润额等。</w:t>
      </w:r>
    </w:p>
    <w:p w14:paraId="17A915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四、企业工艺技术。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主要工业固体废物综合利用产品采用的核心工艺技术、生产设备及水平。需附生产工艺流程图。</w:t>
      </w:r>
    </w:p>
    <w:p w14:paraId="359088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五、企业体系建设。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计量统计体系建设情况，产品质量控制情况，环境管理体系建设情况等。</w:t>
      </w:r>
    </w:p>
    <w:p w14:paraId="49D0B3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六、固体废物综合利用情况。评价期企业综合利用的工业固体废物来源情况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（追溯至工业固废产生单位），分种类工业固体废物的综合利用量及相关的物料衡算过程。</w:t>
      </w:r>
    </w:p>
    <w:p w14:paraId="466E06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七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综合利用产品情况。评价期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bidi="ar-SA"/>
        </w:rPr>
        <w:t>企业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工业固体废物综合利用产品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符合《国家工业固体废物资源综合利用产品目录》情况，包括技术条件、产品质量等。</w:t>
      </w:r>
    </w:p>
    <w:p w14:paraId="48E671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八、结论。</w:t>
      </w:r>
      <w:r>
        <w:rPr>
          <w:rFonts w:hint="default" w:ascii="Times New Roman" w:hAnsi="Times New Roman" w:eastAsia="仿宋" w:cs="Times New Roman"/>
          <w:color w:val="auto"/>
          <w:sz w:val="32"/>
          <w:highlight w:val="none"/>
          <w:lang w:bidi="ar-SA"/>
        </w:rPr>
        <w:t>企业评价的结论，存在问题及建议。</w:t>
      </w:r>
    </w:p>
    <w:p w14:paraId="1DB342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九、有关证明材料。</w:t>
      </w:r>
    </w:p>
    <w:p w14:paraId="31F4C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CE559B7"/>
    <w:rsid w:val="1CE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2025-08-04T07:11:00Z</dcterms:created>
  <dc:creator>杨祖德</dc:creator>
  <cp:lastModifiedBy>杨祖德</cp:lastModifiedBy>
  <dcterms:modified xsi:type="dcterms:W3CDTF">2025-08-04T07:11:21Z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F3C01A8610244707899BF266BF81354A_11</vt:lpwstr>
  </property>
</Properties>
</file>