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D8682">
      <w:pPr>
        <w:keepNext/>
        <w:keepLines/>
        <w:tabs>
          <w:tab w:val="left" w:pos="420"/>
        </w:tabs>
        <w:outlineLvl w:val="0"/>
        <w:rPr>
          <w:rFonts w:ascii="Times New Roman" w:hAnsi="Times New Roman" w:eastAsia="黑体" w:cs="Times New Roman"/>
          <w:kern w:val="44"/>
          <w:sz w:val="30"/>
          <w:szCs w:val="30"/>
        </w:rPr>
      </w:pPr>
      <w:bookmarkStart w:id="3" w:name="_GoBack"/>
      <w:bookmarkStart w:id="0" w:name="_Toc15753"/>
      <w:bookmarkStart w:id="1" w:name="_Toc1928"/>
      <w:bookmarkStart w:id="2" w:name="_Toc2267"/>
      <w:r>
        <w:rPr>
          <w:rFonts w:ascii="Times New Roman" w:hAnsi="Times New Roman" w:eastAsia="黑体" w:cs="Times New Roman"/>
          <w:kern w:val="44"/>
          <w:sz w:val="30"/>
          <w:szCs w:val="30"/>
        </w:rPr>
        <w:t>附</w:t>
      </w:r>
      <w:r>
        <w:rPr>
          <w:rFonts w:hint="eastAsia" w:ascii="Times New Roman" w:hAnsi="Times New Roman" w:eastAsia="黑体" w:cs="Times New Roman"/>
          <w:kern w:val="44"/>
          <w:sz w:val="30"/>
          <w:szCs w:val="30"/>
        </w:rPr>
        <w:t>件2</w:t>
      </w:r>
      <w:r>
        <w:rPr>
          <w:rFonts w:ascii="Times New Roman" w:hAnsi="Times New Roman" w:eastAsia="黑体" w:cs="Times New Roman"/>
          <w:kern w:val="44"/>
          <w:sz w:val="30"/>
          <w:szCs w:val="30"/>
        </w:rPr>
        <w:t xml:space="preserve">                  </w:t>
      </w:r>
    </w:p>
    <w:p w14:paraId="7E11732A">
      <w:pPr>
        <w:spacing w:line="360" w:lineRule="auto"/>
        <w:jc w:val="center"/>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湖南省郴州生猪产业集群资金使用分配表</w:t>
      </w:r>
      <w:bookmarkEnd w:id="0"/>
      <w:bookmarkEnd w:id="1"/>
      <w:r>
        <w:rPr>
          <w:rFonts w:hint="eastAsia" w:ascii="Times New Roman" w:hAnsi="Times New Roman" w:eastAsia="黑体" w:cs="Times New Roman"/>
          <w:sz w:val="32"/>
          <w:szCs w:val="32"/>
        </w:rPr>
        <w:t>（2025-2026年）</w:t>
      </w:r>
      <w:bookmarkEnd w:id="2"/>
    </w:p>
    <w:bookmarkEnd w:id="3"/>
    <w:tbl>
      <w:tblPr>
        <w:tblStyle w:val="5"/>
        <w:tblW w:w="5091" w:type="pct"/>
        <w:tblInd w:w="-181" w:type="dxa"/>
        <w:tblLayout w:type="fixed"/>
        <w:tblCellMar>
          <w:top w:w="0" w:type="dxa"/>
          <w:left w:w="108" w:type="dxa"/>
          <w:bottom w:w="0" w:type="dxa"/>
          <w:right w:w="108" w:type="dxa"/>
        </w:tblCellMar>
      </w:tblPr>
      <w:tblGrid>
        <w:gridCol w:w="717"/>
        <w:gridCol w:w="782"/>
        <w:gridCol w:w="1175"/>
        <w:gridCol w:w="589"/>
        <w:gridCol w:w="4704"/>
        <w:gridCol w:w="3458"/>
        <w:gridCol w:w="848"/>
        <w:gridCol w:w="934"/>
      </w:tblGrid>
      <w:tr w14:paraId="655DEE91">
        <w:tblPrEx>
          <w:tblCellMar>
            <w:top w:w="0" w:type="dxa"/>
            <w:left w:w="108" w:type="dxa"/>
            <w:bottom w:w="0" w:type="dxa"/>
            <w:right w:w="108" w:type="dxa"/>
          </w:tblCellMar>
        </w:tblPrEx>
        <w:trPr>
          <w:cantSplit/>
          <w:trHeight w:val="23" w:hRule="atLeast"/>
          <w:tblHeader/>
        </w:trPr>
        <w:tc>
          <w:tcPr>
            <w:tcW w:w="717" w:type="dxa"/>
            <w:vMerge w:val="restart"/>
            <w:tcBorders>
              <w:top w:val="single" w:color="000000" w:sz="4" w:space="0"/>
              <w:left w:val="single" w:color="000000" w:sz="4" w:space="0"/>
              <w:right w:val="single" w:color="000000" w:sz="4" w:space="0"/>
            </w:tcBorders>
            <w:shd w:val="clear" w:color="auto" w:fill="auto"/>
            <w:vAlign w:val="center"/>
          </w:tcPr>
          <w:p w14:paraId="50A179AC">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序号</w:t>
            </w:r>
          </w:p>
        </w:tc>
        <w:tc>
          <w:tcPr>
            <w:tcW w:w="782" w:type="dxa"/>
            <w:vMerge w:val="restart"/>
            <w:tcBorders>
              <w:top w:val="single" w:color="000000" w:sz="4" w:space="0"/>
              <w:left w:val="single" w:color="000000" w:sz="4" w:space="0"/>
              <w:right w:val="single" w:color="000000" w:sz="4" w:space="0"/>
            </w:tcBorders>
            <w:shd w:val="clear" w:color="auto" w:fill="auto"/>
            <w:vAlign w:val="center"/>
          </w:tcPr>
          <w:p w14:paraId="64F13E22">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建设县市区</w:t>
            </w:r>
          </w:p>
        </w:tc>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8E2CA">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建设主体</w:t>
            </w:r>
          </w:p>
        </w:tc>
        <w:tc>
          <w:tcPr>
            <w:tcW w:w="8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8021D">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建设内容</w:t>
            </w:r>
          </w:p>
        </w:tc>
        <w:tc>
          <w:tcPr>
            <w:tcW w:w="848" w:type="dxa"/>
            <w:vMerge w:val="restart"/>
            <w:tcBorders>
              <w:top w:val="single" w:color="000000" w:sz="4" w:space="0"/>
              <w:left w:val="single" w:color="000000" w:sz="4" w:space="0"/>
              <w:right w:val="single" w:color="000000" w:sz="4" w:space="0"/>
            </w:tcBorders>
            <w:shd w:val="clear" w:color="auto" w:fill="auto"/>
            <w:vAlign w:val="center"/>
          </w:tcPr>
          <w:p w14:paraId="0227EC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中央财政奖补资金</w:t>
            </w:r>
          </w:p>
        </w:tc>
        <w:tc>
          <w:tcPr>
            <w:tcW w:w="935" w:type="dxa"/>
            <w:vMerge w:val="restart"/>
            <w:tcBorders>
              <w:top w:val="single" w:color="000000" w:sz="4" w:space="0"/>
              <w:left w:val="single" w:color="000000" w:sz="4" w:space="0"/>
              <w:right w:val="single" w:color="000000" w:sz="4" w:space="0"/>
            </w:tcBorders>
            <w:shd w:val="clear" w:color="auto" w:fill="auto"/>
            <w:vAlign w:val="center"/>
          </w:tcPr>
          <w:p w14:paraId="4CEEA7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地方整合资金</w:t>
            </w:r>
          </w:p>
        </w:tc>
      </w:tr>
      <w:tr w14:paraId="2C9A55C9">
        <w:tblPrEx>
          <w:tblCellMar>
            <w:top w:w="0" w:type="dxa"/>
            <w:left w:w="108" w:type="dxa"/>
            <w:bottom w:w="0" w:type="dxa"/>
            <w:right w:w="108" w:type="dxa"/>
          </w:tblCellMar>
        </w:tblPrEx>
        <w:trPr>
          <w:cantSplit/>
          <w:trHeight w:val="23" w:hRule="atLeast"/>
          <w:tblHeader/>
        </w:trPr>
        <w:tc>
          <w:tcPr>
            <w:tcW w:w="717" w:type="dxa"/>
            <w:vMerge w:val="continue"/>
            <w:tcBorders>
              <w:left w:val="single" w:color="000000" w:sz="4" w:space="0"/>
              <w:bottom w:val="single" w:color="000000" w:sz="4" w:space="0"/>
              <w:right w:val="single" w:color="000000" w:sz="4" w:space="0"/>
            </w:tcBorders>
            <w:shd w:val="clear" w:color="auto" w:fill="auto"/>
            <w:vAlign w:val="center"/>
          </w:tcPr>
          <w:p w14:paraId="73455F5D">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szCs w:val="21"/>
              </w:rPr>
            </w:pPr>
          </w:p>
        </w:tc>
        <w:tc>
          <w:tcPr>
            <w:tcW w:w="782" w:type="dxa"/>
            <w:vMerge w:val="continue"/>
            <w:tcBorders>
              <w:left w:val="single" w:color="000000" w:sz="4" w:space="0"/>
              <w:bottom w:val="single" w:color="000000" w:sz="4" w:space="0"/>
              <w:right w:val="single" w:color="000000" w:sz="4" w:space="0"/>
            </w:tcBorders>
            <w:shd w:val="clear" w:color="auto" w:fill="auto"/>
            <w:vAlign w:val="center"/>
          </w:tcPr>
          <w:p w14:paraId="43E5E671">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Cs w:val="21"/>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8D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单位名称</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20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单位性质</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1B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中央财政奖补资金用于</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BF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hint="eastAsia" w:ascii="Times New Roman" w:hAnsi="Times New Roman" w:eastAsia="仿宋_GB2312" w:cs="Times New Roman"/>
                <w:b/>
                <w:bCs/>
                <w:kern w:val="0"/>
                <w:szCs w:val="21"/>
              </w:rPr>
              <w:t>地方整合及自筹资金用于</w:t>
            </w:r>
          </w:p>
        </w:tc>
        <w:tc>
          <w:tcPr>
            <w:tcW w:w="848" w:type="dxa"/>
            <w:vMerge w:val="continue"/>
            <w:tcBorders>
              <w:left w:val="single" w:color="000000" w:sz="4" w:space="0"/>
              <w:bottom w:val="single" w:color="000000" w:sz="4" w:space="0"/>
              <w:right w:val="single" w:color="000000" w:sz="4" w:space="0"/>
            </w:tcBorders>
            <w:shd w:val="clear" w:color="auto" w:fill="auto"/>
            <w:vAlign w:val="center"/>
          </w:tcPr>
          <w:p w14:paraId="494EA4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kern w:val="0"/>
                <w:szCs w:val="21"/>
              </w:rPr>
            </w:pPr>
          </w:p>
        </w:tc>
        <w:tc>
          <w:tcPr>
            <w:tcW w:w="935" w:type="dxa"/>
            <w:vMerge w:val="continue"/>
            <w:tcBorders>
              <w:left w:val="single" w:color="000000" w:sz="4" w:space="0"/>
              <w:bottom w:val="single" w:color="000000" w:sz="4" w:space="0"/>
              <w:right w:val="single" w:color="000000" w:sz="4" w:space="0"/>
            </w:tcBorders>
            <w:shd w:val="clear" w:color="auto" w:fill="auto"/>
            <w:vAlign w:val="center"/>
          </w:tcPr>
          <w:p w14:paraId="5702B4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kern w:val="0"/>
                <w:szCs w:val="21"/>
              </w:rPr>
            </w:pPr>
          </w:p>
        </w:tc>
      </w:tr>
      <w:tr w14:paraId="5DA86729">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AC03">
            <w:pPr>
              <w:keepNext w:val="0"/>
              <w:keepLines w:val="0"/>
              <w:pageBreakBefore w:val="0"/>
              <w:widowControl/>
              <w:kinsoku/>
              <w:wordWrap/>
              <w:overflowPunct/>
              <w:topLinePunct w:val="0"/>
              <w:autoSpaceDE/>
              <w:autoSpaceDN/>
              <w:bidi w:val="0"/>
              <w:adjustRightInd/>
              <w:snapToGrid/>
              <w:spacing w:line="300" w:lineRule="exact"/>
              <w:ind w:firstLine="422" w:firstLineChars="200"/>
              <w:jc w:val="center"/>
              <w:rPr>
                <w:rFonts w:ascii="Times New Roman" w:hAnsi="Times New Roman" w:eastAsia="仿宋_GB2312" w:cs="Times New Roman"/>
                <w:b/>
                <w:bCs/>
                <w:szCs w:val="21"/>
              </w:rPr>
            </w:pP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CCA4E">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总计</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A78A">
            <w:pPr>
              <w:keepNext w:val="0"/>
              <w:keepLines w:val="0"/>
              <w:pageBreakBefore w:val="0"/>
              <w:widowControl/>
              <w:kinsoku/>
              <w:wordWrap/>
              <w:overflowPunct/>
              <w:topLinePunct w:val="0"/>
              <w:autoSpaceDE/>
              <w:autoSpaceDN/>
              <w:bidi w:val="0"/>
              <w:adjustRightInd/>
              <w:snapToGrid/>
              <w:spacing w:line="300" w:lineRule="exact"/>
              <w:ind w:firstLine="422" w:firstLineChars="200"/>
              <w:jc w:val="center"/>
              <w:rPr>
                <w:rFonts w:ascii="Times New Roman" w:hAnsi="Times New Roman" w:eastAsia="仿宋_GB2312" w:cs="Times New Roman"/>
                <w:b/>
                <w:bCs/>
                <w:szCs w:val="21"/>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1F7D">
            <w:pPr>
              <w:keepNext w:val="0"/>
              <w:keepLines w:val="0"/>
              <w:pageBreakBefore w:val="0"/>
              <w:widowControl/>
              <w:kinsoku/>
              <w:wordWrap/>
              <w:overflowPunct/>
              <w:topLinePunct w:val="0"/>
              <w:autoSpaceDE/>
              <w:autoSpaceDN/>
              <w:bidi w:val="0"/>
              <w:adjustRightInd/>
              <w:snapToGrid/>
              <w:spacing w:line="300" w:lineRule="exact"/>
              <w:ind w:firstLine="422" w:firstLineChars="200"/>
              <w:jc w:val="center"/>
              <w:rPr>
                <w:rFonts w:ascii="Times New Roman" w:hAnsi="Times New Roman" w:eastAsia="仿宋_GB2312" w:cs="Times New Roman"/>
                <w:b/>
                <w:bCs/>
                <w:szCs w:val="21"/>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93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6000.00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33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230.00 </w:t>
            </w:r>
          </w:p>
        </w:tc>
      </w:tr>
      <w:tr w14:paraId="59D1BEEC">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F8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一</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2A71F">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养殖基地提质增效示范工程</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6B07">
            <w:pPr>
              <w:keepNext w:val="0"/>
              <w:keepLines w:val="0"/>
              <w:pageBreakBefore w:val="0"/>
              <w:widowControl/>
              <w:kinsoku/>
              <w:wordWrap/>
              <w:overflowPunct/>
              <w:topLinePunct w:val="0"/>
              <w:autoSpaceDE/>
              <w:autoSpaceDN/>
              <w:bidi w:val="0"/>
              <w:adjustRightInd/>
              <w:snapToGrid/>
              <w:spacing w:line="300" w:lineRule="exact"/>
              <w:ind w:firstLine="422" w:firstLineChars="200"/>
              <w:jc w:val="center"/>
              <w:rPr>
                <w:rFonts w:ascii="Times New Roman" w:hAnsi="Times New Roman" w:eastAsia="仿宋_GB2312" w:cs="Times New Roman"/>
                <w:b/>
                <w:bCs/>
                <w:szCs w:val="21"/>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D1EA">
            <w:pPr>
              <w:keepNext w:val="0"/>
              <w:keepLines w:val="0"/>
              <w:pageBreakBefore w:val="0"/>
              <w:widowControl/>
              <w:kinsoku/>
              <w:wordWrap/>
              <w:overflowPunct/>
              <w:topLinePunct w:val="0"/>
              <w:autoSpaceDE/>
              <w:autoSpaceDN/>
              <w:bidi w:val="0"/>
              <w:adjustRightInd/>
              <w:snapToGrid/>
              <w:spacing w:line="300" w:lineRule="exact"/>
              <w:ind w:firstLine="422" w:firstLineChars="200"/>
              <w:jc w:val="center"/>
              <w:rPr>
                <w:rFonts w:ascii="Times New Roman" w:hAnsi="Times New Roman" w:eastAsia="仿宋_GB2312" w:cs="Times New Roman"/>
                <w:b/>
                <w:bCs/>
                <w:szCs w:val="21"/>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5C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1900.00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B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120.00 </w:t>
            </w:r>
          </w:p>
        </w:tc>
      </w:tr>
      <w:tr w14:paraId="5A8D9FEC">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96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1.1</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C2129">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数智化良种繁育示范基地</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F5A6">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rPr>
                <w:rFonts w:ascii="Times New Roman" w:hAnsi="Times New Roman" w:eastAsia="仿宋_GB2312" w:cs="Times New Roman"/>
                <w:szCs w:val="21"/>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9C1E">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rPr>
                <w:rFonts w:ascii="Times New Roman" w:hAnsi="Times New Roman" w:eastAsia="仿宋_GB2312" w:cs="Times New Roman"/>
                <w:szCs w:val="21"/>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C6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8C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10.00 </w:t>
            </w:r>
          </w:p>
        </w:tc>
      </w:tr>
      <w:tr w14:paraId="0EF6ED37">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D3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1.1.1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DC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16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桂阳县琴山农牧科技有限公司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C1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C971">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中央财政奖补资金对新建栏位设备（产床480个、定位栏2480个、后备大栏36个、保育大栏144个、保温灯1824个、及配套饲槽饮水系统）1套等进行支持。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3CA0">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 xml:space="preserve">新建栏位设备（产床480个、定位栏2480个、后备大栏36个、保育大栏144个、保温灯1824个、及配套饲槽饮水系统）1项、新建料线设备（猪舍料塔32个、中转料塔14个、赛盘料线3400米、转接料斗34个、驱动机34、传感器34、电控系统68套）1项、新建猪舍发电机（630KA发电机1台）1项等。 </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90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2D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 </w:t>
            </w:r>
          </w:p>
        </w:tc>
      </w:tr>
      <w:tr w14:paraId="56BD7E18">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ED6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1.2</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C6E6D">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数智化高标准养殖示范基地</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F5C5">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60E0">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9E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1600.00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51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90.00 </w:t>
            </w:r>
          </w:p>
        </w:tc>
      </w:tr>
      <w:tr w14:paraId="41D73498">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DB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A7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苏仙区</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E9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郴州市苏仙区益辉生态养殖有限公司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2A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07BF">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中央财政奖补资金对养殖基地智能化硬件设施升级改造，购置安装智能环控系统14套，温湿度、氨气、二氧化碳传感器等进行支持。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BD63">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建设智能饲喂系统14套。AI监测系统14套。数字化管理平台建设，安装摄像头48个，建设数据平台1个。购置粪污处理设备，粪污处理设备干湿分离机1台、叠螺机1套、罗茨风机2套、推流器6台等。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83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0B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477B9F9C">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69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74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苏仙区</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72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郴州市诸兴农牧发展有限公司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D4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市级农业龙头企业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3448">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中央财政奖补资金对建设养殖基地智能化硬件设施，购置安装引擎荣耀版精喂仪2套，FPF网联15套，精喂仪1286套、1274个接料喇叭口、1730个智能栏位卡等进行支持。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64F0">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采购FPF精准饲喂产品（引擎荣耀版精喂仪2套，FPF网联15套，精喂仪1286套、1274个接料喇叭口等）FPF母猪养殖在线产品（包括：32个栋舍卡、2600个电子耳标、1730个智能栏位卡等），FPF生物安全产品，软件系统基础平台，调试、安装，相应栏舍修整升级其他项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F3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4B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4DE2B54D">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3C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2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苏仙区</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95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郴州市阡墨农业科技有限公司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3B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29C8">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中央财政奖补资金对建设养殖基地数智化硬件设施，购置安装智能环控系统2套，自动化料线系统2套，高压清洗系统2套，自动供水系统1套，等进行支持。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86C1">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建设栏位系统8套，冷水清洗机7套，干湿喂料器36套，漏粪地板912块，漏粪漏斗456套等。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0B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200.00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F3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2534C1DB">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6F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8B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安仁县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3F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安仁县木子养殖场</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0C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AFA4">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新建年出栏4800头肥猪数智化高标准养殖示范基地，中央财政奖补资金主要对猪舍环境智能控制系统设施设备1套、沼气池800立方米、沼液贮存池800立方米、粪污收集池500立方米、料塔料线精准饲喂系统5套、监控设施设备1套、除臭设备1项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1FC7">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用于新建年出栏4800头标准化猪舍6000平方米、沼气池及沼液贮存池各800立方米、室内水电管网、粪污收集池500立方米、干粪棚150平方米、漏粪地板4000平方米、管理用房500平方米、料塔料线精准饲喂系统5套、防疫、除臭、粪污处理配套设施及场区土方工程、变压器、森林植被恢复费及配套附属设施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AB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200.00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94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2589EE74">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B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1.2.5</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4B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安仁县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E6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安仁县青果农业有限公司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72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0FC8">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新建年出栏8000头肥猪数智化高标准养殖示范基地，中央财政奖补资金主要对沼气池2000立方米、沼液贮存池1200立方米、粪污收集池600立方米、干粪棚150平方米、漏粪地板3300平方米、石墨烯电地暖1套、干湿分离设施设备1套、风机15台、水帘200平方米、料塔料线精准饲喂系统1套、饮水碗400个、监控设施设备1套、除臭设备1项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8984">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新建年出栏8000头标准化猪舍5000平方米、沼气池2000立方米、沼液贮存池1200立方米、粪污收集池600立方米、干粪棚150平方米、漏粪地板3300平方米、石墨烯电地暖1套、室内水电管网、管理用房400平方米、监控系统1套、防疫、除臭、粪污处理配套设施及场区土方工程、变压器、森林植被恢复费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51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FA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7C70A491">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F5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1.2.6</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0A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5D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湖南东方红药业有限公司生态农业园</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D4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市级农业龙头企业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F073">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中央财政奖补资金对建设智能化料线400米，智能化刮粪机4台，数智化保温系统（地暖）2台，智能恒温系统（干湿风离机）1台，自动恒温风机32台，智能化水帘200平方米，智能化除臭水帘200平方米等进行支持。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F7FE">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其它资金主要用于养殖厂房扩建1500平方米，智能化料线400米，智能化水帘200平方米，防鼠网150平方米，水槽700米，氧化塘（铺膜）（4个*8000立方米），32000平方米，恒温智能发电机6台等。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0B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64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 </w:t>
            </w:r>
          </w:p>
        </w:tc>
      </w:tr>
      <w:tr w14:paraId="5FA02FC8">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9C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1.2.7</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88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21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宜章县锦盛牧业有限公司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5D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F855">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中央财政奖补资金对建设智能化料线400米，智能化刮粪机4台，数智化保温系统（地暖）2台，智能恒温统（干湿风离机）1台，自动恒温风机32台，智能化除臭水帘200平方米进行支持。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8631">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其它资金主要用于猪舍建设3500平方米，智能化料塔2台等。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62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2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 </w:t>
            </w:r>
          </w:p>
        </w:tc>
      </w:tr>
      <w:tr w14:paraId="1BBEFD13">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D5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03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34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宜章县一六镇明宝养猪场</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6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农民合作社</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F833">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中央财政资金对建设全自动化液态料设备2 套（包括电脑控制2套、搅拌罐2套、螺杆式空压机2套等设备）进行支持。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FFE5">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其它资金主要用于漏缝板2880块，运输车辆1台，烘干房（车辆消毒烘干）1套，消毒房2套，双面液态料通槽 66套，单面液态料通槽12套，料线电控箱6套，饲料输送料线（6套/单元）6 套，智能化猪场地暖（6套/单元）6 套，排污设备干湿分离+红膜（全自动）1套，全自动化风机72台，自动化环控系统2套，自动化粪污处理系统、除臭系统6套，干湿风离机1台，等。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62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DD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 </w:t>
            </w:r>
          </w:p>
        </w:tc>
      </w:tr>
      <w:tr w14:paraId="47AEA26F">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80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1.2.9</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FF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永兴县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14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永兴坤原生态农业开发有限公司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D3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0998">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AI监控系统(AI摄像头46台、AI热成像巡检摄像机5套、信息电脑模块1台等)1套;智能环控系统(智能环控控制单元7台、负压风机44台、氨气浓度监测传感器112套、二氧化碳浓度传感器112套、电子温湿度传感器40台、通风窗5套、新风过滤系统5套等)1套;智能干湿两用精准饲喂系统(锌铝镁合金料塔(含料塔称重系统)5套、智能料线输送系统5套、不锈钢双面自动料槽112台、智能粥料饲喂器56套等)1套;智能清粪系统(智能刮粪机组14套、自动翻耙机1台等)1套。</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3E6C">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猪舍建设(钢结构+保温材料+漏缝地板)3500平方米;猪舍改建(钢结构+保温材料+漏缝地板)3500平方米;道路硬化(4米宽，20cm厚度混凝土浇筑)1200米;土地平整(场地平整、排水沟:土方量约2万m3)1项;通水(深井钻探、抽水设备、水输送管网、储水设备)1项;通电(变压器200KW+电缆以及高压杆路1300米架设)1项;污水处理系统(含5级沉淀池+13级生物处理池共计9200m3、密闭式干粪收集池280m3、水肥一体化灌溉系统)1项;防疫设施(防疫围墙、密闭式连廊、洗消中心)1项;</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A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highlight w:val="yellow"/>
              </w:rPr>
            </w:pPr>
            <w:r>
              <w:rPr>
                <w:rFonts w:hint="eastAsia" w:ascii="Times New Roman" w:hAnsi="Times New Roman" w:eastAsia="宋体" w:cs="Times New Roman"/>
                <w:kern w:val="0"/>
                <w:sz w:val="16"/>
                <w:szCs w:val="16"/>
              </w:rPr>
              <w:t>2</w:t>
            </w:r>
            <w:r>
              <w:rPr>
                <w:rFonts w:ascii="Times New Roman" w:hAnsi="Times New Roman" w:eastAsia="宋体" w:cs="Times New Roman"/>
                <w:kern w:val="0"/>
                <w:sz w:val="16"/>
                <w:szCs w:val="16"/>
              </w:rPr>
              <w:t xml:space="preserve">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21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highlight w:val="yellow"/>
              </w:rPr>
            </w:pPr>
            <w:r>
              <w:rPr>
                <w:rFonts w:hint="eastAsia" w:ascii="Times New Roman" w:hAnsi="Times New Roman" w:eastAsia="宋体" w:cs="Times New Roman"/>
                <w:kern w:val="0"/>
                <w:sz w:val="16"/>
                <w:szCs w:val="16"/>
              </w:rPr>
              <w:t>2</w:t>
            </w:r>
            <w:r>
              <w:rPr>
                <w:rFonts w:ascii="Times New Roman" w:hAnsi="Times New Roman" w:eastAsia="宋体" w:cs="Times New Roman"/>
                <w:kern w:val="0"/>
                <w:sz w:val="16"/>
                <w:szCs w:val="16"/>
              </w:rPr>
              <w:t xml:space="preserve">0.00 </w:t>
            </w:r>
          </w:p>
        </w:tc>
      </w:tr>
      <w:tr w14:paraId="4B42D33A">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15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1.2.1</w:t>
            </w:r>
            <w:r>
              <w:rPr>
                <w:rFonts w:hint="eastAsia" w:ascii="Times New Roman" w:hAnsi="Times New Roman" w:eastAsia="仿宋_GB2312" w:cs="Times New Roman"/>
                <w:kern w:val="0"/>
                <w:szCs w:val="21"/>
                <w:lang w:eastAsia="zh-CN"/>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54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永兴县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5C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郴州市仙水农业科技有限公司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8D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04D0">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中央财政奖补资金对建设数智化饲喂系统设备1套等进行支持。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7926">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养殖基地三通一平（高压电、水井、储水池、道路硬化等）1项、土建工程（猪舍及配套附属设施、污水处理等土建工程）4900平方米、智能化通风系统设备1套、智能化辅助供电系统设备1套，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B6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74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 </w:t>
            </w:r>
          </w:p>
        </w:tc>
      </w:tr>
      <w:tr w14:paraId="5E42EE91">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42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1.2.1</w:t>
            </w:r>
            <w:r>
              <w:rPr>
                <w:rFonts w:hint="eastAsia" w:ascii="Times New Roman" w:hAnsi="Times New Roman" w:eastAsia="仿宋_GB2312" w:cs="Times New Roman"/>
                <w:kern w:val="0"/>
                <w:szCs w:val="21"/>
                <w:lang w:eastAsia="zh-CN"/>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B0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8C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郴州市新湘粤农业科技有限公司桂阳东成分公司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B2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FAF5">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中央财政奖补资金对建设通风系统260台、生物发酵推水料线（发酵罐体6个，电机4个，推流离2台，搅拌机4台）1项等进行支持。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8CD7">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其它资金主要用于建设非瘟防控系统2套、改造猪舍屋面工程26500㎡等。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7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B2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 </w:t>
            </w:r>
          </w:p>
        </w:tc>
      </w:tr>
      <w:tr w14:paraId="5769597F">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BE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1.2.1</w:t>
            </w:r>
            <w:r>
              <w:rPr>
                <w:rFonts w:hint="eastAsia" w:ascii="Times New Roman" w:hAnsi="Times New Roman" w:eastAsia="仿宋_GB2312" w:cs="Times New Roman"/>
                <w:kern w:val="0"/>
                <w:szCs w:val="21"/>
                <w:lang w:eastAsia="zh-CN"/>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54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3D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桂阳五丰生态农业有限公司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55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FB3F">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中央财政奖补资金对降温系统695㎡、智能饲喂系统16套、通风系统95台进行支持。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0F46">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其它资金主要用于建设通风系统81台、食槽288台、智慧养殖数字平台16套、智能加药饮水系统16套、污水深度处理设施设备建设1套等。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A1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4B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 </w:t>
            </w:r>
          </w:p>
        </w:tc>
      </w:tr>
      <w:tr w14:paraId="3FBF4056">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B2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1.2.1</w:t>
            </w:r>
            <w:r>
              <w:rPr>
                <w:rFonts w:hint="eastAsia" w:ascii="Times New Roman" w:hAnsi="Times New Roman" w:eastAsia="仿宋_GB2312" w:cs="Times New Roman"/>
                <w:kern w:val="0"/>
                <w:szCs w:val="21"/>
                <w:lang w:eastAsia="zh-CN"/>
              </w:rPr>
              <w:t>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53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57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桂阳县舂陵江镇鸿运养殖场</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C9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家庭农场</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CF0D">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中央财政奖补资金对水地暖设施设备2套、除臭设施设备2套、消毒设施设备（消毒池、消毒房、消毒机）1套、环境智能控制设备（水帘100平方、风机20台）进行支持。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EF1F">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商品猪养殖基地的改建基础设施3200平方、漏粪板2200平方、净化池及排污管道1000立方、粪污治理设施设备2套、环境智能控制设备（水帘100平方、风机20台）、喂料系统设施设备（料塔2套、料线320米）2项、食槽44套、饮水器100套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A9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C6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 </w:t>
            </w:r>
          </w:p>
        </w:tc>
      </w:tr>
      <w:tr w14:paraId="145BA0F5">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17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1.3</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B0D0B">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养殖废弃物资源化利用基地</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817C">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CCE0">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5C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200.00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0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20.00 </w:t>
            </w:r>
          </w:p>
        </w:tc>
      </w:tr>
      <w:tr w14:paraId="6E330A6A">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85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1.3.1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15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永兴县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BF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永兴盛牛农业发展有限公司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C7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其他</w:t>
            </w:r>
            <w:r>
              <w:rPr>
                <w:rFonts w:hint="eastAsia" w:ascii="Times New Roman" w:hAnsi="Times New Roman" w:eastAsia="仿宋_GB2312" w:cs="Times New Roman"/>
                <w:kern w:val="0"/>
                <w:szCs w:val="21"/>
              </w:rPr>
              <w:t>农业</w:t>
            </w:r>
            <w:r>
              <w:rPr>
                <w:rFonts w:ascii="Times New Roman" w:hAnsi="Times New Roman" w:eastAsia="仿宋_GB2312" w:cs="Times New Roman"/>
                <w:kern w:val="0"/>
                <w:szCs w:val="21"/>
              </w:rPr>
              <w:t>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5D3F">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中央财政奖补资金对养殖设备购置（全自动有机肥生产线1条、环保设备2套）进行支持。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49DC">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土建工程（钢结构厂棚6000平方米），设备购置（异位发酵槽3条、铲车1台、三轮式翻抛机1台、曝气系统3套、检验设备设施1套、运输车辆1台）。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9A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E9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 </w:t>
            </w:r>
          </w:p>
        </w:tc>
      </w:tr>
      <w:tr w14:paraId="486D7355">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D6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1.3.2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48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AA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湖南盛福宝生物科技有限公司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D8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其他</w:t>
            </w:r>
            <w:r>
              <w:rPr>
                <w:rFonts w:hint="eastAsia" w:ascii="Times New Roman" w:hAnsi="Times New Roman" w:eastAsia="仿宋_GB2312" w:cs="Times New Roman"/>
                <w:kern w:val="0"/>
                <w:szCs w:val="21"/>
              </w:rPr>
              <w:t>农业</w:t>
            </w:r>
            <w:r>
              <w:rPr>
                <w:rFonts w:ascii="Times New Roman" w:hAnsi="Times New Roman" w:eastAsia="仿宋_GB2312" w:cs="Times New Roman"/>
                <w:kern w:val="0"/>
                <w:szCs w:val="21"/>
              </w:rPr>
              <w:t>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0DEE">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中央财政奖补资金对新购有机肥生产设备（粉碎机1台、料仓1台、电子配料机1台、造粒机1台、筛分机1台、输送带1批、全自动电子秤包装机1套）等进行支持。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C78A">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其它资金主要用于建设生猪废弃物有机肥生产车间3000㎡、新购有机肥生产设备（粉碎机1台、料仓1台、电子配料机1台、造粒机1台、筛分机1台、输送带1批、全自动电子秤包装机1套）1套，等。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CE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03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 </w:t>
            </w:r>
          </w:p>
        </w:tc>
      </w:tr>
      <w:tr w14:paraId="11528191">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18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二</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6FF2A">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加工流通体系建设工程</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D7FF">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0D6B">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8A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2800.00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9A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100.00 </w:t>
            </w:r>
          </w:p>
        </w:tc>
      </w:tr>
      <w:tr w14:paraId="1EB90E13">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02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2.1</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54623">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标准化屠宰示范基地建设</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651A">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C647">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9D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1100.00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40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70.00 </w:t>
            </w:r>
          </w:p>
        </w:tc>
      </w:tr>
      <w:tr w14:paraId="27CBF13D">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D7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2.1.1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BA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安仁县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3E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安仁县中兴肉食有限责任公司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BD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国有企业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2C7D">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主要对升级改造屠宰车间麻电放血区域设备8台/套、运河式烫毛脱毛区域设备4台/套，普通烫毛剥皮区域设备3台，燎毛区域设备3台，胴体加工区域设备6台、冷却排酸鲜销区域设备2台、空滑轮钩返回系统2套、屠宰控制系统1套、污水处理设施1套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4FF2">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建设屠宰车间1500㎡、待宰车间200㎡、隔离间20㎡、急宰间150㎡及内脏处理、危废暂存、焚烧炉间、冷冻库改扩建土建安装工程，场区装卸区、绿化、排水、出入通道消毒设施等升级改造，升级改造屠宰车间、焚烧间、污水处理区等区域设施设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ED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400.00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FF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02726BE9">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00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2.1.2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9D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CD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宜章盛安肉联有限公司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4F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其他</w:t>
            </w:r>
            <w:r>
              <w:rPr>
                <w:rFonts w:hint="eastAsia" w:ascii="Times New Roman" w:hAnsi="Times New Roman" w:eastAsia="仿宋_GB2312" w:cs="Times New Roman"/>
                <w:kern w:val="0"/>
                <w:szCs w:val="21"/>
              </w:rPr>
              <w:t>农业</w:t>
            </w:r>
            <w:r>
              <w:rPr>
                <w:rFonts w:ascii="Times New Roman" w:hAnsi="Times New Roman" w:eastAsia="仿宋_GB2312" w:cs="Times New Roman"/>
                <w:kern w:val="0"/>
                <w:szCs w:val="21"/>
              </w:rPr>
              <w:t>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B9A8">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建设生猪屠宰分割生产线1套（包括麻电放血区域1项、运河式烫毛脱毛区域1项、普通烫毛剥皮区域1项、燎毛区域1项、胴体加工区域1项、冷却排酸鲜销区域1项、空滑轮钩返回系统1项、屠宰控制系统操作工作站台1项、辅助设备1项）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1932">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其它资金主要用于建设生猪屠宰分割生产线1套、待宰车间 1300平方米、污水处理池（含设备设施）3000立方米 、冷库建设 85立方米等。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C3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300.00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A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30.00 </w:t>
            </w:r>
          </w:p>
        </w:tc>
      </w:tr>
      <w:tr w14:paraId="3A30F82F">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4B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2.1.3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87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7F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宜章县新晟屠宰有限公司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61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其他</w:t>
            </w:r>
            <w:r>
              <w:rPr>
                <w:rFonts w:hint="eastAsia" w:ascii="Times New Roman" w:hAnsi="Times New Roman" w:eastAsia="仿宋_GB2312" w:cs="Times New Roman"/>
                <w:kern w:val="0"/>
                <w:szCs w:val="21"/>
              </w:rPr>
              <w:t>农业</w:t>
            </w:r>
            <w:r>
              <w:rPr>
                <w:rFonts w:ascii="Times New Roman" w:hAnsi="Times New Roman" w:eastAsia="仿宋_GB2312" w:cs="Times New Roman"/>
                <w:kern w:val="0"/>
                <w:szCs w:val="21"/>
              </w:rPr>
              <w:t>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4CE">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建设生猪屠宰与肉品加工设施设备1套（包括蒸熏炉、盐水注射机、真空包装机、绞肉机、腊肠罐装扎线生产线、腊肠扭结生产线、腊肠选挂机、污水处理配套系统、三点式麻电机、麻电接收滑槽、放血输送机提升机、套链返回下降机、预清洗机、运河烫毛隧道、打毛机进猪滑槽、全自动卸载系统、双级螺旋刮毛机、扁担钩提升机、自动提升分配器、立式解剖输送线、胴体导向装置、同步检疫输送机、带式劈半锯、红、白脏滑槽、工作台、胴体下降机、卸肉台、PLC屠宰中央控制系统、自动冲淋装置、封闭式运河烫池等）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B6B1">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用于建设生猪屠宰与肉品加工设施设备1套（包括蒸熏炉、盐水注射机、真空包装机、绞肉机、腊肠罐装扎线生产线、腊肠扭结生产线、腊肠选挂机、污水处理配套系统、三点式麻电机、麻电接收滑槽、放血输送机提升机、套链返回下降机、预清洗机、运河烫毛隧道、打毛机进猪滑槽、全自动卸载系统、双级螺旋刮毛机、扁担钩提升机、自动提升分配器、立式解剖输送线、胴体导向装置、同步检疫输送机、带式劈半锯、红、白脏滑槽、工作台、胴体下降机、卸肉台、PLC屠宰中央控制系统、自动冲淋装置、封闭式运河烫池等），屠宰车间场地硬化5425平方米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DF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200.00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74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20.00 </w:t>
            </w:r>
          </w:p>
        </w:tc>
      </w:tr>
      <w:tr w14:paraId="7130854E">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69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2.1.4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C1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永兴县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FB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永兴县华泰肉食品有限责任公司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0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其他</w:t>
            </w:r>
            <w:r>
              <w:rPr>
                <w:rFonts w:hint="eastAsia" w:ascii="Times New Roman" w:hAnsi="Times New Roman" w:eastAsia="仿宋_GB2312" w:cs="Times New Roman"/>
                <w:kern w:val="0"/>
                <w:szCs w:val="21"/>
              </w:rPr>
              <w:t>农业</w:t>
            </w:r>
            <w:r>
              <w:rPr>
                <w:rFonts w:ascii="Times New Roman" w:hAnsi="Times New Roman" w:eastAsia="仿宋_GB2312" w:cs="Times New Roman"/>
                <w:kern w:val="0"/>
                <w:szCs w:val="21"/>
              </w:rPr>
              <w:t>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0406">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中央财政奖补资金主要对建设生猪屠宰自动生产线（滚轮沥血输送机、放血自动线、欧式白条提升机、电控柜等)1套等进行支持。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F738">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建设生猪屠宰自动生产线（含三点式麻电一体输送机、单极螺旋刨毛机、带式劈半锯等)2套、车间地面整体更新2000平方米、污水处理升级1项、墙砖更换1500平方米、污车道硬化500米，等。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E7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200.00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54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20.00 </w:t>
            </w:r>
          </w:p>
        </w:tc>
      </w:tr>
      <w:tr w14:paraId="35F4F2FF">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B3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2.2</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32462">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精深加工示范基地建设</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43B4">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C285">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A0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900.00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B6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30.00 </w:t>
            </w:r>
          </w:p>
        </w:tc>
      </w:tr>
      <w:tr w14:paraId="188500F7">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49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2.2.1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6C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苏仙区</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3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湖南双新食品有限公司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9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国有</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2678">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主要对采购安装分割设备1套（包含双层分割线、控制系统、清洗系统），解冻设备1套（包含低温高湿解冻设备、控制系统）、冷藏冷冻功能仓储区制冷设备1套（包含螺杆压缩机、制冷风机管道）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E1EB">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建设猪肉精深加工生产区1590.65平方米及冷藏冷冻功能仓储区3981.52平方米。采购包装设备1套（包含卧式气调包装机、真空包装机、封口机）、加工设备1套（包含砍排机、锯骨机、肉片肉丝机、绞肉机、输送线）。配套附属设施通风设备1套（包含轴流风机、通风管道）、清洗消毒设备1套（包含高压清洗机、高压加热清洗机、烘干机）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4B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600.00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A2A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2FFF3F9F">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4C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2.2.2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50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0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宜章县青创实业有限公司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9E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其他</w:t>
            </w:r>
            <w:r>
              <w:rPr>
                <w:rFonts w:hint="eastAsia" w:ascii="Times New Roman" w:hAnsi="Times New Roman" w:eastAsia="仿宋_GB2312" w:cs="Times New Roman"/>
                <w:kern w:val="0"/>
                <w:szCs w:val="21"/>
              </w:rPr>
              <w:t>农业</w:t>
            </w:r>
            <w:r>
              <w:rPr>
                <w:rFonts w:ascii="Times New Roman" w:hAnsi="Times New Roman" w:eastAsia="仿宋_GB2312" w:cs="Times New Roman"/>
                <w:kern w:val="0"/>
                <w:szCs w:val="21"/>
              </w:rPr>
              <w:t>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4661">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中央财政奖补资金对建设智能温控设备6台，分割机器人2台，AGV无人叉车4台，智能风幕机6台，IoT温湿度传感器2台，智能输送系统1套，智能冷藏车6台等进行支持。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915">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建设自动冰袋机6台，智能真空机2台，智能气调包装机3台，自动称重贴标机4台，，智能分割操作台8套，区块链溯源平台1项，近红外光谱检测仪2台，厂房升级改造4650平方米，肉制品检测室2间，农产品展示厅2间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B8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300.00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2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30.00 </w:t>
            </w:r>
          </w:p>
        </w:tc>
      </w:tr>
      <w:tr w14:paraId="5330B2BF">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55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2.3</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5416D">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饲料</w:t>
            </w:r>
            <w:r>
              <w:rPr>
                <w:rFonts w:hint="eastAsia" w:ascii="Times New Roman" w:hAnsi="Times New Roman" w:eastAsia="仿宋_GB2312" w:cs="Times New Roman"/>
                <w:b/>
                <w:bCs/>
                <w:kern w:val="0"/>
                <w:szCs w:val="21"/>
              </w:rPr>
              <w:t>加工</w:t>
            </w:r>
            <w:r>
              <w:rPr>
                <w:rFonts w:ascii="Times New Roman" w:hAnsi="Times New Roman" w:eastAsia="仿宋_GB2312" w:cs="Times New Roman"/>
                <w:b/>
                <w:bCs/>
                <w:kern w:val="0"/>
                <w:szCs w:val="21"/>
              </w:rPr>
              <w:t>基地</w:t>
            </w:r>
            <w:r>
              <w:rPr>
                <w:rFonts w:hint="eastAsia" w:ascii="Times New Roman" w:hAnsi="Times New Roman" w:eastAsia="仿宋_GB2312" w:cs="Times New Roman"/>
                <w:b/>
                <w:bCs/>
                <w:kern w:val="0"/>
                <w:szCs w:val="21"/>
              </w:rPr>
              <w:t>建设</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18F2">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811D">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67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800.00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BC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0.00 </w:t>
            </w:r>
          </w:p>
        </w:tc>
      </w:tr>
      <w:tr w14:paraId="6E30B073">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F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2.3.1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DB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苏仙区</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09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湖南新五丰股份有限公司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78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国家重点</w:t>
            </w:r>
            <w:r>
              <w:rPr>
                <w:rFonts w:hint="eastAsia" w:ascii="Times New Roman" w:hAnsi="Times New Roman" w:eastAsia="仿宋_GB2312" w:cs="Times New Roman"/>
                <w:kern w:val="0"/>
                <w:szCs w:val="21"/>
              </w:rPr>
              <w:t>农业</w:t>
            </w:r>
            <w:r>
              <w:rPr>
                <w:rFonts w:ascii="Times New Roman" w:hAnsi="Times New Roman" w:eastAsia="仿宋_GB2312" w:cs="Times New Roman"/>
                <w:kern w:val="0"/>
                <w:szCs w:val="21"/>
              </w:rPr>
              <w:t>龙头企业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C2FB">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对建设智能化新质饲料厂制粒工段六条产线，每条产线含制粒仓2个、上料位器4个、下料位器4个、气锤3个、气动闸门2个、制粒喂料斗1个、喂料器1个、桨叶调质器2个、保质器1个、环模制粒机1台、制粒出料斗1个、叶轮喂料器1个、翻板式冷却器1个、沙克龙1个、GF系列关风器1个、手动蝶阀1个、离心通风机1个、消声器1个、斗式提升机1个、组合回转筛1个、刮板输送机2个、气动闸门10个、正三通10个、回粉仓2个、输送绞龙1个；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55A4">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建设智能化新质饲料厂建安工程：原料车间6371.01㎡、主车间9272.06㎡、卸料间，提升清理1010.86㎡、综合办公楼3120㎡、原料取样棚和检测用房447.36㎡、门卫洗消房512.4㎡，食堂，地磅间932.1㎡、成品消毒间和清洗间512.4㎡、柴油发电机房，五金工具间187.9㎡、水泵房和成品消防水池320.22㎡、内部辅助用房539.97㎡、成品烘干间374.4㎡、原料消毒间253.76㎡、原料清洗间253.76㎡、燃气锅炉房70㎡，总建筑面积23665.8㎡，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1C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600.00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09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2A8AD34A">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68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2.3.2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D7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安仁县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2A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安仁温氏畜牧有限公司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A3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市级</w:t>
            </w:r>
            <w:r>
              <w:rPr>
                <w:rFonts w:hint="eastAsia" w:ascii="Times New Roman" w:hAnsi="Times New Roman" w:eastAsia="仿宋_GB2312" w:cs="Times New Roman"/>
                <w:kern w:val="0"/>
                <w:szCs w:val="21"/>
              </w:rPr>
              <w:t>农业</w:t>
            </w:r>
            <w:r>
              <w:rPr>
                <w:rFonts w:ascii="Times New Roman" w:hAnsi="Times New Roman" w:eastAsia="仿宋_GB2312" w:cs="Times New Roman"/>
                <w:kern w:val="0"/>
                <w:szCs w:val="21"/>
              </w:rPr>
              <w:t>龙头企业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4D59">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中央财政奖补资金主要对建设6个（240T/个）豆粕仓配套筒仓、工艺设备、倒仓工序及电气控制系统等设备1套和24个（36T/个）成品散装仓机械设备、电控系统、气动原件等设备1套等进行支持。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9BDB">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其它资金用于建设1440吨（6*240T）豆粕仓土建506平方米、仓储拆除65平方米；864吨（24*36T）成品散装仓土建基础300平方米钢构雨棚235平方米、输送设备1套等。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1A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200.00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C4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37443CEF">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F7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三</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563CA">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szCs w:val="21"/>
              </w:rPr>
            </w:pPr>
            <w:r>
              <w:rPr>
                <w:rFonts w:hint="eastAsia" w:ascii="Times New Roman" w:hAnsi="Times New Roman" w:eastAsia="仿宋_GB2312" w:cs="Times New Roman"/>
                <w:b/>
                <w:bCs/>
                <w:kern w:val="0"/>
                <w:szCs w:val="21"/>
              </w:rPr>
              <w:t>公共</w:t>
            </w:r>
            <w:r>
              <w:rPr>
                <w:rFonts w:ascii="Times New Roman" w:hAnsi="Times New Roman" w:eastAsia="仿宋_GB2312" w:cs="Times New Roman"/>
                <w:b/>
                <w:bCs/>
                <w:kern w:val="0"/>
                <w:szCs w:val="21"/>
              </w:rPr>
              <w:t>服务平台</w:t>
            </w:r>
            <w:r>
              <w:rPr>
                <w:rFonts w:hint="eastAsia" w:ascii="Times New Roman" w:hAnsi="Times New Roman" w:eastAsia="仿宋_GB2312" w:cs="Times New Roman"/>
                <w:b/>
                <w:bCs/>
                <w:kern w:val="0"/>
                <w:szCs w:val="21"/>
              </w:rPr>
              <w:t>建设工程</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9C17">
            <w:pPr>
              <w:keepNext w:val="0"/>
              <w:keepLines w:val="0"/>
              <w:pageBreakBefore w:val="0"/>
              <w:widowControl/>
              <w:kinsoku/>
              <w:wordWrap/>
              <w:overflowPunct/>
              <w:topLinePunct w:val="0"/>
              <w:autoSpaceDE/>
              <w:autoSpaceDN/>
              <w:bidi w:val="0"/>
              <w:adjustRightInd/>
              <w:snapToGrid/>
              <w:spacing w:line="300" w:lineRule="exact"/>
              <w:ind w:firstLine="482" w:firstLineChars="200"/>
              <w:rPr>
                <w:rFonts w:ascii="Times New Roman" w:hAnsi="Times New Roman" w:eastAsia="仿宋_GB2312" w:cs="Times New Roman"/>
                <w:b/>
                <w:bCs/>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DAFE">
            <w:pPr>
              <w:keepNext w:val="0"/>
              <w:keepLines w:val="0"/>
              <w:pageBreakBefore w:val="0"/>
              <w:widowControl/>
              <w:kinsoku/>
              <w:wordWrap/>
              <w:overflowPunct/>
              <w:topLinePunct w:val="0"/>
              <w:autoSpaceDE/>
              <w:autoSpaceDN/>
              <w:bidi w:val="0"/>
              <w:adjustRightInd/>
              <w:snapToGrid/>
              <w:spacing w:line="300" w:lineRule="exact"/>
              <w:ind w:firstLine="482" w:firstLineChars="200"/>
              <w:rPr>
                <w:rFonts w:ascii="Times New Roman" w:hAnsi="Times New Roman" w:eastAsia="仿宋_GB2312" w:cs="Times New Roman"/>
                <w:b/>
                <w:bCs/>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EC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300.00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6498">
            <w:pPr>
              <w:keepNext w:val="0"/>
              <w:keepLines w:val="0"/>
              <w:pageBreakBefore w:val="0"/>
              <w:widowControl/>
              <w:kinsoku/>
              <w:wordWrap/>
              <w:overflowPunct/>
              <w:topLinePunct w:val="0"/>
              <w:autoSpaceDE/>
              <w:autoSpaceDN/>
              <w:bidi w:val="0"/>
              <w:adjustRightInd/>
              <w:snapToGrid/>
              <w:spacing w:line="300" w:lineRule="exact"/>
              <w:ind w:firstLine="422" w:firstLineChars="200"/>
              <w:jc w:val="center"/>
              <w:rPr>
                <w:rFonts w:ascii="Times New Roman" w:hAnsi="Times New Roman" w:eastAsia="仿宋_GB2312" w:cs="Times New Roman"/>
                <w:b/>
                <w:bCs/>
                <w:szCs w:val="21"/>
              </w:rPr>
            </w:pPr>
          </w:p>
        </w:tc>
      </w:tr>
      <w:tr w14:paraId="0A73A6BB">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C1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3.1</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5B965">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信息化公共服务监管平台建设</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975F">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6B1F">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82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300.00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B62F">
            <w:pPr>
              <w:keepNext w:val="0"/>
              <w:keepLines w:val="0"/>
              <w:pageBreakBefore w:val="0"/>
              <w:widowControl/>
              <w:kinsoku/>
              <w:wordWrap/>
              <w:overflowPunct/>
              <w:topLinePunct w:val="0"/>
              <w:autoSpaceDE/>
              <w:autoSpaceDN/>
              <w:bidi w:val="0"/>
              <w:adjustRightInd/>
              <w:snapToGrid/>
              <w:spacing w:line="300" w:lineRule="exact"/>
              <w:ind w:firstLine="422" w:firstLineChars="200"/>
              <w:jc w:val="center"/>
              <w:rPr>
                <w:rFonts w:ascii="Times New Roman" w:hAnsi="Times New Roman" w:eastAsia="仿宋_GB2312" w:cs="Times New Roman"/>
                <w:b/>
                <w:bCs/>
                <w:szCs w:val="21"/>
              </w:rPr>
            </w:pPr>
          </w:p>
        </w:tc>
      </w:tr>
      <w:tr w14:paraId="3643342D">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right w:val="single" w:color="000000" w:sz="4" w:space="0"/>
            </w:tcBorders>
            <w:shd w:val="clear" w:color="auto" w:fill="auto"/>
            <w:vAlign w:val="center"/>
          </w:tcPr>
          <w:p w14:paraId="764EBE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3.1.1</w:t>
            </w:r>
          </w:p>
        </w:tc>
        <w:tc>
          <w:tcPr>
            <w:tcW w:w="782" w:type="dxa"/>
            <w:tcBorders>
              <w:top w:val="single" w:color="000000" w:sz="4" w:space="0"/>
              <w:left w:val="single" w:color="000000" w:sz="4" w:space="0"/>
              <w:right w:val="single" w:color="000000" w:sz="4" w:space="0"/>
            </w:tcBorders>
            <w:shd w:val="clear" w:color="auto" w:fill="auto"/>
            <w:vAlign w:val="center"/>
          </w:tcPr>
          <w:p w14:paraId="4214DF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w:t>
            </w:r>
            <w:r>
              <w:rPr>
                <w:rFonts w:hint="eastAsia" w:ascii="Times New Roman" w:hAnsi="Times New Roman" w:eastAsia="仿宋_GB2312" w:cs="Times New Roman"/>
                <w:kern w:val="0"/>
                <w:szCs w:val="21"/>
              </w:rPr>
              <w:t>本级</w:t>
            </w:r>
          </w:p>
        </w:tc>
        <w:tc>
          <w:tcPr>
            <w:tcW w:w="1175" w:type="dxa"/>
            <w:tcBorders>
              <w:top w:val="single" w:color="000000" w:sz="4" w:space="0"/>
              <w:left w:val="single" w:color="000000" w:sz="4" w:space="0"/>
              <w:right w:val="single" w:color="000000" w:sz="4" w:space="0"/>
            </w:tcBorders>
            <w:shd w:val="clear" w:color="auto" w:fill="auto"/>
            <w:vAlign w:val="center"/>
          </w:tcPr>
          <w:p w14:paraId="562F97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郴州市畜牧水产事务中心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B9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事业单位</w:t>
            </w:r>
          </w:p>
        </w:tc>
        <w:tc>
          <w:tcPr>
            <w:tcW w:w="4703" w:type="dxa"/>
            <w:tcBorders>
              <w:top w:val="single" w:color="000000" w:sz="4" w:space="0"/>
              <w:left w:val="single" w:color="000000" w:sz="4" w:space="0"/>
              <w:right w:val="single" w:color="000000" w:sz="4" w:space="0"/>
            </w:tcBorders>
            <w:shd w:val="clear" w:color="auto" w:fill="auto"/>
            <w:vAlign w:val="center"/>
          </w:tcPr>
          <w:p w14:paraId="4C5112FC">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中央财政奖补资金主要对集群信息化公共服务监管平台建设以下内容等进行支持：1.平台开发 数据中台：整合养殖档案、屠宰加工、流通追溯等12类数据，构建资源库；监管模块：部署AI疫病预警模型、区块链质量溯源系统、环境智能监测终端；服务模块：开发</w:t>
            </w: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郴牧通</w:t>
            </w: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移动端应用，集成技术咨询、供应链金融、市场大数据分析功能。2. 硬件部署 安装IoT传感器</w:t>
            </w:r>
            <w:r>
              <w:rPr>
                <w:rFonts w:hint="eastAsia" w:ascii="Times New Roman" w:hAnsi="Times New Roman" w:eastAsia="仿宋_GB2312" w:cs="Times New Roman"/>
                <w:kern w:val="0"/>
                <w:sz w:val="20"/>
                <w:szCs w:val="20"/>
              </w:rPr>
              <w:t>3</w:t>
            </w:r>
            <w:r>
              <w:rPr>
                <w:rFonts w:ascii="Times New Roman" w:hAnsi="Times New Roman" w:eastAsia="仿宋_GB2312" w:cs="Times New Roman"/>
                <w:kern w:val="0"/>
                <w:sz w:val="20"/>
                <w:szCs w:val="20"/>
              </w:rPr>
              <w:t>00套（监测温湿度、氨气、CO</w:t>
            </w:r>
            <w:r>
              <w:rPr>
                <w:rFonts w:ascii="Cambria Math" w:hAnsi="Cambria Math" w:eastAsia="仿宋_GB2312" w:cs="Cambria Math"/>
                <w:kern w:val="0"/>
                <w:sz w:val="20"/>
                <w:szCs w:val="20"/>
              </w:rPr>
              <w:t>₂</w:t>
            </w:r>
            <w:r>
              <w:rPr>
                <w:rFonts w:ascii="Times New Roman" w:hAnsi="Times New Roman" w:eastAsia="仿宋_GB2312" w:cs="Times New Roman"/>
                <w:kern w:val="0"/>
                <w:sz w:val="20"/>
                <w:szCs w:val="20"/>
              </w:rPr>
              <w:t xml:space="preserve">等参数）； 配置边缘计算节点50个、云服务器集群；  建设市级监管指挥中心1处（含LED全景指挥屏）、县级分中心8处。  </w:t>
            </w:r>
            <w:r>
              <w:rPr>
                <w:rFonts w:ascii="Times New Roman" w:hAnsi="Times New Roman" w:eastAsia="仿宋_GB2312" w:cs="Times New Roman"/>
                <w:kern w:val="0"/>
                <w:sz w:val="20"/>
                <w:szCs w:val="20"/>
              </w:rPr>
              <w:br w:type="textWrapping"/>
            </w:r>
            <w:r>
              <w:rPr>
                <w:rFonts w:ascii="Times New Roman" w:hAnsi="Times New Roman" w:eastAsia="仿宋_GB2312" w:cs="Times New Roman"/>
                <w:kern w:val="0"/>
                <w:sz w:val="20"/>
                <w:szCs w:val="20"/>
              </w:rPr>
              <w:t>3.数据治理 制定《郴州市生猪产业数据采集规范》；  对接农业农村部</w:t>
            </w: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牧运通</w:t>
            </w:r>
            <w:r>
              <w:rPr>
                <w:rFonts w:hint="eastAsia" w:ascii="Times New Roman" w:hAnsi="Times New Roman" w:eastAsia="仿宋_GB2312" w:cs="Times New Roman"/>
                <w:kern w:val="0"/>
                <w:sz w:val="20"/>
                <w:szCs w:val="20"/>
              </w:rPr>
              <w:t>”</w:t>
            </w:r>
            <w:r>
              <w:rPr>
                <w:rFonts w:ascii="Times New Roman" w:hAnsi="Times New Roman" w:eastAsia="仿宋_GB2312" w:cs="Times New Roman"/>
                <w:kern w:val="0"/>
                <w:sz w:val="20"/>
                <w:szCs w:val="20"/>
              </w:rPr>
              <w:t>系统，实现API接口双向交互。</w:t>
            </w:r>
          </w:p>
        </w:tc>
        <w:tc>
          <w:tcPr>
            <w:tcW w:w="3457" w:type="dxa"/>
            <w:tcBorders>
              <w:top w:val="single" w:color="000000" w:sz="4" w:space="0"/>
              <w:left w:val="single" w:color="000000" w:sz="4" w:space="0"/>
              <w:right w:val="single" w:color="000000" w:sz="4" w:space="0"/>
            </w:tcBorders>
            <w:shd w:val="clear" w:color="auto" w:fill="auto"/>
            <w:vAlign w:val="center"/>
          </w:tcPr>
          <w:p w14:paraId="07F3E3A1">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right w:val="single" w:color="000000" w:sz="4" w:space="0"/>
            </w:tcBorders>
            <w:shd w:val="clear" w:color="auto" w:fill="auto"/>
            <w:vAlign w:val="center"/>
          </w:tcPr>
          <w:p w14:paraId="063B47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300.00 </w:t>
            </w:r>
          </w:p>
        </w:tc>
        <w:tc>
          <w:tcPr>
            <w:tcW w:w="935" w:type="dxa"/>
            <w:tcBorders>
              <w:top w:val="single" w:color="000000" w:sz="4" w:space="0"/>
              <w:left w:val="single" w:color="000000" w:sz="4" w:space="0"/>
              <w:right w:val="single" w:color="000000" w:sz="4" w:space="0"/>
            </w:tcBorders>
            <w:shd w:val="clear" w:color="auto" w:fill="auto"/>
            <w:vAlign w:val="center"/>
          </w:tcPr>
          <w:p w14:paraId="2C50D8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11180204">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CF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四</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5C0B3">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品牌建设工程</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BC8C">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A190">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FD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200.00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22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10.00 </w:t>
            </w:r>
          </w:p>
        </w:tc>
      </w:tr>
      <w:tr w14:paraId="2ECFEDF3">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8D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4.1</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35727">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精品</w:t>
            </w:r>
            <w:r>
              <w:rPr>
                <w:rFonts w:hint="eastAsia" w:ascii="Times New Roman" w:hAnsi="Times New Roman" w:eastAsia="仿宋_GB2312" w:cs="Times New Roman"/>
                <w:b/>
                <w:bCs/>
                <w:kern w:val="0"/>
                <w:szCs w:val="21"/>
              </w:rPr>
              <w:t>“</w:t>
            </w:r>
            <w:r>
              <w:rPr>
                <w:rFonts w:ascii="Times New Roman" w:hAnsi="Times New Roman" w:eastAsia="仿宋_GB2312" w:cs="Times New Roman"/>
                <w:b/>
                <w:bCs/>
                <w:kern w:val="0"/>
                <w:szCs w:val="21"/>
              </w:rPr>
              <w:t>郴</w:t>
            </w:r>
            <w:r>
              <w:rPr>
                <w:rFonts w:hint="eastAsia" w:ascii="Times New Roman" w:hAnsi="Times New Roman" w:eastAsia="仿宋_GB2312" w:cs="Times New Roman"/>
                <w:b/>
                <w:bCs/>
                <w:kern w:val="0"/>
                <w:szCs w:val="21"/>
              </w:rPr>
              <w:t>”</w:t>
            </w:r>
            <w:r>
              <w:rPr>
                <w:rFonts w:ascii="Times New Roman" w:hAnsi="Times New Roman" w:eastAsia="仿宋_GB2312" w:cs="Times New Roman"/>
                <w:b/>
                <w:bCs/>
                <w:kern w:val="0"/>
                <w:szCs w:val="21"/>
              </w:rPr>
              <w:t>字号品牌、电商培育</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0CC1">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7793">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0B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200.00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E65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10.00 </w:t>
            </w:r>
          </w:p>
        </w:tc>
      </w:tr>
      <w:tr w14:paraId="47E1F39D">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72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4.1.1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5A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苏仙区</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E7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湖南双新食品有限公司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58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国有</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72F9">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中央财政奖补资金主要对企业和产品品牌设计、展示、宣传，开展品牌传播、消费者教育等进行支持。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7F57">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建设20个品牌门店（含门店装修）对品牌进行宣传，建设销售渠道，开展效果评估和动态优化等。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1E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E6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698B0328">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0C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4.1.2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6A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07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桂阳子龙郡食品有限公司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E5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省级</w:t>
            </w:r>
            <w:r>
              <w:rPr>
                <w:rFonts w:hint="eastAsia" w:ascii="Times New Roman" w:hAnsi="Times New Roman" w:eastAsia="仿宋_GB2312" w:cs="Times New Roman"/>
                <w:kern w:val="0"/>
                <w:szCs w:val="21"/>
              </w:rPr>
              <w:t>农业</w:t>
            </w:r>
            <w:r>
              <w:rPr>
                <w:rFonts w:ascii="Times New Roman" w:hAnsi="Times New Roman" w:eastAsia="仿宋_GB2312" w:cs="Times New Roman"/>
                <w:kern w:val="0"/>
                <w:szCs w:val="21"/>
              </w:rPr>
              <w:t>龙头企业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F25B">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中央财政奖补资金主要对编制坛子肉生产标准1项、坛子肉品牌VI设计1项、申请坛子肉非物质文化遗产1项、坛子肉产品品牌广告专用商品展示架定制及入驻商超20个等进行支持。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E1AC">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在抖音、小红书、电视等媒体上投放广告1项、参加农博会、蔬博会等展览 1项、在公交车、高铁站、户外投放广告 1项等。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F6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50.00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87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5.00 </w:t>
            </w:r>
          </w:p>
        </w:tc>
      </w:tr>
      <w:tr w14:paraId="6E1AD7FD">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6B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4.1.3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D5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53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宜章盛安肉联有限公司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BA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其他</w:t>
            </w:r>
            <w:r>
              <w:rPr>
                <w:rFonts w:hint="eastAsia" w:ascii="Times New Roman" w:hAnsi="Times New Roman" w:eastAsia="仿宋_GB2312" w:cs="Times New Roman"/>
                <w:kern w:val="0"/>
                <w:szCs w:val="21"/>
              </w:rPr>
              <w:t>农业</w:t>
            </w:r>
            <w:r>
              <w:rPr>
                <w:rFonts w:ascii="Times New Roman" w:hAnsi="Times New Roman" w:eastAsia="仿宋_GB2312" w:cs="Times New Roman"/>
                <w:kern w:val="0"/>
                <w:szCs w:val="21"/>
              </w:rPr>
              <w:t>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51D1">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中央财政奖补资金主要对</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个精品</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郴</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字号新品牌培育、注册等进行支持。</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1C2C">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品牌</w:t>
            </w:r>
            <w:r>
              <w:rPr>
                <w:rFonts w:ascii="Times New Roman" w:hAnsi="Times New Roman" w:eastAsia="仿宋_GB2312" w:cs="Times New Roman"/>
                <w:kern w:val="0"/>
                <w:sz w:val="20"/>
                <w:szCs w:val="20"/>
              </w:rPr>
              <w:t>LOGO</w:t>
            </w:r>
            <w:r>
              <w:rPr>
                <w:rFonts w:hint="eastAsia" w:ascii="Times New Roman" w:hAnsi="Times New Roman" w:eastAsia="仿宋_GB2312" w:cs="Times New Roman"/>
                <w:kern w:val="0"/>
                <w:sz w:val="20"/>
                <w:szCs w:val="20"/>
              </w:rPr>
              <w:t>设计、品牌包装、品牌推广等。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4A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50.00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81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5.00 </w:t>
            </w:r>
          </w:p>
        </w:tc>
      </w:tr>
      <w:tr w14:paraId="155B23A9">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D8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五</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48067">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新型经营主体培育工程</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55E9">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2DED">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9D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300.00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1E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0.00 </w:t>
            </w:r>
          </w:p>
        </w:tc>
      </w:tr>
      <w:tr w14:paraId="7046C8E1">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23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5.1</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7187D">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hint="eastAsia" w:ascii="Times New Roman" w:hAnsi="Times New Roman" w:eastAsia="仿宋_GB2312" w:cs="Times New Roman"/>
                <w:b/>
                <w:bCs/>
                <w:kern w:val="0"/>
                <w:szCs w:val="21"/>
              </w:rPr>
              <w:t>生猪产业</w:t>
            </w:r>
            <w:r>
              <w:rPr>
                <w:rFonts w:ascii="Times New Roman" w:hAnsi="Times New Roman" w:eastAsia="仿宋_GB2312" w:cs="Times New Roman"/>
                <w:b/>
                <w:bCs/>
                <w:kern w:val="0"/>
                <w:szCs w:val="21"/>
              </w:rPr>
              <w:t>返乡创业</w:t>
            </w:r>
            <w:r>
              <w:rPr>
                <w:rFonts w:hint="eastAsia" w:ascii="Times New Roman" w:hAnsi="Times New Roman" w:eastAsia="仿宋_GB2312" w:cs="Times New Roman"/>
                <w:b/>
                <w:bCs/>
                <w:kern w:val="0"/>
                <w:szCs w:val="21"/>
              </w:rPr>
              <w:t>主体培育</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7C9E">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C472">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82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300.00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8B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0.00 </w:t>
            </w:r>
          </w:p>
        </w:tc>
      </w:tr>
      <w:tr w14:paraId="10B98805">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3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5.1.1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F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A6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宜章县畜牧水产事务中心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3D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事业单位</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7BC5">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中央财政奖补资金主要对建设宜章县从事生猪养殖、加工流通等各环节建设的返乡创业人员创办的生猪养殖家庭农场、领办的生猪产业相关农民专业合作社等新型农业主体进行遴选奖补。</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82BD">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EDD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60.00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BF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58421AEA">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24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5.1.2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9C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3A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桂阳县畜牧水产事务中心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B5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事业单位</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D8A9">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中央财政奖补资金主要对建设桂阳县从事生猪养殖、加工流通等各环节建设的返乡创业人员创办的生猪养殖家庭农场、领办的生猪产业相关农民专业合作社等新型农业主体进行遴选奖补。</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F196">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22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60.00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59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639698F6">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DB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5.1.3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E6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安仁县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31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安仁县畜牧水产事务中心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A7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事业单位</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26CB">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中央财政奖补资金主要对建设安仁县从事生猪养殖、加工流通等各环节建设的返乡创业人员创办的生猪养殖家庭农场、领办的生猪产业相关农民专业合作社等新型农业主体进行遴选奖补。</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2130">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F1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60.00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5C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1800091F">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AE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5.1.4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CA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永兴县</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EC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永兴县畜牧水产事务中心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4F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事业单位</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1D63">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中央财政奖补资金主要对建设永兴县从事生猪养殖、加工流通等各环节建设的返乡创业人员创办的生猪养殖家庭农场、领办的生猪产业相关农民专业合作社等新型农业主体进行遴选奖补。</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1876">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E0E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60.00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A8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450ECBFB">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87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5.1.5</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EB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苏仙区</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FC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郴州市苏仙区畜牧水产事务中心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6F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事业单位</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2735">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中央财政奖补资金主要对建设苏仙区从事生猪养殖、加工流通等各环节建设的返乡创业人员创办的生猪养殖家庭农场、领办的生猪产业相关农民专业合作社等新型农业主体进行遴选奖补。</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74A0">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F5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60.00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04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684E1195">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B2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六</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39F29">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科技支撑工程</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C751">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142D">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17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500.00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99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0.00 </w:t>
            </w:r>
          </w:p>
        </w:tc>
      </w:tr>
      <w:tr w14:paraId="5772033C">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1B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6.1</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5E6C9">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关键共性技术研发推广</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3968">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40E8">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E8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400.00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22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0.00 </w:t>
            </w:r>
          </w:p>
        </w:tc>
      </w:tr>
      <w:tr w14:paraId="73475552">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49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6.1.1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5C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w:t>
            </w:r>
            <w:r>
              <w:rPr>
                <w:rFonts w:hint="eastAsia" w:ascii="Times New Roman" w:hAnsi="Times New Roman" w:eastAsia="仿宋_GB2312" w:cs="Times New Roman"/>
                <w:kern w:val="0"/>
                <w:szCs w:val="21"/>
              </w:rPr>
              <w:t>本级</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C7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中国科学院亚热带农业生态研究所</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40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rPr>
              <w:t>科研类</w:t>
            </w:r>
            <w:r>
              <w:rPr>
                <w:rFonts w:ascii="Times New Roman" w:hAnsi="Times New Roman" w:eastAsia="仿宋_GB2312" w:cs="Times New Roman"/>
                <w:kern w:val="0"/>
                <w:szCs w:val="21"/>
              </w:rPr>
              <w:t>事业单位</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D3FB">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央财政奖补资金专项扶持生猪产业非常规蛋白质饲料资源的开发利用，旨在破解猪蛋白质饲料替代难题，推动饲料原料的创新，并在郴州地区实现其成果的转化与应用。具体研究内容：探索并研发微藻蛋白与微生物蛋白饲料原料的生物制备技术；深化菜粕、油茶粕的脱毒工艺，开发新型植物蛋白饲料原料；同时，对蔬菜植物纤维进行开发利用，并对植物性饲料添加剂进行科学的评价与检测分析。</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F343">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BA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87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19D5E8D4">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DA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6.1.2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9C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w:t>
            </w:r>
            <w:r>
              <w:rPr>
                <w:rFonts w:hint="eastAsia" w:ascii="Times New Roman" w:hAnsi="Times New Roman" w:eastAsia="仿宋_GB2312" w:cs="Times New Roman"/>
                <w:kern w:val="0"/>
                <w:szCs w:val="21"/>
              </w:rPr>
              <w:t>本级</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CC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湖南省畜牧兽医研究所</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86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rPr>
              <w:t>科研类</w:t>
            </w:r>
            <w:r>
              <w:rPr>
                <w:rFonts w:ascii="Times New Roman" w:hAnsi="Times New Roman" w:eastAsia="仿宋_GB2312" w:cs="Times New Roman"/>
                <w:kern w:val="0"/>
                <w:szCs w:val="21"/>
              </w:rPr>
              <w:t>事业单位</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03F4">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主要对生猪重大动物疫病研究相关工作进行支持，具体包括：1、组建生猪疾病监测诊断中心，购置监测诊断设备6台（套）；2、研究、集成生猪重大疫病关键技术5套，指导提质改造生猪生物安全猪场2个；3、建立猪伪狂犬病、蓝耳病、口蹄疫等重大疫病净化技术3套，指导创建非洲猪瘟无疫小区或疫病净化场3个；4、研发猪流行性腹泻防治药物1-2个；5、示范推广生猪重大动物疫病综合防控与主要疫病净化技术20万头等。</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0A88">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15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BF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52368CF3">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F9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6.1.3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01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w:t>
            </w:r>
            <w:r>
              <w:rPr>
                <w:rFonts w:hint="eastAsia" w:ascii="Times New Roman" w:hAnsi="Times New Roman" w:eastAsia="仿宋_GB2312" w:cs="Times New Roman"/>
                <w:kern w:val="0"/>
                <w:szCs w:val="21"/>
              </w:rPr>
              <w:t>本级</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06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湖南农业大学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DB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事业单位</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6D20">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主要对猪分子设计育种关键技术研究与应用相关工作进行支持，具体包括：猪主要经济性状的选育提高，其中通过主要经济性状性能测定和基因分型筛选新的高育种价值基因位点，持续开展基因组选种选配，培育高肌内脂肪含量父系猪；利用参考群体的基因组、表型组等组学数据，采用机器学习方法开发标记效应估计的模型，解析非加性遗传效应的遗传机制，并选择合适的计算机语言对基因型概率和期望遗传值计算过程进行高效的编译，形成基因组精准选配新算法等。</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9707">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66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D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3441ACF1">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92E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6.1.4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D2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w:t>
            </w:r>
            <w:r>
              <w:rPr>
                <w:rFonts w:hint="eastAsia" w:ascii="Times New Roman" w:hAnsi="Times New Roman" w:eastAsia="仿宋_GB2312" w:cs="Times New Roman"/>
                <w:kern w:val="0"/>
                <w:szCs w:val="21"/>
              </w:rPr>
              <w:t>本级</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3D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湖南双新食品有限公司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EA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国有企业</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7D62">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中央财政奖补资金主要对优质猪肉生产及深加工关键技术研发与推广相关工作进行支持，具体包括：1.完成研发冷冻肉解冻关键技术1项；2.建立生猪屠HACCP关键控点标准操作技术规程1个；3.构建低温猪肉贮运过程中微生物预报模型1个；4.构建冷鲜肉品质预测模型1个，解析不同方式冷冻肉解冻后的食用品质；5.开发深加工产品等。</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DCAA">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0"/>
                <w:szCs w:val="20"/>
              </w:rPr>
              <w:t>其它资金主要用于技术研发、规程制定、构建产品品质预测模型、产品开发、冷冻肉关键技术中试设备（液氮速冻隧道，液氮储存装置）的购置安装，试验冷冻车2辆的购置、相关论文出版等。</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59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97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2B6DC8BF">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00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6.2</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3C874">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生猪产业链标准体系建设</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1541">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08EC">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CD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50.00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38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0.00 </w:t>
            </w:r>
          </w:p>
        </w:tc>
      </w:tr>
      <w:tr w14:paraId="5E1F3F02">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AE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6.2.1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D6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w:t>
            </w:r>
            <w:r>
              <w:rPr>
                <w:rFonts w:hint="eastAsia" w:ascii="Times New Roman" w:hAnsi="Times New Roman" w:eastAsia="仿宋_GB2312" w:cs="Times New Roman"/>
                <w:kern w:val="0"/>
                <w:szCs w:val="21"/>
              </w:rPr>
              <w:t>本级</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3F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湖南农业大学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9A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事业单位</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F39D">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中央财政奖补资金主要对集群生猪标准体系建设相关工作进行支持，具体包括：完成湖南省生猪标准体系建设研究报告</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份；完成</w:t>
            </w:r>
            <w:r>
              <w:rPr>
                <w:rFonts w:ascii="Times New Roman" w:hAnsi="Times New Roman" w:eastAsia="仿宋_GB2312" w:cs="Times New Roman"/>
                <w:kern w:val="0"/>
                <w:sz w:val="20"/>
                <w:szCs w:val="20"/>
              </w:rPr>
              <w:t>6</w:t>
            </w:r>
            <w:r>
              <w:rPr>
                <w:rFonts w:hint="eastAsia" w:ascii="Times New Roman" w:hAnsi="Times New Roman" w:eastAsia="仿宋_GB2312" w:cs="Times New Roman"/>
                <w:kern w:val="0"/>
                <w:sz w:val="20"/>
                <w:szCs w:val="20"/>
              </w:rPr>
              <w:t>个技术标准</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团体标准或地方标准</w:t>
            </w:r>
            <w:r>
              <w:rPr>
                <w:rFonts w:ascii="Times New Roman" w:hAnsi="Times New Roman" w:eastAsia="仿宋_GB2312" w:cs="Times New Roman"/>
                <w:kern w:val="0"/>
                <w:sz w:val="20"/>
                <w:szCs w:val="20"/>
              </w:rPr>
              <w:t>)</w:t>
            </w:r>
            <w:r>
              <w:rPr>
                <w:rFonts w:hint="eastAsia" w:ascii="Times New Roman" w:hAnsi="Times New Roman" w:eastAsia="仿宋_GB2312" w:cs="Times New Roman"/>
                <w:kern w:val="0"/>
                <w:sz w:val="20"/>
                <w:szCs w:val="20"/>
              </w:rPr>
              <w:t>文本编写，其中生猪繁育标准</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个、养殖标准</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个、疫病防控标准</w:t>
            </w:r>
            <w:r>
              <w:rPr>
                <w:rFonts w:ascii="Times New Roman" w:hAnsi="Times New Roman" w:eastAsia="仿宋_GB2312" w:cs="Times New Roman"/>
                <w:kern w:val="0"/>
                <w:sz w:val="20"/>
                <w:szCs w:val="20"/>
              </w:rPr>
              <w:t>2</w:t>
            </w:r>
            <w:r>
              <w:rPr>
                <w:rFonts w:hint="eastAsia" w:ascii="Times New Roman" w:hAnsi="Times New Roman" w:eastAsia="仿宋_GB2312" w:cs="Times New Roman"/>
                <w:kern w:val="0"/>
                <w:sz w:val="20"/>
                <w:szCs w:val="20"/>
              </w:rPr>
              <w:t>个、加工标准</w:t>
            </w:r>
            <w:r>
              <w:rPr>
                <w:rFonts w:ascii="Times New Roman" w:hAnsi="Times New Roman" w:eastAsia="仿宋_GB2312" w:cs="Times New Roman"/>
                <w:kern w:val="0"/>
                <w:sz w:val="20"/>
                <w:szCs w:val="20"/>
              </w:rPr>
              <w:t>1</w:t>
            </w:r>
            <w:r>
              <w:rPr>
                <w:rFonts w:hint="eastAsia" w:ascii="Times New Roman" w:hAnsi="Times New Roman" w:eastAsia="仿宋_GB2312" w:cs="Times New Roman"/>
                <w:kern w:val="0"/>
                <w:sz w:val="20"/>
                <w:szCs w:val="20"/>
              </w:rPr>
              <w:t>个等。</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2527">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BE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50.00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53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r w14:paraId="0BF0C9F6">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C4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6.3</w:t>
            </w:r>
          </w:p>
        </w:tc>
        <w:tc>
          <w:tcPr>
            <w:tcW w:w="2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B041B">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szCs w:val="21"/>
              </w:rPr>
            </w:pPr>
            <w:r>
              <w:rPr>
                <w:rFonts w:ascii="Times New Roman" w:hAnsi="Times New Roman" w:eastAsia="仿宋_GB2312" w:cs="Times New Roman"/>
                <w:b/>
                <w:bCs/>
                <w:kern w:val="0"/>
                <w:szCs w:val="21"/>
              </w:rPr>
              <w:t>技术服务、培训</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9657">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8F64">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F7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50.00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E7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rPr>
              <w:t xml:space="preserve">0.00 </w:t>
            </w:r>
          </w:p>
        </w:tc>
      </w:tr>
      <w:tr w14:paraId="0388DC64">
        <w:tblPrEx>
          <w:tblCellMar>
            <w:top w:w="0" w:type="dxa"/>
            <w:left w:w="108" w:type="dxa"/>
            <w:bottom w:w="0" w:type="dxa"/>
            <w:right w:w="108" w:type="dxa"/>
          </w:tblCellMar>
        </w:tblPrEx>
        <w:trPr>
          <w:cantSplit/>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02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6.3.1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98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市</w:t>
            </w:r>
            <w:r>
              <w:rPr>
                <w:rFonts w:hint="eastAsia" w:ascii="Times New Roman" w:hAnsi="Times New Roman" w:eastAsia="仿宋_GB2312" w:cs="Times New Roman"/>
                <w:kern w:val="0"/>
                <w:szCs w:val="21"/>
              </w:rPr>
              <w:t>本级</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1F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中国科学院亚热带农业生态研究所</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5B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hint="eastAsia" w:ascii="Times New Roman" w:hAnsi="Times New Roman" w:eastAsia="仿宋_GB2312" w:cs="Times New Roman"/>
                <w:kern w:val="0"/>
                <w:szCs w:val="21"/>
              </w:rPr>
              <w:t>科研类</w:t>
            </w:r>
            <w:r>
              <w:rPr>
                <w:rFonts w:ascii="Times New Roman" w:hAnsi="Times New Roman" w:eastAsia="仿宋_GB2312" w:cs="Times New Roman"/>
                <w:kern w:val="0"/>
                <w:szCs w:val="21"/>
              </w:rPr>
              <w:t>事业单位</w:t>
            </w:r>
          </w:p>
        </w:tc>
        <w:tc>
          <w:tcPr>
            <w:tcW w:w="4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6E05">
            <w:pPr>
              <w:keepNext w:val="0"/>
              <w:keepLines w:val="0"/>
              <w:pageBreakBefore w:val="0"/>
              <w:widowControl/>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0"/>
                <w:szCs w:val="20"/>
              </w:rPr>
            </w:pPr>
            <w:r>
              <w:rPr>
                <w:rFonts w:hint="eastAsia" w:ascii="Times New Roman" w:hAnsi="Times New Roman" w:eastAsia="仿宋_GB2312" w:cs="Times New Roman"/>
                <w:kern w:val="0"/>
                <w:sz w:val="20"/>
                <w:szCs w:val="20"/>
              </w:rPr>
              <w:t>中央财政奖补资金主要对集群技术服务、培训等工作进行支持，具体包括:对集群建设、项目实施的技术指导，组织开展品种繁育、营养调制、饲养管理、屠宰加工等方面的技术服务、培训和指导等。</w:t>
            </w:r>
          </w:p>
        </w:tc>
        <w:tc>
          <w:tcPr>
            <w:tcW w:w="3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04B5">
            <w:pPr>
              <w:keepNext w:val="0"/>
              <w:keepLines w:val="0"/>
              <w:pageBreakBefore w:val="0"/>
              <w:widowControl/>
              <w:kinsoku/>
              <w:wordWrap/>
              <w:overflowPunct/>
              <w:topLinePunct w:val="0"/>
              <w:autoSpaceDE/>
              <w:autoSpaceDN/>
              <w:bidi w:val="0"/>
              <w:adjustRightInd/>
              <w:snapToGrid/>
              <w:spacing w:line="300" w:lineRule="exact"/>
              <w:ind w:firstLine="480" w:firstLineChars="200"/>
              <w:rPr>
                <w:rFonts w:ascii="Times New Roman" w:hAnsi="Times New Roman" w:eastAsia="仿宋_GB2312" w:cs="Times New Roman"/>
                <w:sz w:val="24"/>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17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50.00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3A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rPr>
              <w:t xml:space="preserve">0.00 </w:t>
            </w:r>
          </w:p>
        </w:tc>
      </w:tr>
    </w:tbl>
    <w:p w14:paraId="5980834D"/>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386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line="590" w:lineRule="atLeas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8102</Words>
  <Characters>9258</Characters>
  <Lines>0</Lines>
  <Paragraphs>0</Paragraphs>
  <TotalTime>0</TotalTime>
  <ScaleCrop>false</ScaleCrop>
  <LinksUpToDate>false</LinksUpToDate>
  <CharactersWithSpaces>9411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2025-06-18T17:52:00Z</dcterms:created>
  <dc:creator>f&amp;Y</dc:creator>
  <cp:lastModifiedBy>f&amp;Y</cp:lastModifiedBy>
  <dcterms:modified xsi:type="dcterms:W3CDTF">2025-06-18T10:33:45Z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BBF0B8B7CCCA4EA699AFF472488FDC2C_13</vt:lpwstr>
  </property>
  <property fmtid="{D5CDD505-2E9C-101B-9397-08002B2CF9AE}" pid="4" name="KSOTemplateDocerSaveRecord">
    <vt:lpwstr>eyJoZGlkIjoiNjIxNzMzNWIxNjRmNzdjZTk3YWEyYjEzM2JmODgwZGUiLCJ1c2VySWQiOiI3NTgxMzE4MDgifQ==</vt:lpwstr>
  </property>
</Properties>
</file>