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48A2">
      <w:pPr>
        <w:overflowPunct w:val="0"/>
        <w:spacing w:line="580" w:lineRule="exact"/>
        <w:rPr>
          <w:rFonts w:ascii="Times New Roman" w:hAnsi="Times New Roman" w:eastAsia="黑体"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/>
          <w:sz w:val="32"/>
          <w:szCs w:val="32"/>
        </w:rPr>
        <w:t>附件1</w:t>
      </w:r>
    </w:p>
    <w:p w14:paraId="1A0356DE">
      <w:pPr>
        <w:overflowPunct w:val="0"/>
        <w:spacing w:line="58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 w14:paraId="7F034A27">
      <w:pPr>
        <w:overflowPunct w:val="0"/>
        <w:spacing w:line="58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高速公路服务区“司机之家”</w:t>
      </w:r>
      <w:r>
        <w:rPr>
          <w:rFonts w:hint="eastAsia" w:ascii="Times New Roman" w:hAnsi="Times New Roman" w:eastAsia="方正小标宋_GBK"/>
          <w:sz w:val="40"/>
          <w:szCs w:val="40"/>
        </w:rPr>
        <w:t>标准化规范化</w:t>
      </w:r>
    </w:p>
    <w:p w14:paraId="0374BB0B">
      <w:pPr>
        <w:overflowPunct w:val="0"/>
        <w:spacing w:line="580" w:lineRule="exact"/>
        <w:jc w:val="center"/>
        <w:rPr>
          <w:rFonts w:hint="eastAsia"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建设运营服务</w:t>
      </w:r>
      <w:r>
        <w:rPr>
          <w:rFonts w:hint="eastAsia" w:ascii="Times New Roman" w:hAnsi="Times New Roman" w:eastAsia="方正小标宋_GBK"/>
          <w:sz w:val="40"/>
          <w:szCs w:val="40"/>
        </w:rPr>
        <w:t>指南</w:t>
      </w:r>
    </w:p>
    <w:p w14:paraId="2F9ABCDF">
      <w:pPr>
        <w:overflowPunct w:val="0"/>
        <w:spacing w:line="58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 w14:paraId="169EEE54">
      <w:pPr>
        <w:numPr>
          <w:ilvl w:val="0"/>
          <w:numId w:val="1"/>
        </w:numPr>
        <w:overflowPunct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高速公路服务区“司机之家”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黑体"/>
          <w:sz w:val="32"/>
          <w:szCs w:val="32"/>
          <w:shd w:val="clear" w:color="auto" w:fill="FFFFFF"/>
        </w:rPr>
        <w:t>定义</w:t>
      </w:r>
    </w:p>
    <w:p w14:paraId="45CF39EA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高速公路服务区“司机之家”是依托高速公路服务区，为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货运车辆及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货车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司机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公共服务的场所，一般具有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停车、休息、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餐饮、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淋浴、洗衣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、如厕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基本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服务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功能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鼓励提供便利店、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加油充电、车辆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维修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、应急救援、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政务办理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服务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5FF1B8A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二、高速公路服务区“司机之家”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标准化</w:t>
      </w:r>
      <w:r>
        <w:rPr>
          <w:rFonts w:ascii="Times New Roman" w:hAnsi="Times New Roman" w:eastAsia="黑体"/>
          <w:sz w:val="32"/>
          <w:szCs w:val="32"/>
          <w:shd w:val="clear" w:color="auto" w:fill="FFFFFF"/>
        </w:rPr>
        <w:t>建设要求</w:t>
      </w:r>
    </w:p>
    <w:p w14:paraId="551BB2AC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（一）遵循“经济实用、布局合理、节能环保、整洁美观”的原则，综合考虑货车</w:t>
      </w:r>
      <w:r>
        <w:rPr>
          <w:rFonts w:hint="eastAsia" w:ascii="Times New Roman" w:hAnsi="Times New Roman" w:eastAsia="仿宋_GB2312"/>
          <w:sz w:val="32"/>
          <w:szCs w:val="32"/>
        </w:rPr>
        <w:t>司机</w:t>
      </w:r>
      <w:r>
        <w:rPr>
          <w:rFonts w:ascii="Times New Roman" w:hAnsi="Times New Roman" w:eastAsia="仿宋_GB2312"/>
          <w:sz w:val="32"/>
          <w:szCs w:val="32"/>
        </w:rPr>
        <w:t>集散特点、服务设施基础条件、行车安全和环境影响等因素确定建设规模，鼓励依托现有高速公路服务区设施进行建设。</w:t>
      </w:r>
    </w:p>
    <w:p w14:paraId="5260A97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（二）设置停车、休息、就餐、热水、淋浴、洗衣、如厕等服务功能区，鼓励设置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便利店、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加油充电、车辆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维修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、应急救援、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政务办理</w:t>
      </w:r>
      <w:r>
        <w:rPr>
          <w:rFonts w:ascii="Times New Roman" w:hAnsi="Times New Roman" w:eastAsia="仿宋_GB2312"/>
          <w:sz w:val="32"/>
          <w:szCs w:val="32"/>
        </w:rPr>
        <w:t>等服务功能区。</w:t>
      </w:r>
    </w:p>
    <w:p w14:paraId="6BD54BDF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（三）服务功能区应设立指示标志和标线，引导类标志标线应保持连续性</w:t>
      </w:r>
      <w:r>
        <w:rPr>
          <w:rFonts w:hint="eastAsia" w:ascii="Times New Roman" w:hAnsi="Times New Roman" w:eastAsia="仿宋_GB2312"/>
          <w:sz w:val="32"/>
          <w:szCs w:val="32"/>
        </w:rPr>
        <w:t>，道路和停车标志标线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应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符合《道路交通标志和标线》（GB 5768）等国家标准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要求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70472611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（四）符合消防、卫生、节能、环保等国家相关法律法规的要求。</w:t>
      </w:r>
    </w:p>
    <w:p w14:paraId="22D4343C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（五）鼓励结合当地自然和人文环境特色，加强主题和特色服务建设。</w:t>
      </w:r>
    </w:p>
    <w:p w14:paraId="618C2B71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（六）应在所依托的建设场所入口等明显区域及“司机之家”服务区域设置“司机之家”标志标识。</w:t>
      </w:r>
    </w:p>
    <w:p w14:paraId="6AB25C32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2447925" cy="2286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drawing>
          <wp:inline distT="0" distB="0" distL="114300" distR="114300">
            <wp:extent cx="2381250" cy="2219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53726" t="7736" b="1521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AD7B">
      <w:pPr>
        <w:pStyle w:val="7"/>
        <w:widowControl w:val="0"/>
        <w:overflowPunct w:val="0"/>
        <w:spacing w:before="159" w:after="159"/>
        <w:ind w:firstLine="210" w:firstLineChars="1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附图1 “司机之家”标志标识比例要求      附图2 “司机之家”标志标识最小比例限定</w:t>
      </w:r>
    </w:p>
    <w:p w14:paraId="64FC6EEB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448300" cy="1152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r="696" b="6610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5BB3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C=78，M=30，Y=63，K=0</w:t>
      </w:r>
    </w:p>
    <w:p w14:paraId="1041DB78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PANTONE 7723C</w:t>
      </w:r>
    </w:p>
    <w:p w14:paraId="24B05A4F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457825" cy="1076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t="53221" r="522" b="1512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DF1C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C=3，M=28，Y=71，K=0</w:t>
      </w:r>
    </w:p>
    <w:p w14:paraId="237F6639">
      <w:pPr>
        <w:pStyle w:val="7"/>
        <w:widowControl w:val="0"/>
        <w:overflowPunct w:val="0"/>
        <w:spacing w:before="159" w:after="159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PANTONE 141C</w:t>
      </w:r>
    </w:p>
    <w:p w14:paraId="72E9D646">
      <w:pPr>
        <w:pStyle w:val="7"/>
        <w:widowControl w:val="0"/>
        <w:overflowPunct w:val="0"/>
        <w:spacing w:before="159" w:after="159"/>
        <w:ind w:firstLine="1470" w:firstLineChars="700"/>
        <w:jc w:val="center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附图3 “司机之家”标志标识颜色值要求</w:t>
      </w:r>
    </w:p>
    <w:p w14:paraId="3164C190">
      <w:pPr>
        <w:overflowPunct w:val="0"/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 w14:paraId="25174FF1">
      <w:pPr>
        <w:overflowPunct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三、高速公路服务区“司机之家”</w:t>
      </w:r>
      <w:r>
        <w:rPr>
          <w:rFonts w:hint="eastAsia" w:ascii="Times New Roman" w:hAnsi="Times New Roman" w:eastAsia="黑体"/>
          <w:sz w:val="32"/>
          <w:szCs w:val="32"/>
        </w:rPr>
        <w:t>规范化服务</w:t>
      </w:r>
      <w:r>
        <w:rPr>
          <w:rFonts w:ascii="Times New Roman" w:hAnsi="Times New Roman" w:eastAsia="黑体"/>
          <w:sz w:val="32"/>
          <w:szCs w:val="32"/>
        </w:rPr>
        <w:t>要求</w:t>
      </w:r>
    </w:p>
    <w:p w14:paraId="05B95495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高速公路服务区</w:t>
      </w:r>
      <w:r>
        <w:rPr>
          <w:rFonts w:ascii="Times New Roman" w:hAnsi="Times New Roman" w:eastAsia="仿宋_GB2312"/>
          <w:sz w:val="32"/>
          <w:szCs w:val="32"/>
        </w:rPr>
        <w:t>“司机之家”应</w:t>
      </w:r>
      <w:r>
        <w:rPr>
          <w:rFonts w:hint="eastAsia" w:ascii="Times New Roman" w:hAnsi="Times New Roman" w:eastAsia="仿宋_GB2312"/>
          <w:sz w:val="32"/>
          <w:szCs w:val="32"/>
        </w:rPr>
        <w:t>提升</w:t>
      </w:r>
      <w:r>
        <w:rPr>
          <w:rFonts w:ascii="Times New Roman" w:hAnsi="Times New Roman" w:eastAsia="仿宋_GB2312"/>
          <w:sz w:val="32"/>
          <w:szCs w:val="32"/>
        </w:rPr>
        <w:t>停车休息、热水</w:t>
      </w:r>
      <w:r>
        <w:rPr>
          <w:rFonts w:hint="eastAsia" w:ascii="Times New Roman" w:hAnsi="Times New Roman" w:eastAsia="仿宋_GB2312"/>
          <w:sz w:val="32"/>
          <w:szCs w:val="32"/>
        </w:rPr>
        <w:t>供应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饭菜加热、</w:t>
      </w:r>
      <w:r>
        <w:rPr>
          <w:rFonts w:ascii="Times New Roman" w:hAnsi="Times New Roman" w:eastAsia="仿宋_GB2312"/>
          <w:sz w:val="32"/>
          <w:szCs w:val="32"/>
        </w:rPr>
        <w:t>淋浴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洗衣等</w:t>
      </w:r>
      <w:r>
        <w:rPr>
          <w:rFonts w:hint="eastAsia" w:ascii="Times New Roman" w:hAnsi="Times New Roman" w:eastAsia="仿宋_GB2312"/>
          <w:sz w:val="32"/>
          <w:szCs w:val="32"/>
        </w:rPr>
        <w:t>基本服务规范化水平，为货车司机提供免费服务。</w:t>
      </w:r>
    </w:p>
    <w:p w14:paraId="1F3CA13D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（一）停车服务。</w:t>
      </w:r>
    </w:p>
    <w:p w14:paraId="4A246CC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1.停车区应设置货车专用停车位。</w:t>
      </w:r>
    </w:p>
    <w:p w14:paraId="2BB822A8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2.车位以标线划分，标线应清晰、醒目，停车位数量宜不低于表1要求。</w:t>
      </w:r>
    </w:p>
    <w:p w14:paraId="796C3F4D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3.停车区路面应进行硬化处理，设置照明设施设备。</w:t>
      </w:r>
    </w:p>
    <w:p w14:paraId="6E7D6FF2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4.停车区应设置24小时视频监控，监控无盲区，监控系统分辨率不应低于720×1080</w:t>
      </w:r>
      <w:bookmarkStart w:id="0" w:name="hmcheck_d4fe8a6953ff4649aa44b9e6cf0c788c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ppi</w:t>
      </w:r>
      <w:bookmarkEnd w:id="0"/>
      <w:r>
        <w:rPr>
          <w:rFonts w:ascii="Times New Roman" w:hAnsi="Times New Roman" w:eastAsia="仿宋_GB2312"/>
          <w:sz w:val="32"/>
          <w:szCs w:val="32"/>
        </w:rPr>
        <w:t>，图像监视及回放显示清晰、稳定，视频存储时间不少于30天。</w:t>
      </w:r>
    </w:p>
    <w:p w14:paraId="362B3367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5.停车区应建立巡检制度，保障停车安全。</w:t>
      </w:r>
    </w:p>
    <w:p w14:paraId="5385453E">
      <w:pPr>
        <w:overflowPunct w:val="0"/>
        <w:spacing w:before="159" w:beforeLines="50" w:after="159" w:afterLines="50"/>
        <w:jc w:val="center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表1停车位数量要求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092"/>
      </w:tblGrid>
      <w:tr w14:paraId="214B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75" w:type="dxa"/>
            <w:noWrap w:val="0"/>
            <w:vAlign w:val="center"/>
          </w:tcPr>
          <w:p w14:paraId="308B23AA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日均驶入货车流量</w:t>
            </w:r>
          </w:p>
          <w:p w14:paraId="4E68BF9C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（车/日）</w:t>
            </w:r>
          </w:p>
        </w:tc>
        <w:tc>
          <w:tcPr>
            <w:tcW w:w="6092" w:type="dxa"/>
            <w:noWrap w:val="0"/>
            <w:vAlign w:val="center"/>
          </w:tcPr>
          <w:p w14:paraId="1F7EC4F6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vertAlign w:val="superscript"/>
                <w:lang w:val="en"/>
              </w:rPr>
            </w:pPr>
            <w:r>
              <w:rPr>
                <w:rFonts w:ascii="Times New Roman" w:hAnsi="Times New Roman" w:eastAsia="仿宋_GB2312"/>
                <w:sz w:val="24"/>
              </w:rPr>
              <w:t>停车位数量（个）</w:t>
            </w:r>
          </w:p>
        </w:tc>
      </w:tr>
      <w:tr w14:paraId="4A20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75" w:type="dxa"/>
            <w:noWrap w:val="0"/>
            <w:vAlign w:val="center"/>
          </w:tcPr>
          <w:p w14:paraId="3E229B98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600</w:t>
            </w:r>
            <w:r>
              <w:rPr>
                <w:rFonts w:hint="eastAsia" w:ascii="Times New Roman" w:hAnsi="Times New Roman" w:eastAsia="仿宋_GB2312"/>
                <w:sz w:val="24"/>
              </w:rPr>
              <w:t>以下</w:t>
            </w:r>
          </w:p>
        </w:tc>
        <w:tc>
          <w:tcPr>
            <w:tcW w:w="6092" w:type="dxa"/>
            <w:noWrap w:val="0"/>
            <w:vAlign w:val="top"/>
          </w:tcPr>
          <w:p w14:paraId="1C9D4E02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</w:tr>
      <w:tr w14:paraId="4F37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275" w:type="dxa"/>
            <w:noWrap w:val="0"/>
            <w:vAlign w:val="center"/>
          </w:tcPr>
          <w:p w14:paraId="3BFDEE19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600以上</w:t>
            </w:r>
          </w:p>
        </w:tc>
        <w:tc>
          <w:tcPr>
            <w:tcW w:w="6092" w:type="dxa"/>
            <w:noWrap w:val="0"/>
            <w:vAlign w:val="top"/>
          </w:tcPr>
          <w:p w14:paraId="1515765D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</w:t>
            </w:r>
          </w:p>
        </w:tc>
      </w:tr>
    </w:tbl>
    <w:p w14:paraId="4D2C1CE8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（二）休息服务。</w:t>
      </w:r>
    </w:p>
    <w:p w14:paraId="2CB2D156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1.休息区应配置座椅、躺椅或沙发等供司机坐或躺靠的设施设备。</w:t>
      </w:r>
    </w:p>
    <w:p w14:paraId="0CE5EBC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2.休息区应安静整洁、通风良好、温度适中，设施设备齐全完好。</w:t>
      </w:r>
    </w:p>
    <w:p w14:paraId="49F29EF6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3.休息位数量宜不低于表2要求。</w:t>
      </w:r>
    </w:p>
    <w:p w14:paraId="753E7A94">
      <w:pPr>
        <w:overflowPunct w:val="0"/>
        <w:spacing w:before="159" w:beforeLines="50" w:after="159" w:afterLines="50"/>
        <w:jc w:val="center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表2 休息位数量要求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007"/>
      </w:tblGrid>
      <w:tr w14:paraId="1C5E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96" w:type="dxa"/>
            <w:noWrap w:val="0"/>
            <w:vAlign w:val="center"/>
          </w:tcPr>
          <w:p w14:paraId="5C7E7874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日均驶入货车流量</w:t>
            </w:r>
          </w:p>
          <w:p w14:paraId="15F8DCEF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（车/日）</w:t>
            </w:r>
          </w:p>
        </w:tc>
        <w:tc>
          <w:tcPr>
            <w:tcW w:w="6007" w:type="dxa"/>
            <w:noWrap w:val="0"/>
            <w:vAlign w:val="center"/>
          </w:tcPr>
          <w:p w14:paraId="66629D37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休息位数量（个）</w:t>
            </w:r>
          </w:p>
        </w:tc>
      </w:tr>
      <w:tr w14:paraId="6BA0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96" w:type="dxa"/>
            <w:noWrap w:val="0"/>
            <w:vAlign w:val="center"/>
          </w:tcPr>
          <w:p w14:paraId="71FA6E2E">
            <w:pPr>
              <w:overflowPunct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600</w:t>
            </w:r>
            <w:r>
              <w:rPr>
                <w:rFonts w:hint="eastAsia" w:ascii="Times New Roman" w:hAnsi="Times New Roman" w:eastAsia="仿宋_GB2312"/>
                <w:sz w:val="24"/>
              </w:rPr>
              <w:t>以下</w:t>
            </w:r>
          </w:p>
        </w:tc>
        <w:tc>
          <w:tcPr>
            <w:tcW w:w="6007" w:type="dxa"/>
            <w:noWrap w:val="0"/>
            <w:vAlign w:val="bottom"/>
          </w:tcPr>
          <w:p w14:paraId="002860C1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</w:tr>
      <w:tr w14:paraId="6870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296" w:type="dxa"/>
            <w:noWrap w:val="0"/>
            <w:vAlign w:val="center"/>
          </w:tcPr>
          <w:p w14:paraId="03609F7B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600以上</w:t>
            </w:r>
          </w:p>
        </w:tc>
        <w:tc>
          <w:tcPr>
            <w:tcW w:w="6007" w:type="dxa"/>
            <w:noWrap w:val="0"/>
            <w:vAlign w:val="bottom"/>
          </w:tcPr>
          <w:p w14:paraId="1D95E5FE"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</w:tr>
    </w:tbl>
    <w:p w14:paraId="366ECCBF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（三）就餐服务。</w:t>
      </w:r>
    </w:p>
    <w:p w14:paraId="3984E9E0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1.应提供就餐服务设施，并提供24小时开水，就餐位数量应满足就餐需求。</w:t>
      </w:r>
    </w:p>
    <w:p w14:paraId="1D3BF27D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2.应配置微波炉等加热设备，具备条件的可设置共享厨房，并提供自助服务。</w:t>
      </w:r>
    </w:p>
    <w:p w14:paraId="1A7C29F2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3.就餐区应保持整洁通风、卫生整洁、设施设备齐全完好。</w:t>
      </w:r>
    </w:p>
    <w:p w14:paraId="6CAFFE18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4.应在就餐区设置“禁止酒后驾驶”等安全文明规范驾驶的宣传标志标识。</w:t>
      </w:r>
    </w:p>
    <w:p w14:paraId="52A8E397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（四）淋浴服务。</w:t>
      </w:r>
    </w:p>
    <w:p w14:paraId="18A8ED6D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1.应设置淋浴间，淋浴间标识清晰、醒目</w:t>
      </w:r>
      <w:r>
        <w:rPr>
          <w:rFonts w:hint="eastAsia" w:ascii="Times New Roman" w:hAnsi="Times New Roman" w:eastAsia="仿宋_GB2312"/>
          <w:sz w:val="32"/>
          <w:szCs w:val="32"/>
        </w:rPr>
        <w:t>，标识男、女淋浴间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7B86132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2.淋浴间应温度适中、水温适宜、照明良好、地面防滑，并配备储物柜等设施。</w:t>
      </w:r>
    </w:p>
    <w:p w14:paraId="76A40945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3.淋浴位数量不低于2个。</w:t>
      </w:r>
    </w:p>
    <w:p w14:paraId="12D890F5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4.淋浴免费时长不低于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0分钟。</w:t>
      </w:r>
    </w:p>
    <w:p w14:paraId="02CECD19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（五）洗衣服务。</w:t>
      </w:r>
    </w:p>
    <w:p w14:paraId="72BCED61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1.应提供洗衣机、洗衣台等洗衣设施设备及场地</w:t>
      </w:r>
      <w:r>
        <w:rPr>
          <w:rFonts w:hint="eastAsia" w:ascii="Times New Roman" w:hAnsi="Times New Roman" w:eastAsia="仿宋_GB2312"/>
          <w:sz w:val="32"/>
          <w:szCs w:val="32"/>
        </w:rPr>
        <w:t>，结合本地实际视情</w:t>
      </w:r>
      <w:r>
        <w:rPr>
          <w:rFonts w:ascii="Times New Roman" w:hAnsi="Times New Roman" w:eastAsia="仿宋_GB2312"/>
          <w:sz w:val="32"/>
          <w:szCs w:val="32"/>
        </w:rPr>
        <w:t>配置烘干机。</w:t>
      </w:r>
    </w:p>
    <w:p w14:paraId="480A917A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2.洗衣机数量不低于2台。</w:t>
      </w:r>
    </w:p>
    <w:p w14:paraId="48B19FA3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相关设施设备及场地</w:t>
      </w:r>
      <w:r>
        <w:rPr>
          <w:rFonts w:ascii="Times New Roman" w:hAnsi="Times New Roman" w:eastAsia="仿宋_GB2312"/>
          <w:sz w:val="32"/>
          <w:szCs w:val="32"/>
        </w:rPr>
        <w:t>应定期消毒并保障设备正常使用。</w:t>
      </w:r>
    </w:p>
    <w:p w14:paraId="672704CD">
      <w:pPr>
        <w:overflowPunct w:val="0"/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（六）如厕服务。</w:t>
      </w:r>
    </w:p>
    <w:p w14:paraId="58A8F38F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应设置卫生间，卫生间标识清晰、醒目。</w:t>
      </w:r>
    </w:p>
    <w:p w14:paraId="67F9EBE8">
      <w:pPr>
        <w:overflowPunct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2.鼓励</w:t>
      </w:r>
      <w:r>
        <w:rPr>
          <w:rFonts w:ascii="Times New Roman" w:hAnsi="Times New Roman" w:eastAsia="仿宋_GB2312"/>
          <w:sz w:val="32"/>
          <w:szCs w:val="32"/>
        </w:rPr>
        <w:t>使用自动冲水设施，并满足节水要求。</w:t>
      </w:r>
    </w:p>
    <w:p w14:paraId="16F26DE6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3.卫生间</w:t>
      </w:r>
      <w:r>
        <w:rPr>
          <w:rFonts w:ascii="Times New Roman" w:hAnsi="Times New Roman" w:eastAsia="仿宋_GB2312"/>
          <w:sz w:val="32"/>
          <w:szCs w:val="32"/>
        </w:rPr>
        <w:t>应干净整洁、通风良好</w:t>
      </w:r>
      <w:r>
        <w:rPr>
          <w:rFonts w:hint="eastAsia" w:ascii="Times New Roman" w:hAnsi="Times New Roman" w:eastAsia="仿宋_GB2312"/>
          <w:sz w:val="32"/>
          <w:szCs w:val="32"/>
        </w:rPr>
        <w:t>、地面防滑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设施设备齐全完好。</w:t>
      </w:r>
    </w:p>
    <w:p w14:paraId="1D6E92A8">
      <w:pPr>
        <w:overflowPunct w:val="0"/>
        <w:spacing w:line="58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七</w:t>
      </w:r>
      <w:r>
        <w:rPr>
          <w:rFonts w:ascii="Times New Roman" w:hAnsi="Times New Roman" w:eastAsia="楷体"/>
          <w:sz w:val="32"/>
          <w:szCs w:val="32"/>
        </w:rPr>
        <w:t>）其他服务。</w:t>
      </w:r>
    </w:p>
    <w:p w14:paraId="5AA2AD07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1.鼓励提供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车货无忧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、先行垫付等多种形式的保险服务。</w:t>
      </w:r>
    </w:p>
    <w:p w14:paraId="5CE3CECF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2.鼓励提供加油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气</w:t>
      </w:r>
      <w:bookmarkStart w:id="1" w:name="hmcheck_e0f44d7333854c33bd807963e930aee0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）</w:t>
      </w:r>
      <w:bookmarkEnd w:id="1"/>
      <w:r>
        <w:rPr>
          <w:rFonts w:ascii="Times New Roman" w:hAnsi="Times New Roman" w:eastAsia="仿宋_GB2312"/>
          <w:sz w:val="32"/>
          <w:szCs w:val="32"/>
        </w:rPr>
        <w:t>充</w:t>
      </w:r>
      <w:bookmarkStart w:id="2" w:name="hmcheck_3afdb2a0588f4168809d9770e9941ba8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</w:t>
      </w:r>
      <w:bookmarkEnd w:id="2"/>
      <w:r>
        <w:rPr>
          <w:rFonts w:ascii="Times New Roman" w:hAnsi="Times New Roman" w:eastAsia="仿宋_GB2312"/>
          <w:sz w:val="32"/>
          <w:szCs w:val="32"/>
        </w:rPr>
        <w:t>换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电、车辆维修、应急救援、ETC办理、金融贷款等与货车驾驶员从业、生活相关的服务。</w:t>
      </w:r>
    </w:p>
    <w:p w14:paraId="241D9E34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鼓励</w:t>
      </w:r>
      <w:r>
        <w:rPr>
          <w:rFonts w:ascii="Times New Roman" w:hAnsi="Times New Roman" w:eastAsia="仿宋_GB2312"/>
          <w:sz w:val="32"/>
          <w:szCs w:val="32"/>
        </w:rPr>
        <w:t>设置</w:t>
      </w:r>
      <w:r>
        <w:rPr>
          <w:rFonts w:hint="eastAsia" w:ascii="Times New Roman" w:hAnsi="Times New Roman" w:eastAsia="仿宋_GB2312"/>
          <w:sz w:val="32"/>
          <w:szCs w:val="32"/>
        </w:rPr>
        <w:t>免费</w:t>
      </w:r>
      <w:bookmarkStart w:id="3" w:name="hmcheck_ed77005926a84ac59f6617c1b3bc8d34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WiFi</w:t>
      </w:r>
      <w:bookmarkEnd w:id="3"/>
      <w:r>
        <w:rPr>
          <w:rFonts w:ascii="Times New Roman" w:hAnsi="Times New Roman" w:eastAsia="仿宋_GB2312"/>
          <w:sz w:val="32"/>
          <w:szCs w:val="32"/>
        </w:rPr>
        <w:t>，连接方式、密码要明显标示，保证设备运行良好。</w:t>
      </w:r>
    </w:p>
    <w:p w14:paraId="6D255C7B">
      <w:pPr>
        <w:overflowPunct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四、高速公路服务区“司机之家”管理要求</w:t>
      </w:r>
    </w:p>
    <w:p w14:paraId="4D81B000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）应根据服务要求制定相应管理制度，配备管理和服务人员，保障服务质量。</w:t>
      </w:r>
    </w:p>
    <w:p w14:paraId="745CF73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）应在显著位置设置监督公示栏，</w:t>
      </w:r>
      <w:r>
        <w:rPr>
          <w:rFonts w:hint="eastAsia" w:ascii="Times New Roman" w:hAnsi="Times New Roman" w:eastAsia="仿宋_GB2312"/>
          <w:sz w:val="32"/>
          <w:szCs w:val="32"/>
        </w:rPr>
        <w:t>宣介“司机之家”服务内容，</w:t>
      </w:r>
      <w:r>
        <w:rPr>
          <w:rFonts w:ascii="Times New Roman" w:hAnsi="Times New Roman" w:eastAsia="仿宋_GB2312"/>
          <w:sz w:val="32"/>
          <w:szCs w:val="32"/>
        </w:rPr>
        <w:t>公开服务承诺、服务内容、运营时间、经营性服务项目及收费标准、监督电话等信息。</w:t>
      </w:r>
    </w:p>
    <w:p w14:paraId="2EF05364">
      <w:pPr>
        <w:overflowPunct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（三）应在显著位置设置“职工之家”APP演示终端，宣传面向货车司机的工会服务，引导货车司机加入工会。利用“司机之家”内的多媒体终端，宣传货车司机先进人物和典型事迹，弘扬行业正能量。</w:t>
      </w:r>
    </w:p>
    <w:p w14:paraId="21F4EE93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（四）应主动接受并积极配合相关行业管理部门的</w:t>
      </w:r>
      <w:r>
        <w:rPr>
          <w:rFonts w:hint="eastAsia" w:ascii="Times New Roman" w:hAnsi="Times New Roman" w:eastAsia="仿宋_GB2312"/>
          <w:sz w:val="32"/>
          <w:szCs w:val="32"/>
        </w:rPr>
        <w:t>服务质量</w:t>
      </w:r>
      <w:r>
        <w:rPr>
          <w:rFonts w:ascii="Times New Roman" w:hAnsi="Times New Roman" w:eastAsia="仿宋_GB2312"/>
          <w:sz w:val="32"/>
          <w:szCs w:val="32"/>
        </w:rPr>
        <w:t>监测评估。</w:t>
      </w:r>
    </w:p>
    <w:p w14:paraId="56C5ACDF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ascii="Times New Roman" w:hAnsi="Times New Roman" w:eastAsia="仿宋_GB2312"/>
          <w:sz w:val="32"/>
          <w:szCs w:val="32"/>
        </w:rPr>
        <w:t>（五）应及时在线上“司机之家”小程序和“</w:t>
      </w:r>
      <w:r>
        <w:rPr>
          <w:rFonts w:hint="eastAsia" w:ascii="Times New Roman" w:hAnsi="Times New Roman" w:eastAsia="仿宋_GB2312"/>
          <w:sz w:val="32"/>
          <w:szCs w:val="32"/>
        </w:rPr>
        <w:t>职工之家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APP“服务站点地图”</w:t>
      </w:r>
      <w:r>
        <w:rPr>
          <w:rFonts w:ascii="Times New Roman" w:hAnsi="Times New Roman" w:eastAsia="仿宋_GB2312"/>
          <w:sz w:val="32"/>
          <w:szCs w:val="32"/>
        </w:rPr>
        <w:t>专栏上完善相关信息。</w:t>
      </w:r>
    </w:p>
    <w:p w14:paraId="428595EA">
      <w:pPr>
        <w:overflowPunct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A94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E1608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1608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B2EE1"/>
    <w:multiLevelType w:val="singleLevel"/>
    <w:tmpl w:val="727B2E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6242"/>
    <w:rsid w:val="00585B88"/>
    <w:rsid w:val="00F829F3"/>
    <w:rsid w:val="1E7E4E73"/>
    <w:rsid w:val="7FEF6242"/>
    <w:rsid w:val="E7B64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50" w:afterLines="50"/>
      <w:ind w:firstLine="420" w:firstLineChars="200"/>
      <w:jc w:val="both"/>
    </w:pPr>
    <w:rPr>
      <w:rFonts w:ascii="宋体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1760</Words>
  <Characters>1864</Characters>
  <Lines>14</Lines>
  <Paragraphs>3</Paragraphs>
  <TotalTime>0</TotalTime>
  <ScaleCrop>false</ScaleCrop>
  <LinksUpToDate>false</LinksUpToDate>
  <CharactersWithSpaces>1901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2025-05-29T17:36:00Z</dcterms:created>
  <dc:creator>mengwj</dc:creator>
  <cp:lastModifiedBy>HHH</cp:lastModifiedBy>
  <dcterms:modified xsi:type="dcterms:W3CDTF">2025-06-03T01:28:03Z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2BEE10772BF04293A55EFEB02804FC01_13</vt:lpwstr>
  </property>
</Properties>
</file>