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BC01A">
      <w:pPr>
        <w:pStyle w:val="3"/>
        <w:ind w:firstLine="0" w:firstLineChars="0"/>
      </w:pPr>
      <w:r>
        <w:t>附件1</w:t>
      </w:r>
    </w:p>
    <w:p w14:paraId="162FDDE5">
      <w:pPr>
        <w:ind w:firstLine="640"/>
      </w:pPr>
      <w:r>
        <w:t xml:space="preserve"> </w:t>
      </w:r>
    </w:p>
    <w:p w14:paraId="4E31DB9F">
      <w:pPr>
        <w:pStyle w:val="2"/>
      </w:pPr>
      <w:r>
        <w:t>××县绿色种养循环农业试点总结自评报告</w:t>
      </w:r>
    </w:p>
    <w:p w14:paraId="11AA3288">
      <w:pPr>
        <w:pStyle w:val="33"/>
        <w:autoSpaceDE w:val="0"/>
        <w:spacing w:before="60" w:beforeLines="25" w:line="579" w:lineRule="atLeast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hAnsi="Times New Roman" w:cs="Times New Roman"/>
        </w:rPr>
        <w:t>（样式）</w:t>
      </w:r>
    </w:p>
    <w:p w14:paraId="00F99F8C">
      <w:pPr>
        <w:spacing w:line="560" w:lineRule="atLeast"/>
        <w:ind w:firstLine="640"/>
      </w:pPr>
      <w:r>
        <w:t xml:space="preserve"> </w:t>
      </w:r>
    </w:p>
    <w:p w14:paraId="3ABC729A">
      <w:pPr>
        <w:pStyle w:val="3"/>
        <w:spacing w:line="560" w:lineRule="atLeast"/>
        <w:ind w:firstLine="640"/>
      </w:pPr>
      <w:r>
        <w:t>一、综合评估结论</w:t>
      </w:r>
    </w:p>
    <w:p w14:paraId="37FCD49B">
      <w:pPr>
        <w:spacing w:line="560" w:lineRule="atLeast"/>
        <w:ind w:firstLine="640"/>
      </w:pPr>
      <w:r>
        <w:t>简要阐述项目整体执行情况。</w:t>
      </w:r>
    </w:p>
    <w:p w14:paraId="76FAF2B6">
      <w:pPr>
        <w:spacing w:line="560" w:lineRule="atLeast"/>
        <w:ind w:firstLine="640"/>
      </w:pPr>
      <w:r>
        <w:t>对照绿色种养循环农业试点评估评分表，××县总结自评得分××分。</w:t>
      </w:r>
    </w:p>
    <w:p w14:paraId="07EA836A">
      <w:pPr>
        <w:pStyle w:val="3"/>
        <w:spacing w:line="560" w:lineRule="atLeast"/>
        <w:ind w:firstLine="640"/>
      </w:pPr>
      <w:r>
        <w:t>二、绩效情况分析</w:t>
      </w:r>
    </w:p>
    <w:p w14:paraId="6DC18906">
      <w:pPr>
        <w:pStyle w:val="4"/>
        <w:spacing w:line="560" w:lineRule="atLeast"/>
        <w:ind w:firstLine="643"/>
      </w:pPr>
      <w:r>
        <w:t>（一）机制创建情况分析</w:t>
      </w:r>
    </w:p>
    <w:p w14:paraId="6AD370C5">
      <w:pPr>
        <w:spacing w:line="560" w:lineRule="atLeast"/>
        <w:ind w:firstLine="643"/>
      </w:pPr>
      <w:r>
        <w:rPr>
          <w:b/>
          <w:bCs/>
        </w:rPr>
        <w:t>1.粪肥还田运行服务模式（8分）。</w:t>
      </w:r>
      <w:r>
        <w:t>得××分，项目形成的粪肥还田运行服务模式。</w:t>
      </w:r>
    </w:p>
    <w:p w14:paraId="2B9AE075">
      <w:pPr>
        <w:spacing w:line="560" w:lineRule="atLeast"/>
        <w:ind w:firstLine="643"/>
      </w:pPr>
      <w:r>
        <w:rPr>
          <w:b/>
          <w:bCs/>
        </w:rPr>
        <w:t>2.种养结合机制（8分）。</w:t>
      </w:r>
      <w:r>
        <w:t>得××分，适用于不同规模的种养结合机制建立情况。</w:t>
      </w:r>
    </w:p>
    <w:p w14:paraId="7EB7CB23">
      <w:pPr>
        <w:spacing w:line="560" w:lineRule="atLeast"/>
        <w:ind w:firstLine="643"/>
      </w:pPr>
      <w:r>
        <w:rPr>
          <w:b/>
          <w:bCs/>
        </w:rPr>
        <w:t>3.利益联结机制（8分）。</w:t>
      </w:r>
      <w:r>
        <w:t>得××分，分类补贴标准，服务主体运行成本、盈利等利益联结机制建立情况。</w:t>
      </w:r>
    </w:p>
    <w:p w14:paraId="13090C86">
      <w:pPr>
        <w:spacing w:line="560" w:lineRule="atLeast"/>
        <w:ind w:firstLine="643"/>
      </w:pPr>
      <w:r>
        <w:rPr>
          <w:b/>
          <w:bCs/>
        </w:rPr>
        <w:t>4.全过程监控机制（8分）。</w:t>
      </w:r>
      <w:r>
        <w:t>得××分，粪污收集、运输、处理、粪肥施用及粪肥质量进行全过程监控机制建立情况。</w:t>
      </w:r>
    </w:p>
    <w:p w14:paraId="342A7426">
      <w:pPr>
        <w:pStyle w:val="4"/>
        <w:spacing w:line="560" w:lineRule="atLeast"/>
        <w:ind w:firstLine="643"/>
      </w:pPr>
      <w:r>
        <w:t>（二）服务主体培育情况分析</w:t>
      </w:r>
    </w:p>
    <w:p w14:paraId="38528EB9">
      <w:pPr>
        <w:spacing w:line="560" w:lineRule="atLeast"/>
        <w:ind w:firstLine="643"/>
      </w:pPr>
      <w:r>
        <w:rPr>
          <w:b/>
          <w:bCs/>
        </w:rPr>
        <w:t>1.科学遴选（6分）。</w:t>
      </w:r>
      <w:r>
        <w:t>得××分，服务主体遴选标准、遴选流程等。</w:t>
      </w:r>
    </w:p>
    <w:p w14:paraId="4A583070">
      <w:pPr>
        <w:spacing w:line="550" w:lineRule="atLeast"/>
        <w:ind w:firstLine="643"/>
      </w:pPr>
      <w:r>
        <w:rPr>
          <w:b/>
          <w:bCs/>
        </w:rPr>
        <w:t>2.建立台账制度（6分）。</w:t>
      </w:r>
      <w:r>
        <w:t>得××分，粪肥还田社会化服务主体档案和粪肥还田服务台账建立情况。</w:t>
      </w:r>
    </w:p>
    <w:p w14:paraId="686A9EFC">
      <w:pPr>
        <w:spacing w:line="550" w:lineRule="atLeast"/>
        <w:ind w:firstLine="643"/>
      </w:pPr>
      <w:r>
        <w:rPr>
          <w:b/>
          <w:bCs/>
        </w:rPr>
        <w:t>3.建立考核制度（6分）。</w:t>
      </w:r>
      <w:r>
        <w:t>得××分，服务主体考核制度建立，对服务主体动态管理情况。</w:t>
      </w:r>
    </w:p>
    <w:p w14:paraId="69EEA3F6">
      <w:pPr>
        <w:spacing w:line="550" w:lineRule="atLeast"/>
        <w:ind w:firstLine="643"/>
      </w:pPr>
      <w:r>
        <w:rPr>
          <w:b/>
          <w:bCs/>
        </w:rPr>
        <w:t>4.服务能力提升（6分）。</w:t>
      </w:r>
      <w:r>
        <w:t>得××分，服务主体规模、人员数量、机械装备、服务能力及服务质量的提升情况。</w:t>
      </w:r>
    </w:p>
    <w:p w14:paraId="723D59B1">
      <w:pPr>
        <w:pStyle w:val="4"/>
        <w:spacing w:line="550" w:lineRule="atLeast"/>
        <w:ind w:firstLine="643"/>
      </w:pPr>
      <w:r>
        <w:t>（三）实施效果情况分析</w:t>
      </w:r>
    </w:p>
    <w:p w14:paraId="319B1F49">
      <w:pPr>
        <w:spacing w:line="550" w:lineRule="atLeast"/>
        <w:ind w:firstLine="643"/>
      </w:pPr>
      <w:r>
        <w:rPr>
          <w:b/>
          <w:bCs/>
        </w:rPr>
        <w:t>1.实施效果分析（8分）。</w:t>
      </w:r>
      <w:r>
        <w:t>得××分，畜禽粪污收集处理量、粪肥还田量、还田面积、化肥减量、土壤有机质提升、作物产量品质提升等。</w:t>
      </w:r>
    </w:p>
    <w:p w14:paraId="2215ADC6">
      <w:pPr>
        <w:spacing w:line="550" w:lineRule="atLeast"/>
        <w:ind w:firstLine="643"/>
      </w:pPr>
      <w:r>
        <w:rPr>
          <w:b/>
          <w:bCs/>
        </w:rPr>
        <w:t>2.整县推进情况（8分）。</w:t>
      </w:r>
      <w:r>
        <w:t>得××分，县城粪污产生量、处理量、畜禽粪污综合利用效率等。</w:t>
      </w:r>
    </w:p>
    <w:p w14:paraId="264ED7D8">
      <w:pPr>
        <w:spacing w:line="550" w:lineRule="atLeast"/>
        <w:ind w:firstLine="643"/>
      </w:pPr>
      <w:r>
        <w:rPr>
          <w:b/>
          <w:bCs/>
        </w:rPr>
        <w:t>3.技术模式创新（8分）。</w:t>
      </w:r>
      <w:r>
        <w:t>得××分，针对不同粪肥种类、不同作物，集成有机无机配合的粪肥机械还田主推技术模式筛选集成情况。</w:t>
      </w:r>
    </w:p>
    <w:p w14:paraId="713B5BB6">
      <w:pPr>
        <w:pStyle w:val="4"/>
        <w:spacing w:line="550" w:lineRule="atLeast"/>
        <w:ind w:firstLine="643"/>
      </w:pPr>
      <w:r>
        <w:t>（四）资金情况分析</w:t>
      </w:r>
    </w:p>
    <w:p w14:paraId="052F246A">
      <w:pPr>
        <w:spacing w:line="550" w:lineRule="atLeast"/>
        <w:ind w:firstLine="643"/>
      </w:pPr>
      <w:r>
        <w:rPr>
          <w:b/>
          <w:bCs/>
        </w:rPr>
        <w:t>1.资金到位（3分）。</w:t>
      </w:r>
      <w:r>
        <w:t>得××分，试点资金到位情况。</w:t>
      </w:r>
    </w:p>
    <w:p w14:paraId="71FFE227">
      <w:pPr>
        <w:spacing w:line="550" w:lineRule="atLeast"/>
        <w:ind w:firstLine="643"/>
      </w:pPr>
      <w:r>
        <w:rPr>
          <w:b/>
          <w:bCs/>
        </w:rPr>
        <w:t>2.资金使用（3分）。</w:t>
      </w:r>
      <w:r>
        <w:t xml:space="preserve"> 得××分，试点资金专款专用情况。</w:t>
      </w:r>
    </w:p>
    <w:p w14:paraId="344BC6C8">
      <w:pPr>
        <w:spacing w:line="550" w:lineRule="atLeast"/>
        <w:ind w:firstLine="643"/>
      </w:pPr>
      <w:r>
        <w:rPr>
          <w:b/>
          <w:bCs/>
        </w:rPr>
        <w:t>3.执行进度（14分）。</w:t>
      </w:r>
      <w:r>
        <w:t>得××分，根据农业农村部转移支付管理平台，项目资金支出率×14=××分。</w:t>
      </w:r>
    </w:p>
    <w:p w14:paraId="329C7B8F">
      <w:pPr>
        <w:pStyle w:val="3"/>
        <w:spacing w:line="550" w:lineRule="atLeast"/>
        <w:ind w:firstLine="640"/>
      </w:pPr>
      <w:r>
        <w:t>三、存在的主要问题及下一步工作计划</w:t>
      </w:r>
    </w:p>
    <w:p w14:paraId="6E052DCD">
      <w:pPr>
        <w:spacing w:line="550" w:lineRule="atLeast"/>
        <w:ind w:firstLine="640"/>
      </w:pPr>
      <w:r>
        <w:t xml:space="preserve"> </w:t>
      </w:r>
    </w:p>
    <w:p w14:paraId="4103A439">
      <w:pPr>
        <w:spacing w:line="550" w:lineRule="atLeast"/>
        <w:ind w:firstLine="64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588" w:gutter="0"/>
          <w:cols w:space="720" w:num="1"/>
          <w:docGrid w:linePitch="579" w:charSpace="0"/>
        </w:sectPr>
      </w:pPr>
      <w:r>
        <w:t>附：绿色种养循环农业试点评估评分表和佐证资料</w:t>
      </w:r>
    </w:p>
    <w:p w14:paraId="4049DEBB">
      <w:pPr>
        <w:pStyle w:val="3"/>
        <w:ind w:firstLine="0" w:firstLineChars="0"/>
        <w:rPr>
          <w:rFonts w:hint="eastAsia"/>
        </w:rPr>
      </w:pPr>
      <w:r>
        <w:rPr>
          <w:rFonts w:hint="eastAsia"/>
        </w:rPr>
        <w:t>附</w:t>
      </w:r>
    </w:p>
    <w:p w14:paraId="2A536EA2">
      <w:pPr>
        <w:spacing w:before="60" w:beforeLines="25" w:after="60" w:afterLines="25" w:line="500" w:lineRule="exact"/>
        <w:ind w:firstLine="0" w:firstLineChars="0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color w:val="000000"/>
          <w:sz w:val="36"/>
          <w:szCs w:val="36"/>
        </w:rPr>
        <w:t>绿色种养循环农业试点评估评分表</w:t>
      </w:r>
    </w:p>
    <w:tbl>
      <w:tblPr>
        <w:tblStyle w:val="16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2268"/>
        <w:gridCol w:w="851"/>
        <w:gridCol w:w="8788"/>
      </w:tblGrid>
      <w:tr w14:paraId="0515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1526" w:type="dxa"/>
            <w:noWrap w:val="0"/>
            <w:vAlign w:val="center"/>
          </w:tcPr>
          <w:p w14:paraId="16C5A10A"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一级指标</w:t>
            </w:r>
          </w:p>
        </w:tc>
        <w:tc>
          <w:tcPr>
            <w:tcW w:w="850" w:type="dxa"/>
            <w:noWrap w:val="0"/>
            <w:vAlign w:val="center"/>
          </w:tcPr>
          <w:p w14:paraId="4D4C7716"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分值</w:t>
            </w:r>
          </w:p>
        </w:tc>
        <w:tc>
          <w:tcPr>
            <w:tcW w:w="2268" w:type="dxa"/>
            <w:noWrap w:val="0"/>
            <w:vAlign w:val="center"/>
          </w:tcPr>
          <w:p w14:paraId="57A8088D"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二级指标</w:t>
            </w:r>
          </w:p>
        </w:tc>
        <w:tc>
          <w:tcPr>
            <w:tcW w:w="851" w:type="dxa"/>
            <w:noWrap w:val="0"/>
            <w:vAlign w:val="center"/>
          </w:tcPr>
          <w:p w14:paraId="68786A88"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分值</w:t>
            </w:r>
          </w:p>
        </w:tc>
        <w:tc>
          <w:tcPr>
            <w:tcW w:w="8788" w:type="dxa"/>
            <w:noWrap w:val="0"/>
            <w:vAlign w:val="center"/>
          </w:tcPr>
          <w:p w14:paraId="0B64768C"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评估内容和评分标准</w:t>
            </w:r>
          </w:p>
        </w:tc>
      </w:tr>
      <w:tr w14:paraId="1F46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273481BF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机制创建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5AD54DD0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268" w:type="dxa"/>
            <w:noWrap w:val="0"/>
            <w:vAlign w:val="center"/>
          </w:tcPr>
          <w:p w14:paraId="340D8B03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ascii="仿宋_GB2312"/>
                <w:color w:val="000000"/>
                <w:sz w:val="24"/>
              </w:rPr>
              <w:t>粪肥还田运行服务模式</w:t>
            </w:r>
          </w:p>
        </w:tc>
        <w:tc>
          <w:tcPr>
            <w:tcW w:w="851" w:type="dxa"/>
            <w:noWrap w:val="0"/>
            <w:vAlign w:val="center"/>
          </w:tcPr>
          <w:p w14:paraId="5C7C4EE0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788" w:type="dxa"/>
            <w:noWrap w:val="0"/>
            <w:vAlign w:val="center"/>
          </w:tcPr>
          <w:p w14:paraId="4B7BE986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探索建立可复制可推广的粪肥还田运行服务模式，模式鲜明、简便易行、经济可行，形成典型案例，得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ascii="仿宋_GB2312"/>
                <w:color w:val="000000"/>
                <w:sz w:val="24"/>
              </w:rPr>
              <w:t>分，否则酌情扣分。</w:t>
            </w:r>
          </w:p>
        </w:tc>
      </w:tr>
      <w:tr w14:paraId="50F9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44651C64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C65A8DE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2084843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ascii="仿宋_GB2312"/>
                <w:color w:val="000000"/>
                <w:sz w:val="24"/>
              </w:rPr>
              <w:t>种养结合机制</w:t>
            </w:r>
          </w:p>
        </w:tc>
        <w:tc>
          <w:tcPr>
            <w:tcW w:w="851" w:type="dxa"/>
            <w:noWrap w:val="0"/>
            <w:vAlign w:val="center"/>
          </w:tcPr>
          <w:p w14:paraId="1F548070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788" w:type="dxa"/>
            <w:noWrap w:val="0"/>
            <w:vAlign w:val="center"/>
          </w:tcPr>
          <w:p w14:paraId="20B500A8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根据区域种养布局特点、规模大小，因地制宜分类建立适用于不同规模的种养结合机制，养殖、种植、服务组织签订服务合同，长期稳定紧密合作，得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ascii="仿宋_GB2312"/>
                <w:color w:val="000000"/>
                <w:sz w:val="24"/>
              </w:rPr>
              <w:t>分，否则酌情扣分。</w:t>
            </w:r>
          </w:p>
        </w:tc>
      </w:tr>
      <w:tr w14:paraId="2A59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789A51D9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ECBB9BB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7E16DED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ascii="仿宋_GB2312"/>
                <w:color w:val="000000"/>
                <w:sz w:val="24"/>
              </w:rPr>
              <w:t>利益链接机制</w:t>
            </w:r>
          </w:p>
        </w:tc>
        <w:tc>
          <w:tcPr>
            <w:tcW w:w="851" w:type="dxa"/>
            <w:noWrap w:val="0"/>
            <w:vAlign w:val="center"/>
          </w:tcPr>
          <w:p w14:paraId="31F82D14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788" w:type="dxa"/>
            <w:noWrap w:val="0"/>
            <w:vAlign w:val="center"/>
          </w:tcPr>
          <w:p w14:paraId="19AA1964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根据不同作物类型、粪肥种类，分类测算补贴标准，明确服务组织运行成本、盈利空间，政府主导开展多方定价，建立切实可行的利益链接机制，有明确数据支撑，得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ascii="仿宋_GB2312"/>
                <w:color w:val="000000"/>
                <w:sz w:val="24"/>
              </w:rPr>
              <w:t>分，否则酌情扣分。</w:t>
            </w:r>
          </w:p>
        </w:tc>
      </w:tr>
      <w:tr w14:paraId="78D1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6813C3AD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621B00D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1E4EFB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ascii="仿宋_GB2312"/>
                <w:color w:val="000000"/>
                <w:sz w:val="24"/>
              </w:rPr>
              <w:t>全过程监管机制</w:t>
            </w:r>
          </w:p>
        </w:tc>
        <w:tc>
          <w:tcPr>
            <w:tcW w:w="851" w:type="dxa"/>
            <w:noWrap w:val="0"/>
            <w:vAlign w:val="center"/>
          </w:tcPr>
          <w:p w14:paraId="62A33D86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788" w:type="dxa"/>
            <w:noWrap w:val="0"/>
            <w:vAlign w:val="center"/>
          </w:tcPr>
          <w:p w14:paraId="19AE4098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对粪污收集、运输、处理、粪肥施用及粪肥质量进行全程监管，通过信息手段实现全程可追溯，得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ascii="仿宋_GB2312"/>
                <w:color w:val="000000"/>
                <w:sz w:val="24"/>
              </w:rPr>
              <w:t>分，否则酌情扣分。出现粪肥质量问题不得分。</w:t>
            </w:r>
          </w:p>
        </w:tc>
      </w:tr>
      <w:tr w14:paraId="0FE5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631AE0BF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服务组织</w:t>
            </w:r>
          </w:p>
          <w:p w14:paraId="2275E8CD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培训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53006091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268" w:type="dxa"/>
            <w:noWrap w:val="0"/>
            <w:vAlign w:val="center"/>
          </w:tcPr>
          <w:p w14:paraId="2AA7AB8B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ascii="仿宋_GB2312"/>
                <w:color w:val="000000"/>
                <w:sz w:val="24"/>
              </w:rPr>
              <w:t>科学遴选</w:t>
            </w:r>
          </w:p>
        </w:tc>
        <w:tc>
          <w:tcPr>
            <w:tcW w:w="851" w:type="dxa"/>
            <w:noWrap w:val="0"/>
            <w:vAlign w:val="center"/>
          </w:tcPr>
          <w:p w14:paraId="3C1A2698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788" w:type="dxa"/>
            <w:noWrap w:val="0"/>
            <w:vAlign w:val="center"/>
          </w:tcPr>
          <w:p w14:paraId="34CB8CF7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规范遴选和管理第三方社会化服务主体，有明确准入标准，服务主体满足</w:t>
            </w:r>
            <w:r>
              <w:rPr>
                <w:color w:val="000000"/>
                <w:sz w:val="24"/>
              </w:rPr>
              <w:t>“</w:t>
            </w:r>
            <w:r>
              <w:rPr>
                <w:rFonts w:ascii="仿宋_GB2312"/>
                <w:color w:val="000000"/>
                <w:sz w:val="24"/>
              </w:rPr>
              <w:t>有规模、有人员、有装备、有场地</w:t>
            </w:r>
            <w:r>
              <w:rPr>
                <w:color w:val="000000"/>
                <w:sz w:val="24"/>
              </w:rPr>
              <w:t xml:space="preserve">” </w:t>
            </w:r>
            <w:r>
              <w:rPr>
                <w:rFonts w:ascii="仿宋_GB2312"/>
                <w:color w:val="000000"/>
                <w:sz w:val="24"/>
              </w:rPr>
              <w:t>得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ascii="仿宋_GB2312"/>
                <w:color w:val="000000"/>
                <w:sz w:val="24"/>
              </w:rPr>
              <w:t>分，否则酌情扣分。</w:t>
            </w:r>
          </w:p>
        </w:tc>
      </w:tr>
      <w:tr w14:paraId="7116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4D0A47D7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D92434E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7B340E5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ascii="仿宋_GB2312"/>
                <w:color w:val="000000"/>
                <w:sz w:val="24"/>
              </w:rPr>
              <w:t>建立台账制度</w:t>
            </w:r>
          </w:p>
        </w:tc>
        <w:tc>
          <w:tcPr>
            <w:tcW w:w="851" w:type="dxa"/>
            <w:noWrap w:val="0"/>
            <w:vAlign w:val="center"/>
          </w:tcPr>
          <w:p w14:paraId="5F7B0222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788" w:type="dxa"/>
            <w:noWrap w:val="0"/>
            <w:vAlign w:val="center"/>
          </w:tcPr>
          <w:p w14:paraId="5F4D4A76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对所有参与种养循环工作的粪肥还田社会化服务主体进行登记，建立服务主体档案，服务台账清楚可查得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ascii="仿宋_GB2312"/>
                <w:color w:val="000000"/>
                <w:sz w:val="24"/>
              </w:rPr>
              <w:t>分， 否则酌情扣分。</w:t>
            </w:r>
          </w:p>
        </w:tc>
      </w:tr>
      <w:tr w14:paraId="1E31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7C7E2EA2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7E78DCD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A79DCF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ascii="仿宋_GB2312"/>
                <w:color w:val="000000"/>
                <w:sz w:val="24"/>
              </w:rPr>
              <w:t>建立评估制度</w:t>
            </w:r>
          </w:p>
        </w:tc>
        <w:tc>
          <w:tcPr>
            <w:tcW w:w="851" w:type="dxa"/>
            <w:noWrap w:val="0"/>
            <w:vAlign w:val="center"/>
          </w:tcPr>
          <w:p w14:paraId="3554A6BF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788" w:type="dxa"/>
            <w:noWrap w:val="0"/>
            <w:vAlign w:val="center"/>
          </w:tcPr>
          <w:p w14:paraId="50D7F6B7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每季度对服务主体任务完成情况进行汇总，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仿宋_GB2312"/>
                <w:color w:val="000000"/>
                <w:sz w:val="24"/>
              </w:rPr>
              <w:t>根据任务完成情况实行动态管理，得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ascii="仿宋_GB2312"/>
                <w:color w:val="000000"/>
                <w:sz w:val="24"/>
              </w:rPr>
              <w:t>分，否则酌情扣分。</w:t>
            </w:r>
          </w:p>
        </w:tc>
      </w:tr>
      <w:tr w14:paraId="44C1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6DF4C73A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5D22DCD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3D2BA29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ascii="仿宋_GB2312"/>
                <w:color w:val="000000"/>
                <w:sz w:val="24"/>
              </w:rPr>
              <w:t>服务能力提升</w:t>
            </w:r>
          </w:p>
        </w:tc>
        <w:tc>
          <w:tcPr>
            <w:tcW w:w="851" w:type="dxa"/>
            <w:noWrap w:val="0"/>
            <w:vAlign w:val="center"/>
          </w:tcPr>
          <w:p w14:paraId="15EF7E52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788" w:type="dxa"/>
            <w:noWrap w:val="0"/>
            <w:vAlign w:val="center"/>
          </w:tcPr>
          <w:p w14:paraId="5BBF2E6B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通过项目实施，服务组织规模、人员数量、机械装备得到完善，服务能力增强，服务质量提升，形成</w:t>
            </w:r>
            <w:r>
              <w:rPr>
                <w:color w:val="000000"/>
                <w:sz w:val="24"/>
              </w:rPr>
              <w:t>1—2</w:t>
            </w:r>
            <w:r>
              <w:rPr>
                <w:rFonts w:ascii="仿宋_GB2312"/>
                <w:color w:val="000000"/>
                <w:sz w:val="24"/>
              </w:rPr>
              <w:t>个粪肥还田社会化服务典型案例，得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ascii="仿宋_GB2312"/>
                <w:color w:val="000000"/>
                <w:sz w:val="24"/>
              </w:rPr>
              <w:t>分，否则酌情扣分。</w:t>
            </w:r>
          </w:p>
        </w:tc>
      </w:tr>
      <w:tr w14:paraId="3565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1C5142A8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实施效果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1EAFE608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268" w:type="dxa"/>
            <w:noWrap w:val="0"/>
            <w:vAlign w:val="center"/>
          </w:tcPr>
          <w:p w14:paraId="01B4D552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ascii="仿宋_GB2312"/>
                <w:color w:val="000000"/>
                <w:sz w:val="24"/>
              </w:rPr>
              <w:t>实施效果分析</w:t>
            </w:r>
          </w:p>
        </w:tc>
        <w:tc>
          <w:tcPr>
            <w:tcW w:w="851" w:type="dxa"/>
            <w:noWrap w:val="0"/>
            <w:vAlign w:val="center"/>
          </w:tcPr>
          <w:p w14:paraId="7D0A0857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788" w:type="dxa"/>
            <w:noWrap w:val="0"/>
            <w:vAlign w:val="center"/>
          </w:tcPr>
          <w:p w14:paraId="4DCC49C8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总结提炼粪肥还田技术模式、组织运行机制、经济社会生态效益，形成总结报告，内容丰富、数据详实、效果显著，得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ascii="仿宋_GB2312"/>
                <w:color w:val="000000"/>
                <w:sz w:val="24"/>
              </w:rPr>
              <w:t>分，否则酌情扣分。</w:t>
            </w:r>
          </w:p>
        </w:tc>
      </w:tr>
      <w:tr w14:paraId="3C68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55BFB717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6C89A4C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7D95424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ascii="仿宋_GB2312"/>
                <w:color w:val="000000"/>
                <w:sz w:val="24"/>
              </w:rPr>
              <w:t>整县推进情况</w:t>
            </w:r>
          </w:p>
        </w:tc>
        <w:tc>
          <w:tcPr>
            <w:tcW w:w="851" w:type="dxa"/>
            <w:noWrap w:val="0"/>
            <w:vAlign w:val="center"/>
          </w:tcPr>
          <w:p w14:paraId="0A5709F4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788" w:type="dxa"/>
            <w:noWrap w:val="0"/>
            <w:vAlign w:val="center"/>
          </w:tcPr>
          <w:p w14:paraId="065E3159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分析县域畜禽粪污产生、处理情况，科学评估种植业粪肥需求和负荷消纳能力，整县推进粪肥还田，促进畜禽粪污综合利用率有效提升，得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ascii="仿宋_GB2312"/>
                <w:color w:val="000000"/>
                <w:sz w:val="24"/>
              </w:rPr>
              <w:t>分，否则酌情扣分。</w:t>
            </w:r>
          </w:p>
        </w:tc>
      </w:tr>
      <w:tr w14:paraId="7E7E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6E22D0B2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FEF5D42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B149131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ascii="仿宋_GB2312"/>
                <w:color w:val="000000"/>
                <w:sz w:val="24"/>
              </w:rPr>
              <w:t>技术模式创新</w:t>
            </w:r>
          </w:p>
        </w:tc>
        <w:tc>
          <w:tcPr>
            <w:tcW w:w="851" w:type="dxa"/>
            <w:noWrap w:val="0"/>
            <w:vAlign w:val="center"/>
          </w:tcPr>
          <w:p w14:paraId="722BF4A8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788" w:type="dxa"/>
            <w:noWrap w:val="0"/>
            <w:vAlign w:val="center"/>
          </w:tcPr>
          <w:p w14:paraId="3310CCC8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针对不同粪肥种类、不同作物，集成有机无机配合的粪肥还田主推技术模式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ascii="仿宋_GB2312"/>
                <w:color w:val="000000"/>
                <w:sz w:val="24"/>
              </w:rPr>
              <w:t>套以上，形成图文并茂的文字材料，得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ascii="仿宋_GB2312"/>
                <w:color w:val="000000"/>
                <w:sz w:val="24"/>
              </w:rPr>
              <w:t>分，每少一套扣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ascii="仿宋_GB2312"/>
                <w:color w:val="000000"/>
                <w:sz w:val="24"/>
              </w:rPr>
              <w:t>分，扣完为止。</w:t>
            </w:r>
          </w:p>
        </w:tc>
      </w:tr>
      <w:tr w14:paraId="27D5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13D7A937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资金使用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E9E27AC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268" w:type="dxa"/>
            <w:noWrap w:val="0"/>
            <w:vAlign w:val="center"/>
          </w:tcPr>
          <w:p w14:paraId="55466F62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ascii="仿宋_GB2312"/>
                <w:color w:val="000000"/>
                <w:sz w:val="24"/>
              </w:rPr>
              <w:t>资金到位</w:t>
            </w:r>
          </w:p>
        </w:tc>
        <w:tc>
          <w:tcPr>
            <w:tcW w:w="851" w:type="dxa"/>
            <w:noWrap w:val="0"/>
            <w:vAlign w:val="center"/>
          </w:tcPr>
          <w:p w14:paraId="42897D52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788" w:type="dxa"/>
            <w:noWrap w:val="0"/>
            <w:vAlign w:val="center"/>
          </w:tcPr>
          <w:p w14:paraId="3D1798C5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试点资金足额及时到位，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仿宋_GB2312"/>
                <w:color w:val="000000"/>
                <w:sz w:val="24"/>
              </w:rPr>
              <w:t>得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ascii="仿宋_GB2312"/>
                <w:color w:val="000000"/>
                <w:sz w:val="24"/>
              </w:rPr>
              <w:t>分。 未足额及时到位不得分。</w:t>
            </w:r>
          </w:p>
        </w:tc>
      </w:tr>
      <w:tr w14:paraId="2245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54FD5BF6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A91BCC0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29386B9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ascii="仿宋_GB2312"/>
                <w:color w:val="000000"/>
                <w:sz w:val="24"/>
              </w:rPr>
              <w:t>资金使用</w:t>
            </w:r>
          </w:p>
        </w:tc>
        <w:tc>
          <w:tcPr>
            <w:tcW w:w="851" w:type="dxa"/>
            <w:noWrap w:val="0"/>
            <w:vAlign w:val="center"/>
          </w:tcPr>
          <w:p w14:paraId="1FFDAE66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788" w:type="dxa"/>
            <w:noWrap w:val="0"/>
            <w:vAlign w:val="center"/>
          </w:tcPr>
          <w:p w14:paraId="4DC50CD9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试点资金专款专用，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仿宋_GB2312"/>
                <w:color w:val="000000"/>
                <w:sz w:val="24"/>
              </w:rPr>
              <w:t>得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ascii="仿宋_GB2312"/>
                <w:color w:val="000000"/>
                <w:sz w:val="24"/>
              </w:rPr>
              <w:t>分。 否则不得分。</w:t>
            </w:r>
          </w:p>
        </w:tc>
      </w:tr>
      <w:tr w14:paraId="0DD0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7C1A5437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3B01025">
            <w:pPr>
              <w:widowControl/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E41FBB8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ascii="仿宋_GB2312"/>
                <w:color w:val="000000"/>
                <w:sz w:val="24"/>
              </w:rPr>
              <w:t>执行进度</w:t>
            </w:r>
          </w:p>
        </w:tc>
        <w:tc>
          <w:tcPr>
            <w:tcW w:w="851" w:type="dxa"/>
            <w:noWrap w:val="0"/>
            <w:vAlign w:val="center"/>
          </w:tcPr>
          <w:p w14:paraId="5251AE9E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8788" w:type="dxa"/>
            <w:noWrap w:val="0"/>
            <w:vAlign w:val="center"/>
          </w:tcPr>
          <w:p w14:paraId="5339E15B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试点资金执行完成，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仿宋_GB2312"/>
                <w:color w:val="000000"/>
                <w:sz w:val="24"/>
              </w:rPr>
              <w:t>得</w:t>
            </w:r>
            <w:r>
              <w:rPr>
                <w:color w:val="000000"/>
                <w:sz w:val="24"/>
              </w:rPr>
              <w:t>14</w:t>
            </w:r>
            <w:r>
              <w:rPr>
                <w:rFonts w:ascii="仿宋_GB2312"/>
                <w:color w:val="000000"/>
                <w:sz w:val="24"/>
              </w:rPr>
              <w:t>分。 未执行完成， 根据进度按比例扣分。</w:t>
            </w:r>
          </w:p>
        </w:tc>
      </w:tr>
      <w:tr w14:paraId="3223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44" w:type="dxa"/>
            <w:gridSpan w:val="3"/>
            <w:noWrap w:val="0"/>
            <w:vAlign w:val="center"/>
          </w:tcPr>
          <w:p w14:paraId="171A8860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合计</w:t>
            </w:r>
          </w:p>
        </w:tc>
        <w:tc>
          <w:tcPr>
            <w:tcW w:w="851" w:type="dxa"/>
            <w:noWrap w:val="0"/>
            <w:vAlign w:val="center"/>
          </w:tcPr>
          <w:p w14:paraId="2CC3847A"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788" w:type="dxa"/>
            <w:noWrap w:val="0"/>
            <w:vAlign w:val="center"/>
          </w:tcPr>
          <w:p w14:paraId="7BEED784"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</w:tbl>
    <w:p w14:paraId="6513AB82">
      <w:pPr>
        <w:ind w:firstLine="0" w:firstLineChars="0"/>
        <w:rPr>
          <w:color w:val="000000"/>
        </w:rPr>
        <w:sectPr>
          <w:pgSz w:w="16838" w:h="11906" w:orient="landscape"/>
          <w:pgMar w:top="1474" w:right="1985" w:bottom="1588" w:left="2098" w:header="851" w:footer="1588" w:gutter="0"/>
          <w:cols w:space="720" w:num="1"/>
          <w:docGrid w:linePitch="579" w:charSpace="0"/>
        </w:sectPr>
      </w:pPr>
    </w:p>
    <w:p w14:paraId="3CC443D8">
      <w:pPr>
        <w:pStyle w:val="3"/>
        <w:ind w:firstLine="0" w:firstLineChars="0"/>
      </w:pPr>
      <w:r>
        <w:t>附件2</w:t>
      </w:r>
    </w:p>
    <w:p w14:paraId="267A9CA5">
      <w:pPr>
        <w:ind w:firstLine="640"/>
      </w:pPr>
      <w:r>
        <w:t xml:space="preserve"> </w:t>
      </w:r>
    </w:p>
    <w:p w14:paraId="5420C5AA">
      <w:pPr>
        <w:pStyle w:val="2"/>
        <w:rPr>
          <w:b/>
        </w:rPr>
      </w:pPr>
      <w:r>
        <w:t>××县绿色种养循环农业试点五年总结报告</w:t>
      </w:r>
    </w:p>
    <w:p w14:paraId="01F869CC">
      <w:pPr>
        <w:pStyle w:val="4"/>
        <w:spacing w:before="60" w:beforeLines="25"/>
        <w:ind w:firstLine="0" w:firstLineChars="0"/>
        <w:jc w:val="center"/>
        <w:rPr>
          <w:b w:val="0"/>
        </w:rPr>
      </w:pPr>
      <w:r>
        <w:rPr>
          <w:b w:val="0"/>
        </w:rPr>
        <w:t>（样式）</w:t>
      </w:r>
    </w:p>
    <w:p w14:paraId="48CF330E">
      <w:pPr>
        <w:spacing w:line="560" w:lineRule="atLeast"/>
        <w:ind w:firstLine="640"/>
      </w:pPr>
      <w:r>
        <w:t xml:space="preserve"> </w:t>
      </w:r>
    </w:p>
    <w:p w14:paraId="1F957679">
      <w:pPr>
        <w:pStyle w:val="3"/>
        <w:spacing w:line="560" w:lineRule="atLeast"/>
        <w:ind w:firstLine="640"/>
      </w:pPr>
      <w:r>
        <w:t>一、项目成效</w:t>
      </w:r>
    </w:p>
    <w:p w14:paraId="5D90C4B6">
      <w:pPr>
        <w:spacing w:line="560" w:lineRule="atLeast"/>
        <w:ind w:firstLine="640"/>
      </w:pPr>
      <w:r>
        <w:t>系统总结项目实施取得的成效，主要包括项目实施面积、畜禽粪污收集处理量、粪肥施用量、化肥减量增效、农产品增产提质、农民节本增收、土壤改良培肥、绿色低碳发展等。粪污处理及粪肥施用技术模式集成、粪肥还田服务主体培育、长效运行机制创建、县域粪肥还田及畜禽粪污资源化利用带动、农民粪肥施用习惯和绿色生产方式形成等情况。</w:t>
      </w:r>
    </w:p>
    <w:p w14:paraId="1D50352B">
      <w:pPr>
        <w:pStyle w:val="3"/>
        <w:spacing w:line="560" w:lineRule="atLeast"/>
        <w:ind w:firstLine="640"/>
      </w:pPr>
      <w:r>
        <w:t>二、经验做法</w:t>
      </w:r>
    </w:p>
    <w:p w14:paraId="10DE5ECA">
      <w:pPr>
        <w:spacing w:line="560" w:lineRule="atLeast"/>
        <w:ind w:firstLine="640"/>
      </w:pPr>
      <w:r>
        <w:t>总结项目在强化组织领导，落实县级责任，压实种植、养殖和粪肥还田社会化服务主体等各方责任，简化项目申报、实施流程，优化资金支付方式，加快执行进度，应用信息化等多种手段加强粪肥质量监管，多形式开展培训指导，强化项目过程监管，打造典型样板，加强宣传展示等方面的经验做法和工作亮点。</w:t>
      </w:r>
    </w:p>
    <w:p w14:paraId="58CEA50D">
      <w:pPr>
        <w:pStyle w:val="3"/>
        <w:spacing w:line="560" w:lineRule="atLeast"/>
        <w:ind w:firstLine="640"/>
      </w:pPr>
      <w:r>
        <w:t>三、资金使用</w:t>
      </w:r>
    </w:p>
    <w:p w14:paraId="71FF04C7">
      <w:pPr>
        <w:spacing w:line="560" w:lineRule="atLeast"/>
        <w:ind w:firstLine="640"/>
      </w:pPr>
      <w:r>
        <w:t>详细说明项目资金使用情况，总结在把握资金使用方向，针对不同作物类型、不同服务环节开展的分类、精准补贴方式，以及加快资金支出进度，规范资金管理制度等情况。</w:t>
      </w:r>
    </w:p>
    <w:p w14:paraId="19CE4860">
      <w:pPr>
        <w:spacing w:line="580" w:lineRule="exact"/>
        <w:ind w:firstLine="640"/>
        <w:rPr>
          <w:rFonts w:eastAsia="黑体"/>
          <w:color w:val="000000"/>
        </w:rPr>
      </w:pPr>
      <w:r>
        <w:rPr>
          <w:rFonts w:ascii="黑体" w:hAnsi="黑体" w:eastAsia="黑体"/>
          <w:color w:val="000000"/>
        </w:rPr>
        <w:t>四、存在问题和意见建议</w:t>
      </w:r>
    </w:p>
    <w:p w14:paraId="16449426">
      <w:pPr>
        <w:ind w:firstLine="640"/>
      </w:pPr>
      <w:r>
        <w:t>查找绿色种养循环农业试点工作中遇到的问题，分析原因，提出解决思路办法。</w:t>
      </w:r>
    </w:p>
    <w:p w14:paraId="799F6AB9">
      <w:pPr>
        <w:pStyle w:val="3"/>
        <w:ind w:firstLine="640"/>
      </w:pPr>
      <w:r>
        <w:t>五、下一步打算</w:t>
      </w:r>
    </w:p>
    <w:p w14:paraId="4A63A781">
      <w:pPr>
        <w:ind w:firstLine="640"/>
      </w:pPr>
      <w:r>
        <w:t>结合各地实际，研究提出“十五五”发展绿色种养循环农业的意见建议、项目需求分析及下一步工作打算。</w:t>
      </w:r>
    </w:p>
    <w:p w14:paraId="1BA7A9FF">
      <w:pPr>
        <w:ind w:firstLine="640"/>
      </w:pPr>
      <w:r>
        <w:t xml:space="preserve"> </w:t>
      </w:r>
    </w:p>
    <w:p w14:paraId="6464DECB">
      <w:pPr>
        <w:ind w:firstLine="640"/>
      </w:pPr>
      <w:r>
        <w:rPr>
          <w:rFonts w:ascii="仿宋_GB2312"/>
        </w:rPr>
        <w:t>附：</w:t>
      </w:r>
      <w:r>
        <w:t>1.</w:t>
      </w:r>
      <w:r>
        <w:rPr>
          <w:rFonts w:ascii="仿宋_GB2312"/>
        </w:rPr>
        <w:t>长效运行机制</w:t>
      </w:r>
    </w:p>
    <w:p w14:paraId="1115F2C0">
      <w:pPr>
        <w:ind w:firstLine="1280" w:firstLineChars="400"/>
      </w:pPr>
      <w:r>
        <w:t>2.</w:t>
      </w:r>
      <w:r>
        <w:rPr>
          <w:rFonts w:ascii="仿宋_GB2312"/>
        </w:rPr>
        <w:t>粪肥还田社会化服务主体典型案例</w:t>
      </w:r>
    </w:p>
    <w:p w14:paraId="6038E095">
      <w:pPr>
        <w:ind w:firstLine="1280" w:firstLineChars="400"/>
        <w:rPr>
          <w:rFonts w:ascii="仿宋_GB2312"/>
        </w:rPr>
      </w:pPr>
      <w:r>
        <w:t>3.</w:t>
      </w:r>
      <w:r>
        <w:rPr>
          <w:rFonts w:ascii="仿宋_GB2312"/>
        </w:rPr>
        <w:t>粪肥还田主推技术模式（不少于</w:t>
      </w:r>
      <w:r>
        <w:t>2</w:t>
      </w:r>
      <w:r>
        <w:rPr>
          <w:rFonts w:ascii="仿宋_GB2312"/>
        </w:rPr>
        <w:t>个，其中机械还田</w:t>
      </w:r>
    </w:p>
    <w:p w14:paraId="5969E31F">
      <w:pPr>
        <w:ind w:firstLine="1504" w:firstLineChars="470"/>
      </w:pPr>
      <w:r>
        <w:rPr>
          <w:rFonts w:ascii="仿宋_GB2312"/>
        </w:rPr>
        <w:t>至少</w:t>
      </w:r>
      <w:r>
        <w:t>1</w:t>
      </w:r>
      <w:r>
        <w:rPr>
          <w:rFonts w:ascii="仿宋_GB2312"/>
        </w:rPr>
        <w:t>个）</w:t>
      </w:r>
    </w:p>
    <w:p w14:paraId="15497765">
      <w:pPr>
        <w:spacing w:line="540" w:lineRule="exact"/>
        <w:ind w:firstLine="1280" w:firstLineChars="400"/>
        <w:rPr>
          <w:color w:val="000000"/>
        </w:rPr>
      </w:pPr>
      <w:bookmarkStart w:id="0" w:name="_GoBack"/>
      <w:bookmarkEnd w:id="0"/>
      <w:r>
        <w:t>4.</w:t>
      </w:r>
      <w:r>
        <w:rPr>
          <w:rFonts w:ascii="仿宋_GB2312"/>
        </w:rPr>
        <w:t>粪肥还田试验与监测总结报告（</w:t>
      </w:r>
      <w:r>
        <w:t>2021</w:t>
      </w:r>
      <w:r>
        <w:rPr>
          <w:rFonts w:ascii="仿宋_GB2312"/>
        </w:rPr>
        <w:t>年以来）</w:t>
      </w:r>
    </w:p>
    <w:sectPr>
      <w:footerReference r:id="rId11" w:type="default"/>
      <w:pgSz w:w="11906" w:h="16838"/>
      <w:pgMar w:top="2098" w:right="1474" w:bottom="1985" w:left="1588" w:header="851" w:footer="1588" w:gutter="0"/>
      <w:cols w:space="720" w:num="1"/>
      <w:docGrid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F6DEBA-505A-427A-BB3E-CC12AAFF3B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49ACC9-83D8-4DC4-8F4F-655ADA6C5B6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0F4B62B1-53FA-4157-A2A3-F50E852558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0A147">
    <w:pPr>
      <w:pStyle w:val="13"/>
      <w:framePr w:wrap="around" w:vAnchor="text" w:hAnchor="margin" w:xAlign="outside" w:y="1"/>
      <w:ind w:firstLine="0" w:firstLineChars="0"/>
      <w:rPr>
        <w:rStyle w:val="20"/>
        <w:sz w:val="28"/>
        <w:szCs w:val="28"/>
      </w:rPr>
    </w:pPr>
    <w:r>
      <w:rPr>
        <w:rStyle w:val="20"/>
        <w:rFonts w:hint="eastAsia"/>
        <w:sz w:val="28"/>
        <w:szCs w:val="28"/>
      </w:rPr>
      <w:t>—</w:t>
    </w:r>
    <w:r>
      <w:rPr>
        <w:rStyle w:val="20"/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rStyle w:val="20"/>
        <w:sz w:val="28"/>
        <w:szCs w:val="28"/>
      </w:rPr>
      <w:fldChar w:fldCharType="separate"/>
    </w:r>
    <w:r>
      <w:rPr>
        <w:rStyle w:val="20"/>
        <w:sz w:val="28"/>
        <w:szCs w:val="28"/>
      </w:rPr>
      <w:t>13</w:t>
    </w:r>
    <w:r>
      <w:rPr>
        <w:rStyle w:val="20"/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>—</w:t>
    </w:r>
  </w:p>
  <w:p w14:paraId="0941D6A0"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1E0D9">
    <w:pPr>
      <w:pStyle w:val="13"/>
      <w:framePr w:wrap="around" w:vAnchor="text" w:hAnchor="margin" w:xAlign="outside" w:y="1"/>
      <w:ind w:firstLine="360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2</w:t>
    </w:r>
    <w:r>
      <w:rPr>
        <w:rStyle w:val="20"/>
      </w:rPr>
      <w:fldChar w:fldCharType="end"/>
    </w:r>
  </w:p>
  <w:p w14:paraId="16148D3A">
    <w:pPr>
      <w:pStyle w:val="1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67C20"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2421">
    <w:pPr>
      <w:pStyle w:val="1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68269"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5780B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6F7F7">
    <w:pPr>
      <w:pStyle w:val="1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cumentProtection w:enforcement="0"/>
  <w:defaultTabStop w:val="420"/>
  <w:hyphenationZone w:val="360"/>
  <w:drawingGridHorizontalSpacing w:val="160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D1"/>
    <w:rsid w:val="00006C32"/>
    <w:rsid w:val="000070BB"/>
    <w:rsid w:val="00007908"/>
    <w:rsid w:val="00007A2A"/>
    <w:rsid w:val="00010C43"/>
    <w:rsid w:val="00025571"/>
    <w:rsid w:val="0004127B"/>
    <w:rsid w:val="00041D68"/>
    <w:rsid w:val="0004344D"/>
    <w:rsid w:val="00061E0A"/>
    <w:rsid w:val="00072AE4"/>
    <w:rsid w:val="00076AF0"/>
    <w:rsid w:val="00081764"/>
    <w:rsid w:val="00090311"/>
    <w:rsid w:val="00091522"/>
    <w:rsid w:val="000B1EB0"/>
    <w:rsid w:val="000B6E82"/>
    <w:rsid w:val="000C1B41"/>
    <w:rsid w:val="000C5B03"/>
    <w:rsid w:val="000D4DE5"/>
    <w:rsid w:val="000D695F"/>
    <w:rsid w:val="000D7E84"/>
    <w:rsid w:val="001036F2"/>
    <w:rsid w:val="0010709A"/>
    <w:rsid w:val="00114118"/>
    <w:rsid w:val="0012595F"/>
    <w:rsid w:val="001268CD"/>
    <w:rsid w:val="00136317"/>
    <w:rsid w:val="00137536"/>
    <w:rsid w:val="001377BA"/>
    <w:rsid w:val="0015554F"/>
    <w:rsid w:val="0019261B"/>
    <w:rsid w:val="001B6E9A"/>
    <w:rsid w:val="001C22AE"/>
    <w:rsid w:val="001D3A66"/>
    <w:rsid w:val="001D4AFD"/>
    <w:rsid w:val="001E56FA"/>
    <w:rsid w:val="001F3A40"/>
    <w:rsid w:val="001F7E44"/>
    <w:rsid w:val="0020637D"/>
    <w:rsid w:val="002121D0"/>
    <w:rsid w:val="00215AAE"/>
    <w:rsid w:val="00251ED1"/>
    <w:rsid w:val="00293EAF"/>
    <w:rsid w:val="00293F32"/>
    <w:rsid w:val="002A3CA4"/>
    <w:rsid w:val="002C02DE"/>
    <w:rsid w:val="002C2BE9"/>
    <w:rsid w:val="002C4787"/>
    <w:rsid w:val="002C6539"/>
    <w:rsid w:val="002D5F5D"/>
    <w:rsid w:val="002E37FF"/>
    <w:rsid w:val="002F4908"/>
    <w:rsid w:val="002F5464"/>
    <w:rsid w:val="0030630F"/>
    <w:rsid w:val="003326BD"/>
    <w:rsid w:val="00340785"/>
    <w:rsid w:val="00346980"/>
    <w:rsid w:val="00354E3D"/>
    <w:rsid w:val="00376F50"/>
    <w:rsid w:val="003837BF"/>
    <w:rsid w:val="003A225C"/>
    <w:rsid w:val="003B3A08"/>
    <w:rsid w:val="003B61D2"/>
    <w:rsid w:val="003B68C1"/>
    <w:rsid w:val="003D07AD"/>
    <w:rsid w:val="003D1A2E"/>
    <w:rsid w:val="003D383D"/>
    <w:rsid w:val="003D4160"/>
    <w:rsid w:val="003E2B8D"/>
    <w:rsid w:val="003E6E7A"/>
    <w:rsid w:val="003E7335"/>
    <w:rsid w:val="003F27E0"/>
    <w:rsid w:val="003F6070"/>
    <w:rsid w:val="003F6FAE"/>
    <w:rsid w:val="0042011E"/>
    <w:rsid w:val="0042601C"/>
    <w:rsid w:val="00427D75"/>
    <w:rsid w:val="00444DC6"/>
    <w:rsid w:val="00447ED8"/>
    <w:rsid w:val="00457107"/>
    <w:rsid w:val="00457133"/>
    <w:rsid w:val="00460443"/>
    <w:rsid w:val="004645D7"/>
    <w:rsid w:val="00465CC2"/>
    <w:rsid w:val="00470C1E"/>
    <w:rsid w:val="0048169E"/>
    <w:rsid w:val="00485228"/>
    <w:rsid w:val="0048733B"/>
    <w:rsid w:val="00491265"/>
    <w:rsid w:val="004967DF"/>
    <w:rsid w:val="004A4A08"/>
    <w:rsid w:val="004A4F35"/>
    <w:rsid w:val="004B4FE9"/>
    <w:rsid w:val="004D0131"/>
    <w:rsid w:val="004E6FE0"/>
    <w:rsid w:val="00520B7F"/>
    <w:rsid w:val="00527AFA"/>
    <w:rsid w:val="00531266"/>
    <w:rsid w:val="005357A5"/>
    <w:rsid w:val="005419BB"/>
    <w:rsid w:val="00547ADF"/>
    <w:rsid w:val="00547C1E"/>
    <w:rsid w:val="005513D6"/>
    <w:rsid w:val="005630F8"/>
    <w:rsid w:val="0056335F"/>
    <w:rsid w:val="00576DA7"/>
    <w:rsid w:val="005B16E7"/>
    <w:rsid w:val="005D1925"/>
    <w:rsid w:val="005D76B0"/>
    <w:rsid w:val="005F5909"/>
    <w:rsid w:val="00603C68"/>
    <w:rsid w:val="006040E7"/>
    <w:rsid w:val="00620A06"/>
    <w:rsid w:val="00623F5C"/>
    <w:rsid w:val="00635979"/>
    <w:rsid w:val="0064397D"/>
    <w:rsid w:val="00664A8B"/>
    <w:rsid w:val="00673D95"/>
    <w:rsid w:val="006772ED"/>
    <w:rsid w:val="006867BE"/>
    <w:rsid w:val="00687D51"/>
    <w:rsid w:val="00690E4B"/>
    <w:rsid w:val="0069343F"/>
    <w:rsid w:val="00695BDA"/>
    <w:rsid w:val="006A392F"/>
    <w:rsid w:val="006B2A1B"/>
    <w:rsid w:val="006B48ED"/>
    <w:rsid w:val="006C1646"/>
    <w:rsid w:val="006C1E2E"/>
    <w:rsid w:val="006C38AC"/>
    <w:rsid w:val="006C5097"/>
    <w:rsid w:val="006D180D"/>
    <w:rsid w:val="006D57C6"/>
    <w:rsid w:val="006E5060"/>
    <w:rsid w:val="006E5C7E"/>
    <w:rsid w:val="00702886"/>
    <w:rsid w:val="00706782"/>
    <w:rsid w:val="00711091"/>
    <w:rsid w:val="007130C8"/>
    <w:rsid w:val="0073058D"/>
    <w:rsid w:val="00731FD8"/>
    <w:rsid w:val="0073790C"/>
    <w:rsid w:val="0074608C"/>
    <w:rsid w:val="0075390B"/>
    <w:rsid w:val="007568E8"/>
    <w:rsid w:val="00773DAA"/>
    <w:rsid w:val="00783D94"/>
    <w:rsid w:val="00791964"/>
    <w:rsid w:val="007B6D99"/>
    <w:rsid w:val="007E77A3"/>
    <w:rsid w:val="007F4C07"/>
    <w:rsid w:val="007F732C"/>
    <w:rsid w:val="0080406F"/>
    <w:rsid w:val="00812925"/>
    <w:rsid w:val="00821DD4"/>
    <w:rsid w:val="00840399"/>
    <w:rsid w:val="008413A8"/>
    <w:rsid w:val="008623AE"/>
    <w:rsid w:val="008764E7"/>
    <w:rsid w:val="008801BC"/>
    <w:rsid w:val="0088031F"/>
    <w:rsid w:val="008849F7"/>
    <w:rsid w:val="00891B53"/>
    <w:rsid w:val="00894C34"/>
    <w:rsid w:val="008A1F04"/>
    <w:rsid w:val="008A629D"/>
    <w:rsid w:val="008B5EB1"/>
    <w:rsid w:val="008B6A32"/>
    <w:rsid w:val="008C1624"/>
    <w:rsid w:val="008C17DA"/>
    <w:rsid w:val="008D5F99"/>
    <w:rsid w:val="008E7182"/>
    <w:rsid w:val="008F5E38"/>
    <w:rsid w:val="008F7A7F"/>
    <w:rsid w:val="00901CF8"/>
    <w:rsid w:val="0090777C"/>
    <w:rsid w:val="009346B2"/>
    <w:rsid w:val="0093506A"/>
    <w:rsid w:val="00951AD3"/>
    <w:rsid w:val="00954C35"/>
    <w:rsid w:val="00964ADC"/>
    <w:rsid w:val="0097251B"/>
    <w:rsid w:val="00977FED"/>
    <w:rsid w:val="009A23D6"/>
    <w:rsid w:val="009A6FFC"/>
    <w:rsid w:val="009B527C"/>
    <w:rsid w:val="009B6E9B"/>
    <w:rsid w:val="009C269B"/>
    <w:rsid w:val="009C4BA5"/>
    <w:rsid w:val="009D21AA"/>
    <w:rsid w:val="009F168E"/>
    <w:rsid w:val="00A02108"/>
    <w:rsid w:val="00A0669D"/>
    <w:rsid w:val="00A32391"/>
    <w:rsid w:val="00A3588F"/>
    <w:rsid w:val="00A36FEC"/>
    <w:rsid w:val="00A43102"/>
    <w:rsid w:val="00A70CA8"/>
    <w:rsid w:val="00A710D4"/>
    <w:rsid w:val="00A75C4C"/>
    <w:rsid w:val="00A86E3A"/>
    <w:rsid w:val="00AA1884"/>
    <w:rsid w:val="00AA65DD"/>
    <w:rsid w:val="00AA771C"/>
    <w:rsid w:val="00AB6476"/>
    <w:rsid w:val="00AB7578"/>
    <w:rsid w:val="00AD4BBF"/>
    <w:rsid w:val="00AD7358"/>
    <w:rsid w:val="00AE253A"/>
    <w:rsid w:val="00AE6FE1"/>
    <w:rsid w:val="00AF2506"/>
    <w:rsid w:val="00AF6F02"/>
    <w:rsid w:val="00B01682"/>
    <w:rsid w:val="00B05F5C"/>
    <w:rsid w:val="00B10150"/>
    <w:rsid w:val="00B1241B"/>
    <w:rsid w:val="00B147B6"/>
    <w:rsid w:val="00B15111"/>
    <w:rsid w:val="00B15CE7"/>
    <w:rsid w:val="00B23B84"/>
    <w:rsid w:val="00B24AE3"/>
    <w:rsid w:val="00B4037B"/>
    <w:rsid w:val="00B54BBB"/>
    <w:rsid w:val="00B6716C"/>
    <w:rsid w:val="00B674E4"/>
    <w:rsid w:val="00B67A74"/>
    <w:rsid w:val="00B718C5"/>
    <w:rsid w:val="00B8517D"/>
    <w:rsid w:val="00B85D71"/>
    <w:rsid w:val="00B8680E"/>
    <w:rsid w:val="00B94656"/>
    <w:rsid w:val="00BA7C79"/>
    <w:rsid w:val="00BB3DE4"/>
    <w:rsid w:val="00BB65B3"/>
    <w:rsid w:val="00BB6AD1"/>
    <w:rsid w:val="00BD741D"/>
    <w:rsid w:val="00BD7E03"/>
    <w:rsid w:val="00BE3B92"/>
    <w:rsid w:val="00BE69C4"/>
    <w:rsid w:val="00C0213D"/>
    <w:rsid w:val="00C044E5"/>
    <w:rsid w:val="00C073A0"/>
    <w:rsid w:val="00C1755D"/>
    <w:rsid w:val="00C36D11"/>
    <w:rsid w:val="00C41B1C"/>
    <w:rsid w:val="00C73CAE"/>
    <w:rsid w:val="00C82174"/>
    <w:rsid w:val="00C86A8F"/>
    <w:rsid w:val="00C975DF"/>
    <w:rsid w:val="00CA6B24"/>
    <w:rsid w:val="00CB0D5D"/>
    <w:rsid w:val="00CB5512"/>
    <w:rsid w:val="00CC3B15"/>
    <w:rsid w:val="00CC6D71"/>
    <w:rsid w:val="00CF7FE3"/>
    <w:rsid w:val="00D009D0"/>
    <w:rsid w:val="00D05401"/>
    <w:rsid w:val="00D10CA4"/>
    <w:rsid w:val="00D117AE"/>
    <w:rsid w:val="00D20223"/>
    <w:rsid w:val="00D24718"/>
    <w:rsid w:val="00D455C0"/>
    <w:rsid w:val="00D508AA"/>
    <w:rsid w:val="00D66DC4"/>
    <w:rsid w:val="00D67578"/>
    <w:rsid w:val="00D7010C"/>
    <w:rsid w:val="00D7641E"/>
    <w:rsid w:val="00D80C9E"/>
    <w:rsid w:val="00D8757B"/>
    <w:rsid w:val="00D96068"/>
    <w:rsid w:val="00DA248A"/>
    <w:rsid w:val="00DA5334"/>
    <w:rsid w:val="00DF1B80"/>
    <w:rsid w:val="00DF2AA3"/>
    <w:rsid w:val="00DF5946"/>
    <w:rsid w:val="00E06D71"/>
    <w:rsid w:val="00E149FC"/>
    <w:rsid w:val="00E16EF2"/>
    <w:rsid w:val="00E176A9"/>
    <w:rsid w:val="00E3159F"/>
    <w:rsid w:val="00E56355"/>
    <w:rsid w:val="00E60CDB"/>
    <w:rsid w:val="00E720E8"/>
    <w:rsid w:val="00E845D7"/>
    <w:rsid w:val="00EB13FB"/>
    <w:rsid w:val="00EB73DF"/>
    <w:rsid w:val="00EC2C09"/>
    <w:rsid w:val="00EC7DD2"/>
    <w:rsid w:val="00ED4053"/>
    <w:rsid w:val="00EE4068"/>
    <w:rsid w:val="00EF0B1C"/>
    <w:rsid w:val="00EF3047"/>
    <w:rsid w:val="00F04A82"/>
    <w:rsid w:val="00F07B36"/>
    <w:rsid w:val="00F3086D"/>
    <w:rsid w:val="00F451CB"/>
    <w:rsid w:val="00F472A5"/>
    <w:rsid w:val="00F509BB"/>
    <w:rsid w:val="00F567D6"/>
    <w:rsid w:val="00F7403A"/>
    <w:rsid w:val="00F8230A"/>
    <w:rsid w:val="00F849B9"/>
    <w:rsid w:val="00F85898"/>
    <w:rsid w:val="00F96F2F"/>
    <w:rsid w:val="00FA6FE8"/>
    <w:rsid w:val="00FB4C0B"/>
    <w:rsid w:val="00FC3452"/>
    <w:rsid w:val="00FE0503"/>
    <w:rsid w:val="00FE59BB"/>
    <w:rsid w:val="00FF4945"/>
    <w:rsid w:val="03270B4A"/>
    <w:rsid w:val="0EDD7D48"/>
    <w:rsid w:val="7B972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24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25"/>
    <w:qFormat/>
    <w:uiPriority w:val="0"/>
    <w:pPr>
      <w:spacing w:before="25" w:beforeLines="25" w:after="25" w:afterLines="25" w:line="500" w:lineRule="exact"/>
      <w:ind w:firstLine="0" w:firstLineChars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6">
    <w:name w:val="heading 5"/>
    <w:basedOn w:val="1"/>
    <w:next w:val="1"/>
    <w:link w:val="26"/>
    <w:unhideWhenUsed/>
    <w:qFormat/>
    <w:uiPriority w:val="0"/>
    <w:pPr>
      <w:spacing w:before="5" w:after="5" w:line="500" w:lineRule="exact"/>
      <w:ind w:firstLine="0" w:firstLineChars="0"/>
      <w:outlineLvl w:val="4"/>
    </w:pPr>
    <w:rPr>
      <w:rFonts w:eastAsia="方正小标宋简体"/>
      <w:bCs/>
      <w:sz w:val="36"/>
      <w:szCs w:val="28"/>
    </w:rPr>
  </w:style>
  <w:style w:type="paragraph" w:styleId="7">
    <w:name w:val="heading 7"/>
    <w:basedOn w:val="1"/>
    <w:next w:val="1"/>
    <w:qFormat/>
    <w:uiPriority w:val="0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Plain Text"/>
    <w:basedOn w:val="1"/>
    <w:link w:val="27"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12">
    <w:name w:val="Balloon Text"/>
    <w:basedOn w:val="1"/>
    <w:link w:val="28"/>
    <w:semiHidden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13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HTML Preformatted"/>
    <w:basedOn w:val="1"/>
    <w:link w:val="31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标题 1 Char"/>
    <w:link w:val="2"/>
    <w:qFormat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23">
    <w:name w:val="标题 2 Char"/>
    <w:link w:val="3"/>
    <w:qFormat/>
    <w:uiPriority w:val="0"/>
    <w:rPr>
      <w:rFonts w:eastAsia="黑体"/>
      <w:bCs/>
      <w:kern w:val="2"/>
      <w:sz w:val="32"/>
      <w:szCs w:val="32"/>
    </w:rPr>
  </w:style>
  <w:style w:type="character" w:customStyle="1" w:styleId="24">
    <w:name w:val="标题 3 Char"/>
    <w:link w:val="4"/>
    <w:qFormat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25">
    <w:name w:val="标题 4 Char1"/>
    <w:link w:val="5"/>
    <w:qFormat/>
    <w:locked/>
    <w:uiPriority w:val="0"/>
    <w:rPr>
      <w:rFonts w:eastAsia="方正小标宋简体"/>
      <w:bCs/>
      <w:kern w:val="2"/>
      <w:sz w:val="36"/>
      <w:szCs w:val="28"/>
    </w:rPr>
  </w:style>
  <w:style w:type="character" w:customStyle="1" w:styleId="26">
    <w:name w:val="标题 5 Char"/>
    <w:link w:val="6"/>
    <w:semiHidden/>
    <w:qFormat/>
    <w:uiPriority w:val="0"/>
    <w:rPr>
      <w:rFonts w:eastAsia="方正小标宋简体"/>
      <w:bCs/>
      <w:kern w:val="2"/>
      <w:sz w:val="36"/>
      <w:szCs w:val="28"/>
    </w:rPr>
  </w:style>
  <w:style w:type="character" w:customStyle="1" w:styleId="27">
    <w:name w:val="纯文本 Char"/>
    <w:link w:val="9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8">
    <w:name w:val="批注框文本 Char"/>
    <w:link w:val="1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脚 Char"/>
    <w:link w:val="13"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0">
    <w:name w:val="页眉 Char"/>
    <w:link w:val="14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1">
    <w:name w:val="HTML 预设格式 Char"/>
    <w:link w:val="15"/>
    <w:semiHidden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2">
    <w:name w:val="站_一级标题"/>
    <w:basedOn w:val="1"/>
    <w:qFormat/>
    <w:uiPriority w:val="0"/>
    <w:pPr>
      <w:spacing w:line="580" w:lineRule="exact"/>
      <w:ind w:firstLine="640"/>
    </w:pPr>
    <w:rPr>
      <w:rFonts w:ascii="黑体" w:hAnsi="黑体" w:eastAsia="黑体"/>
      <w:color w:val="000000"/>
      <w:szCs w:val="32"/>
    </w:rPr>
  </w:style>
  <w:style w:type="paragraph" w:customStyle="1" w:styleId="33">
    <w:name w:val="站_二级标题"/>
    <w:basedOn w:val="1"/>
    <w:uiPriority w:val="0"/>
    <w:pPr>
      <w:spacing w:line="580" w:lineRule="exact"/>
      <w:ind w:firstLine="640"/>
    </w:pPr>
    <w:rPr>
      <w:rFonts w:ascii="楷体_GB2312" w:hAnsi="宋体" w:eastAsia="楷体_GB2312" w:cs="宋体"/>
      <w:color w:val="000000"/>
      <w:szCs w:val="32"/>
    </w:rPr>
  </w:style>
  <w:style w:type="paragraph" w:customStyle="1" w:styleId="34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35">
    <w:name w:val="表内文字"/>
    <w:basedOn w:val="1"/>
    <w:qFormat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36">
    <w:name w:val="p0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37">
    <w:name w:val="custom_unionstyle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38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9">
    <w:name w:val="标题 4 Char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5597</Words>
  <Characters>5782</Characters>
  <Lines>43</Lines>
  <Paragraphs>12</Paragraphs>
  <TotalTime>1</TotalTime>
  <ScaleCrop>false</ScaleCrop>
  <LinksUpToDate>false</LinksUpToDate>
  <CharactersWithSpaces>5873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2018-02-07T07:49:00Z</dcterms:created>
  <dc:creator>walkinnet</dc:creator>
  <cp:lastModifiedBy>Rocy</cp:lastModifiedBy>
  <cp:lastPrinted>2021-03-25T00:09:00Z</cp:lastPrinted>
  <dcterms:modified xsi:type="dcterms:W3CDTF">2025-05-20T08:41:00Z</dcterms:modified>
  <dc:title>湘农业函〔2014〕  号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eyJoZGlkIjoiYjY3ZGExZjYwMTI4YmMyMDhjZTQxZmYxZDI0ZTcyMmYiLCJ1c2VySWQiOiIzNzEwMTY1OTEifQ==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D643F0FEACCD4B8DBFDDDEA031174481_13</vt:lpwstr>
  </property>
</Properties>
</file>