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61" w:afterLines="50" w:afterAutospacing="0" w:line="560" w:lineRule="exact"/>
        <w:ind w:left="0" w:right="0"/>
        <w:jc w:val="center"/>
        <w:rPr>
          <w:rFonts w:hint="default" w:ascii="Times New Roman" w:hAnsi="Times New Roman" w:eastAsia="方正小标宋简体" w:cs="Times New Roman"/>
          <w:color w:val="000000"/>
          <w:kern w:val="0"/>
          <w:sz w:val="44"/>
          <w:szCs w:val="44"/>
          <w:lang w:val="en-US"/>
        </w:rPr>
      </w:pPr>
      <w:r>
        <w:rPr>
          <w:rFonts w:hint="eastAsia" w:ascii="Times New Roman" w:hAnsi="Times New Roman" w:eastAsia="方正小标宋简体" w:cs="方正小标宋简体"/>
          <w:color w:val="000000"/>
          <w:kern w:val="0"/>
          <w:sz w:val="44"/>
          <w:szCs w:val="44"/>
          <w:lang w:val="en-US" w:eastAsia="zh-CN" w:bidi="ar"/>
        </w:rPr>
        <w:t>湖南省民政系统涉企行政检查事项清单</w:t>
      </w:r>
    </w:p>
    <w:tbl>
      <w:tblPr>
        <w:tblStyle w:val="5"/>
        <w:tblW w:w="14376" w:type="dxa"/>
        <w:tblInd w:w="-232" w:type="dxa"/>
        <w:shd w:val="clear" w:color="auto" w:fill="auto"/>
        <w:tblLayout w:type="fixed"/>
        <w:tblCellMar>
          <w:top w:w="0" w:type="dxa"/>
          <w:left w:w="108" w:type="dxa"/>
          <w:bottom w:w="0" w:type="dxa"/>
          <w:right w:w="108" w:type="dxa"/>
        </w:tblCellMar>
      </w:tblPr>
      <w:tblGrid>
        <w:gridCol w:w="629"/>
        <w:gridCol w:w="1147"/>
        <w:gridCol w:w="1450"/>
        <w:gridCol w:w="3920"/>
        <w:gridCol w:w="1057"/>
        <w:gridCol w:w="1135"/>
        <w:gridCol w:w="1370"/>
        <w:gridCol w:w="963"/>
        <w:gridCol w:w="1111"/>
        <w:gridCol w:w="1594"/>
      </w:tblGrid>
      <w:tr>
        <w:tblPrEx>
          <w:shd w:val="clear" w:color="auto" w:fill="auto"/>
          <w:tblCellMar>
            <w:top w:w="0" w:type="dxa"/>
            <w:left w:w="108" w:type="dxa"/>
            <w:bottom w:w="0" w:type="dxa"/>
            <w:right w:w="108" w:type="dxa"/>
          </w:tblCellMar>
        </w:tblPrEx>
        <w:trPr>
          <w:trHeight w:val="669" w:hRule="atLeast"/>
          <w:tblHead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序号</w:t>
            </w:r>
          </w:p>
        </w:tc>
        <w:tc>
          <w:tcPr>
            <w:tcW w:w="11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检查事项</w:t>
            </w: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kern w:val="0"/>
                <w:lang w:val="en-US"/>
              </w:rPr>
            </w:pPr>
            <w:r>
              <w:rPr>
                <w:rFonts w:hint="eastAsia" w:ascii="Times New Roman" w:hAnsi="Times New Roman" w:eastAsia="宋体" w:cs="宋体"/>
                <w:b/>
                <w:bCs w:val="0"/>
                <w:color w:val="000000"/>
                <w:kern w:val="0"/>
                <w:sz w:val="21"/>
                <w:szCs w:val="22"/>
                <w:lang w:val="en-US" w:eastAsia="zh-CN" w:bidi="ar"/>
              </w:rPr>
              <w:t>检查主体</w:t>
            </w:r>
          </w:p>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（实施层级）</w:t>
            </w:r>
          </w:p>
        </w:tc>
        <w:tc>
          <w:tcPr>
            <w:tcW w:w="392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实施依据</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承办机构</w:t>
            </w:r>
          </w:p>
        </w:tc>
        <w:tc>
          <w:tcPr>
            <w:tcW w:w="11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检查对象</w:t>
            </w:r>
          </w:p>
        </w:tc>
        <w:tc>
          <w:tcPr>
            <w:tcW w:w="137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检查内容</w:t>
            </w:r>
          </w:p>
        </w:tc>
        <w:tc>
          <w:tcPr>
            <w:tcW w:w="9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kern w:val="0"/>
                <w:lang w:val="en-US"/>
              </w:rPr>
            </w:pPr>
            <w:r>
              <w:rPr>
                <w:rFonts w:hint="eastAsia" w:ascii="Times New Roman" w:hAnsi="Times New Roman" w:eastAsia="宋体" w:cs="宋体"/>
                <w:b/>
                <w:bCs w:val="0"/>
                <w:color w:val="000000"/>
                <w:kern w:val="0"/>
                <w:sz w:val="21"/>
                <w:szCs w:val="22"/>
                <w:lang w:val="en-US" w:eastAsia="zh-CN" w:bidi="ar"/>
              </w:rPr>
              <w:t>检查</w:t>
            </w:r>
          </w:p>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方式</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检查频次</w:t>
            </w:r>
          </w:p>
        </w:tc>
        <w:tc>
          <w:tcPr>
            <w:tcW w:w="15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b/>
                <w:bCs w:val="0"/>
                <w:color w:val="000000"/>
                <w:lang w:val="en-US"/>
              </w:rPr>
            </w:pPr>
            <w:r>
              <w:rPr>
                <w:rFonts w:hint="eastAsia" w:ascii="Times New Roman" w:hAnsi="Times New Roman" w:eastAsia="宋体" w:cs="宋体"/>
                <w:b/>
                <w:bCs w:val="0"/>
                <w:color w:val="000000"/>
                <w:kern w:val="0"/>
                <w:sz w:val="21"/>
                <w:szCs w:val="22"/>
                <w:lang w:val="en-US" w:eastAsia="zh-CN" w:bidi="ar"/>
              </w:rPr>
              <w:t>备注</w:t>
            </w:r>
          </w:p>
        </w:tc>
      </w:tr>
      <w:tr>
        <w:tblPrEx>
          <w:tblCellMar>
            <w:top w:w="0" w:type="dxa"/>
            <w:left w:w="108" w:type="dxa"/>
            <w:bottom w:w="0" w:type="dxa"/>
            <w:right w:w="108" w:type="dxa"/>
          </w:tblCellMar>
        </w:tblPrEx>
        <w:trPr>
          <w:trHeight w:val="61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1</w:t>
            </w:r>
          </w:p>
        </w:tc>
        <w:tc>
          <w:tcPr>
            <w:tcW w:w="11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对殡仪馆、火葬场、殡仪服务站、骨灰堂的行政检查</w:t>
            </w: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民政部门（县级以上）</w:t>
            </w:r>
          </w:p>
        </w:tc>
        <w:tc>
          <w:tcPr>
            <w:tcW w:w="392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《殡葬管理条例》（</w:t>
            </w:r>
            <w:r>
              <w:rPr>
                <w:rFonts w:hint="default" w:ascii="Times New Roman" w:hAnsi="Times New Roman" w:eastAsia="宋体" w:cs="Times New Roman"/>
                <w:color w:val="000000"/>
                <w:kern w:val="0"/>
                <w:sz w:val="21"/>
                <w:szCs w:val="22"/>
                <w:lang w:val="en-US" w:eastAsia="zh-CN" w:bidi="ar"/>
              </w:rPr>
              <w:t>2013</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日实施）第三条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国务院民政部门负责全国的殡葬管理工作。县级以上地方人民政府民政部门负责本行政区域内的殡葬管理工作。</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《湖南省实施</w:t>
            </w:r>
            <w:r>
              <w:rPr>
                <w:rFonts w:hint="default" w:ascii="Times New Roman" w:hAnsi="Times New Roman" w:eastAsia="宋体" w:cs="Times New Roman"/>
                <w:color w:val="000000"/>
                <w:kern w:val="0"/>
                <w:sz w:val="21"/>
                <w:szCs w:val="22"/>
                <w:lang w:val="en-US" w:eastAsia="zh-CN" w:bidi="ar"/>
              </w:rPr>
              <w:t>&lt;</w:t>
            </w:r>
            <w:r>
              <w:rPr>
                <w:rFonts w:hint="eastAsia" w:ascii="Times New Roman" w:hAnsi="Times New Roman" w:eastAsia="宋体" w:cs="宋体"/>
                <w:color w:val="000000"/>
                <w:kern w:val="0"/>
                <w:sz w:val="21"/>
                <w:szCs w:val="22"/>
                <w:lang w:val="en-US" w:eastAsia="zh-CN" w:bidi="ar"/>
              </w:rPr>
              <w:t>殡葬管理条例</w:t>
            </w:r>
            <w:r>
              <w:rPr>
                <w:rFonts w:hint="default" w:ascii="Times New Roman" w:hAnsi="Times New Roman" w:eastAsia="宋体" w:cs="Times New Roman"/>
                <w:color w:val="000000"/>
                <w:kern w:val="0"/>
                <w:sz w:val="21"/>
                <w:szCs w:val="22"/>
                <w:lang w:val="en-US" w:eastAsia="zh-CN" w:bidi="ar"/>
              </w:rPr>
              <w:t>&gt;</w:t>
            </w:r>
            <w:r>
              <w:rPr>
                <w:rFonts w:hint="eastAsia" w:ascii="Times New Roman" w:hAnsi="Times New Roman" w:eastAsia="宋体" w:cs="宋体"/>
                <w:color w:val="000000"/>
                <w:kern w:val="0"/>
                <w:sz w:val="21"/>
                <w:szCs w:val="22"/>
                <w:lang w:val="en-US" w:eastAsia="zh-CN" w:bidi="ar"/>
              </w:rPr>
              <w:t>办法》（</w:t>
            </w:r>
            <w:r>
              <w:rPr>
                <w:rFonts w:hint="default" w:ascii="Times New Roman" w:hAnsi="Times New Roman" w:eastAsia="宋体" w:cs="Times New Roman"/>
                <w:color w:val="000000"/>
                <w:kern w:val="0"/>
                <w:sz w:val="21"/>
                <w:szCs w:val="22"/>
                <w:lang w:val="en-US" w:eastAsia="zh-CN" w:bidi="ar"/>
              </w:rPr>
              <w:t>2022</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10</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日实施）第五条第一款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县级以上人民政府民政部门负责本行政区域内的殡葬管理工作。有关部门按照各自职责，协同民政部门做好殡葬管理工作。</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《湖南省殡仪馆建设管理办法》（</w:t>
            </w:r>
            <w:r>
              <w:rPr>
                <w:rFonts w:hint="default" w:ascii="Times New Roman" w:hAnsi="Times New Roman" w:eastAsia="宋体" w:cs="Times New Roman"/>
                <w:color w:val="000000"/>
                <w:kern w:val="0"/>
                <w:sz w:val="21"/>
                <w:szCs w:val="22"/>
                <w:lang w:val="en-US" w:eastAsia="zh-CN" w:bidi="ar"/>
              </w:rPr>
              <w:t>2023</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24</w:t>
            </w:r>
            <w:r>
              <w:rPr>
                <w:rFonts w:hint="eastAsia" w:ascii="Times New Roman" w:hAnsi="Times New Roman" w:eastAsia="宋体" w:cs="宋体"/>
                <w:color w:val="000000"/>
                <w:kern w:val="0"/>
                <w:sz w:val="21"/>
                <w:szCs w:val="22"/>
                <w:lang w:val="en-US" w:eastAsia="zh-CN" w:bidi="ar"/>
              </w:rPr>
              <w:t>日实施）第十七条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各级民政部门负责本行政区内殡仪馆的监督管理。</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《湖南省经营性公墓建设管理办法》（</w:t>
            </w:r>
            <w:r>
              <w:rPr>
                <w:rFonts w:hint="default" w:ascii="Times New Roman" w:hAnsi="Times New Roman" w:eastAsia="宋体" w:cs="Times New Roman"/>
                <w:color w:val="000000"/>
                <w:kern w:val="0"/>
                <w:sz w:val="21"/>
                <w:szCs w:val="22"/>
                <w:lang w:val="en-US" w:eastAsia="zh-CN" w:bidi="ar"/>
              </w:rPr>
              <w:t>2023</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24</w:t>
            </w:r>
            <w:r>
              <w:rPr>
                <w:rFonts w:hint="eastAsia" w:ascii="Times New Roman" w:hAnsi="Times New Roman" w:eastAsia="宋体" w:cs="宋体"/>
                <w:color w:val="000000"/>
                <w:kern w:val="0"/>
                <w:sz w:val="21"/>
                <w:szCs w:val="22"/>
                <w:lang w:val="en-US" w:eastAsia="zh-CN" w:bidi="ar"/>
              </w:rPr>
              <w:t>日实施）第二十六条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省、市民政部门应当加强经营性公墓的监督管理。第二十七条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经营性骨灰安放设施参照本办法施行。</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省民政厅社会事务处、市州民政局社会事务科、县市区民政局社会事务股</w:t>
            </w:r>
          </w:p>
        </w:tc>
        <w:tc>
          <w:tcPr>
            <w:tcW w:w="11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殡仪馆、火葬场、殡仪服务站、骨灰堂等殡仪服务企业</w:t>
            </w:r>
          </w:p>
        </w:tc>
        <w:tc>
          <w:tcPr>
            <w:tcW w:w="137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建设审批监督检查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2.</w:t>
            </w:r>
            <w:r>
              <w:rPr>
                <w:rFonts w:hint="eastAsia" w:ascii="Times New Roman" w:hAnsi="Times New Roman" w:eastAsia="宋体" w:cs="宋体"/>
                <w:color w:val="000000"/>
                <w:kern w:val="0"/>
                <w:sz w:val="21"/>
                <w:szCs w:val="22"/>
                <w:lang w:val="en-US" w:eastAsia="zh-CN" w:bidi="ar"/>
              </w:rPr>
              <w:t>运营管理监督检查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服务提供监督检查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4.</w:t>
            </w:r>
            <w:r>
              <w:rPr>
                <w:rFonts w:hint="eastAsia" w:ascii="Times New Roman" w:hAnsi="Times New Roman" w:eastAsia="宋体" w:cs="宋体"/>
                <w:color w:val="000000"/>
                <w:kern w:val="0"/>
                <w:sz w:val="21"/>
                <w:szCs w:val="22"/>
                <w:lang w:val="en-US" w:eastAsia="zh-CN" w:bidi="ar"/>
              </w:rPr>
              <w:t>管理情况监督检查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5.</w:t>
            </w:r>
            <w:r>
              <w:rPr>
                <w:rFonts w:hint="eastAsia" w:ascii="Times New Roman" w:hAnsi="Times New Roman" w:eastAsia="宋体" w:cs="宋体"/>
                <w:color w:val="000000"/>
                <w:kern w:val="0"/>
                <w:sz w:val="21"/>
                <w:szCs w:val="22"/>
                <w:lang w:val="en-US" w:eastAsia="zh-CN" w:bidi="ar"/>
              </w:rPr>
              <w:t>收费管理监督检查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6.</w:t>
            </w:r>
            <w:r>
              <w:rPr>
                <w:rFonts w:hint="eastAsia" w:ascii="Times New Roman" w:hAnsi="Times New Roman" w:eastAsia="宋体" w:cs="宋体"/>
                <w:color w:val="000000"/>
                <w:kern w:val="0"/>
                <w:sz w:val="21"/>
                <w:szCs w:val="22"/>
                <w:lang w:val="en-US" w:eastAsia="zh-CN" w:bidi="ar"/>
              </w:rPr>
              <w:t>安全生产监督检查</w:t>
            </w:r>
          </w:p>
        </w:tc>
        <w:tc>
          <w:tcPr>
            <w:tcW w:w="9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现场检查、非现场检查相结合</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按本单位每年</w:t>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月底前报经同级司法行政部门备案审查的涉企年度行政检查计划执行</w:t>
            </w:r>
          </w:p>
        </w:tc>
        <w:tc>
          <w:tcPr>
            <w:tcW w:w="15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涉企行政检查以属地管辖为原则，有重大影响或者跨县级区域的，由市级民政部门负责，有重大影响或者跨市级区域的，由省级民政部门负责。本系统各层级的检查对象名单，由省民政厅另行公布。</w:t>
            </w:r>
          </w:p>
        </w:tc>
      </w:tr>
      <w:tr>
        <w:tblPrEx>
          <w:tblCellMar>
            <w:top w:w="0" w:type="dxa"/>
            <w:left w:w="108" w:type="dxa"/>
            <w:bottom w:w="0" w:type="dxa"/>
            <w:right w:w="108" w:type="dxa"/>
          </w:tblCellMar>
        </w:tblPrEx>
        <w:trPr>
          <w:trHeight w:val="7590" w:hRule="atLeast"/>
        </w:trPr>
        <w:tc>
          <w:tcPr>
            <w:tcW w:w="6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2</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对经营性公墓的行政检查</w:t>
            </w:r>
          </w:p>
        </w:tc>
        <w:tc>
          <w:tcPr>
            <w:tcW w:w="145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民政部门（县级以上）</w:t>
            </w:r>
          </w:p>
        </w:tc>
        <w:tc>
          <w:tcPr>
            <w:tcW w:w="392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94" w:rightChars="-45"/>
              <w:jc w:val="both"/>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《殡葬管理条例》（</w:t>
            </w:r>
            <w:r>
              <w:rPr>
                <w:rFonts w:hint="default" w:ascii="Times New Roman" w:hAnsi="Times New Roman" w:eastAsia="宋体" w:cs="Times New Roman"/>
                <w:color w:val="000000"/>
                <w:kern w:val="0"/>
                <w:sz w:val="21"/>
                <w:szCs w:val="22"/>
                <w:lang w:val="en-US" w:eastAsia="zh-CN" w:bidi="ar"/>
              </w:rPr>
              <w:t>2013</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日实施）第三条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国务院民政部门负责全国的殡葬管理工作。县级以上地方人民政府民政部门负责本行政区域内的殡葬管理工作。</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《湖南省实施</w:t>
            </w:r>
            <w:r>
              <w:rPr>
                <w:rFonts w:hint="default" w:ascii="Times New Roman" w:hAnsi="Times New Roman" w:eastAsia="宋体" w:cs="Times New Roman"/>
                <w:color w:val="000000"/>
                <w:kern w:val="0"/>
                <w:sz w:val="21"/>
                <w:szCs w:val="22"/>
                <w:lang w:val="en-US" w:eastAsia="zh-CN" w:bidi="ar"/>
              </w:rPr>
              <w:t>&lt;</w:t>
            </w:r>
            <w:r>
              <w:rPr>
                <w:rFonts w:hint="eastAsia" w:ascii="Times New Roman" w:hAnsi="Times New Roman" w:eastAsia="宋体" w:cs="宋体"/>
                <w:color w:val="000000"/>
                <w:kern w:val="0"/>
                <w:sz w:val="21"/>
                <w:szCs w:val="22"/>
                <w:lang w:val="en-US" w:eastAsia="zh-CN" w:bidi="ar"/>
              </w:rPr>
              <w:t>殡葬管理条例</w:t>
            </w:r>
            <w:r>
              <w:rPr>
                <w:rFonts w:hint="default" w:ascii="Times New Roman" w:hAnsi="Times New Roman" w:eastAsia="宋体" w:cs="Times New Roman"/>
                <w:color w:val="000000"/>
                <w:kern w:val="0"/>
                <w:sz w:val="21"/>
                <w:szCs w:val="22"/>
                <w:lang w:val="en-US" w:eastAsia="zh-CN" w:bidi="ar"/>
              </w:rPr>
              <w:t>&gt;</w:t>
            </w:r>
            <w:r>
              <w:rPr>
                <w:rFonts w:hint="eastAsia" w:ascii="Times New Roman" w:hAnsi="Times New Roman" w:eastAsia="宋体" w:cs="宋体"/>
                <w:color w:val="000000"/>
                <w:kern w:val="0"/>
                <w:sz w:val="21"/>
                <w:szCs w:val="22"/>
                <w:lang w:val="en-US" w:eastAsia="zh-CN" w:bidi="ar"/>
              </w:rPr>
              <w:t>办法》（</w:t>
            </w:r>
            <w:r>
              <w:rPr>
                <w:rFonts w:hint="default" w:ascii="Times New Roman" w:hAnsi="Times New Roman" w:eastAsia="宋体" w:cs="Times New Roman"/>
                <w:color w:val="000000"/>
                <w:kern w:val="0"/>
                <w:sz w:val="21"/>
                <w:szCs w:val="22"/>
                <w:lang w:val="en-US" w:eastAsia="zh-CN" w:bidi="ar"/>
              </w:rPr>
              <w:t>2022</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10</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日实施）第五条第一款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县级以上人民政府民政部门负责本行政区域内的殡葬管理工作。有关部门按照各自职责，协同民政部门做好殡葬管理工作。</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《公墓管理暂行办法》（</w:t>
            </w:r>
            <w:r>
              <w:rPr>
                <w:rFonts w:hint="default" w:ascii="Times New Roman" w:hAnsi="Times New Roman" w:eastAsia="宋体" w:cs="Times New Roman"/>
                <w:color w:val="000000"/>
                <w:kern w:val="0"/>
                <w:sz w:val="21"/>
                <w:szCs w:val="22"/>
                <w:lang w:val="en-US" w:eastAsia="zh-CN" w:bidi="ar"/>
              </w:rPr>
              <w:t>1992</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25</w:t>
            </w:r>
            <w:r>
              <w:rPr>
                <w:rFonts w:hint="eastAsia" w:ascii="Times New Roman" w:hAnsi="Times New Roman" w:eastAsia="宋体" w:cs="宋体"/>
                <w:color w:val="000000"/>
                <w:kern w:val="0"/>
                <w:sz w:val="21"/>
                <w:szCs w:val="22"/>
                <w:lang w:val="en-US" w:eastAsia="zh-CN" w:bidi="ar"/>
              </w:rPr>
              <w:t>日实施）第六条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民政部是全国公墓的主管部门，负责制定公墓建设的政策法规和总体规划，进行宏观指导。县级以上各级民政部门是本行政区域内的公墓主管部门。负责贯彻执行国家公墓政策法规，对本行政区域内的公墓建设和发展进行具体指导。</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《关于进一步加强公墓管理的意见》（</w:t>
            </w:r>
            <w:r>
              <w:rPr>
                <w:rFonts w:hint="default" w:ascii="Times New Roman" w:hAnsi="Times New Roman" w:eastAsia="宋体" w:cs="Times New Roman"/>
                <w:color w:val="000000"/>
                <w:kern w:val="0"/>
                <w:sz w:val="21"/>
                <w:szCs w:val="22"/>
                <w:lang w:val="en-US" w:eastAsia="zh-CN" w:bidi="ar"/>
              </w:rPr>
              <w:t>1998</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6</w:t>
            </w:r>
            <w:r>
              <w:rPr>
                <w:rFonts w:hint="eastAsia" w:ascii="Times New Roman" w:hAnsi="Times New Roman" w:eastAsia="宋体" w:cs="宋体"/>
                <w:color w:val="000000"/>
                <w:kern w:val="0"/>
                <w:sz w:val="21"/>
                <w:szCs w:val="22"/>
                <w:lang w:val="en-US" w:eastAsia="zh-CN" w:bidi="ar"/>
              </w:rPr>
              <w:t>日实施）二、（六）各省、自治区、直辖市民政部门要加强对辖区内公墓的管理。要建立健全公墓年度检查制度，要会同有关部门认真开展公墓（含吸收外资合资合作的公</w:t>
            </w:r>
            <w:r>
              <w:rPr>
                <w:rFonts w:hint="eastAsia" w:ascii="Times New Roman" w:hAnsi="Times New Roman" w:eastAsia="宋体" w:cs="宋体"/>
                <w:color w:val="000000"/>
                <w:spacing w:val="-4"/>
                <w:kern w:val="0"/>
                <w:sz w:val="21"/>
                <w:szCs w:val="22"/>
                <w:lang w:val="en-US" w:eastAsia="zh-CN" w:bidi="ar"/>
              </w:rPr>
              <w:t>墓）年度检查工作。对年检合格的公墓准予继续开展业务；对年检不合格的公墓要限期改正，对逾期不改的，要会同有关部门责令其停业整顿。要将年检的结果公告社会，以便于监督。</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《湖南省经营性公墓建设管理办法》（</w:t>
            </w:r>
            <w:r>
              <w:rPr>
                <w:rFonts w:hint="default" w:ascii="Times New Roman" w:hAnsi="Times New Roman" w:eastAsia="宋体" w:cs="Times New Roman"/>
                <w:color w:val="000000"/>
                <w:kern w:val="0"/>
                <w:sz w:val="21"/>
                <w:szCs w:val="22"/>
                <w:lang w:val="en-US" w:eastAsia="zh-CN" w:bidi="ar"/>
              </w:rPr>
              <w:t>2023</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8</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24</w:t>
            </w:r>
            <w:r>
              <w:rPr>
                <w:rFonts w:hint="eastAsia" w:ascii="Times New Roman" w:hAnsi="Times New Roman" w:eastAsia="宋体" w:cs="宋体"/>
                <w:color w:val="000000"/>
                <w:kern w:val="0"/>
                <w:sz w:val="21"/>
                <w:szCs w:val="22"/>
                <w:lang w:val="en-US" w:eastAsia="zh-CN" w:bidi="ar"/>
              </w:rPr>
              <w:t>日实施）第二十六条</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省、市民政部门应当加强经营性公墓的监督管理。</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kern w:val="0"/>
                <w:lang w:val="en-US"/>
              </w:rPr>
            </w:pPr>
            <w:r>
              <w:rPr>
                <w:rFonts w:hint="eastAsia" w:ascii="Times New Roman" w:hAnsi="Times New Roman" w:eastAsia="宋体" w:cs="宋体"/>
                <w:color w:val="000000"/>
                <w:kern w:val="0"/>
                <w:sz w:val="21"/>
                <w:szCs w:val="22"/>
                <w:lang w:val="en-US" w:eastAsia="zh-CN" w:bidi="ar"/>
              </w:rPr>
              <w:t>省民政</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厅社会事务处、市州民政局社会事务科、县市区民政局社会事务股</w:t>
            </w:r>
          </w:p>
        </w:tc>
        <w:tc>
          <w:tcPr>
            <w:tcW w:w="1136"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经营性公墓</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审批情况监督检查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2.</w:t>
            </w:r>
            <w:r>
              <w:rPr>
                <w:rFonts w:hint="eastAsia" w:ascii="Times New Roman" w:hAnsi="Times New Roman" w:eastAsia="宋体" w:cs="宋体"/>
                <w:color w:val="000000"/>
                <w:kern w:val="0"/>
                <w:sz w:val="21"/>
                <w:szCs w:val="22"/>
                <w:lang w:val="en-US" w:eastAsia="zh-CN" w:bidi="ar"/>
              </w:rPr>
              <w:t>建设情况监督检查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经营情况监督检查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4.</w:t>
            </w:r>
            <w:r>
              <w:rPr>
                <w:rFonts w:hint="eastAsia" w:ascii="Times New Roman" w:hAnsi="Times New Roman" w:eastAsia="宋体" w:cs="宋体"/>
                <w:color w:val="000000"/>
                <w:kern w:val="0"/>
                <w:sz w:val="21"/>
                <w:szCs w:val="22"/>
                <w:lang w:val="en-US" w:eastAsia="zh-CN" w:bidi="ar"/>
              </w:rPr>
              <w:t>服务情况监督检查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5.</w:t>
            </w:r>
            <w:r>
              <w:rPr>
                <w:rFonts w:hint="eastAsia" w:ascii="Times New Roman" w:hAnsi="Times New Roman" w:eastAsia="宋体" w:cs="宋体"/>
                <w:color w:val="000000"/>
                <w:kern w:val="0"/>
                <w:sz w:val="21"/>
                <w:szCs w:val="22"/>
                <w:lang w:val="en-US" w:eastAsia="zh-CN" w:bidi="ar"/>
              </w:rPr>
              <w:t>管理情况监督检查</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现场检查、非现场检查相结合</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按本单位每年</w:t>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月底前报经同级司法行政部门备案审查的涉企年度行政检查计划执行</w:t>
            </w:r>
          </w:p>
        </w:tc>
        <w:tc>
          <w:tcPr>
            <w:tcW w:w="1595"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40" w:lineRule="exact"/>
              <w:ind w:left="0" w:right="0"/>
              <w:jc w:val="both"/>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涉企行政检查以属地管辖为原则，有重大影响或者跨县级区域的，由市级民政部门负责，有重大影响或者跨市级区域的，由省级民政部门负责。本系统各层级的检查对象名单，由省民政厅另行公布。</w:t>
            </w:r>
          </w:p>
        </w:tc>
      </w:tr>
      <w:tr>
        <w:tblPrEx>
          <w:tblCellMar>
            <w:top w:w="0" w:type="dxa"/>
            <w:left w:w="108" w:type="dxa"/>
            <w:bottom w:w="0" w:type="dxa"/>
            <w:right w:w="108" w:type="dxa"/>
          </w:tblCellMar>
        </w:tblPrEx>
        <w:trPr>
          <w:trHeight w:val="6500" w:hRule="atLeast"/>
        </w:trPr>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3</w:t>
            </w:r>
          </w:p>
        </w:tc>
        <w:tc>
          <w:tcPr>
            <w:tcW w:w="11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对民办养老机构的行政检查</w:t>
            </w:r>
          </w:p>
        </w:tc>
        <w:tc>
          <w:tcPr>
            <w:tcW w:w="14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民政部门（县级以上）</w:t>
            </w:r>
          </w:p>
        </w:tc>
        <w:tc>
          <w:tcPr>
            <w:tcW w:w="3921" w:type="dxa"/>
            <w:vMerge w:val="restart"/>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80" w:lineRule="exact"/>
              <w:ind w:left="0" w:right="0"/>
              <w:jc w:val="both"/>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《中华人民共和国老年人权益保障法》（</w:t>
            </w:r>
            <w:r>
              <w:rPr>
                <w:rFonts w:hint="default" w:ascii="Times New Roman" w:hAnsi="Times New Roman" w:eastAsia="宋体" w:cs="Times New Roman"/>
                <w:color w:val="000000"/>
                <w:kern w:val="0"/>
                <w:sz w:val="21"/>
                <w:szCs w:val="22"/>
                <w:lang w:val="en-US" w:eastAsia="zh-CN" w:bidi="ar"/>
              </w:rPr>
              <w:t>2018</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12</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29</w:t>
            </w:r>
            <w:r>
              <w:rPr>
                <w:rFonts w:hint="eastAsia" w:ascii="Times New Roman" w:hAnsi="Times New Roman" w:eastAsia="宋体" w:cs="宋体"/>
                <w:color w:val="000000"/>
                <w:kern w:val="0"/>
                <w:sz w:val="21"/>
                <w:szCs w:val="22"/>
                <w:lang w:val="en-US" w:eastAsia="zh-CN" w:bidi="ar"/>
              </w:rPr>
              <w:t>日实施）</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第四十五条第一款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县级以上人民政府民政部门依法履行监督检查职责，可以采取以下措施：</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《养老机构管理办法》（</w:t>
            </w:r>
            <w:r>
              <w:rPr>
                <w:rFonts w:hint="default" w:ascii="Times New Roman" w:hAnsi="Times New Roman" w:eastAsia="宋体" w:cs="Times New Roman"/>
                <w:color w:val="000000"/>
                <w:kern w:val="0"/>
                <w:sz w:val="21"/>
                <w:szCs w:val="22"/>
                <w:lang w:val="en-US" w:eastAsia="zh-CN" w:bidi="ar"/>
              </w:rPr>
              <w:t>2020</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日实施）</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第三十七条第一款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第二款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民政部门实施监督检查时，监督检查人员不得少于</w:t>
            </w:r>
            <w:r>
              <w:rPr>
                <w:rFonts w:hint="default" w:ascii="Times New Roman" w:hAnsi="Times New Roman" w:eastAsia="宋体" w:cs="Times New Roman"/>
                <w:color w:val="000000"/>
                <w:kern w:val="0"/>
                <w:sz w:val="21"/>
                <w:szCs w:val="22"/>
                <w:lang w:val="en-US" w:eastAsia="zh-CN" w:bidi="ar"/>
              </w:rPr>
              <w:t>2</w:t>
            </w:r>
            <w:r>
              <w:rPr>
                <w:rFonts w:hint="eastAsia" w:ascii="Times New Roman" w:hAnsi="Times New Roman" w:eastAsia="宋体" w:cs="宋体"/>
                <w:color w:val="000000"/>
                <w:kern w:val="0"/>
                <w:sz w:val="21"/>
                <w:szCs w:val="22"/>
                <w:lang w:val="en-US" w:eastAsia="zh-CN" w:bidi="ar"/>
              </w:rPr>
              <w:t>人，应当出示执法证件。</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第三款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对民政部门依法进行的监督检</w:t>
            </w:r>
          </w:p>
        </w:tc>
        <w:tc>
          <w:tcPr>
            <w:tcW w:w="10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省民政厅养老服务务处、市州民政局养老服务科、县市区民政局养老服务股</w:t>
            </w:r>
          </w:p>
        </w:tc>
        <w:tc>
          <w:tcPr>
            <w:tcW w:w="11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养老机构（养老机构是指依法办理登记，为老年人提供全日集中住宿和照料护理服务，床位数在</w:t>
            </w:r>
            <w:r>
              <w:rPr>
                <w:rFonts w:hint="default" w:ascii="Times New Roman" w:hAnsi="Times New Roman" w:eastAsia="宋体" w:cs="Times New Roman"/>
                <w:color w:val="000000"/>
                <w:kern w:val="0"/>
                <w:sz w:val="21"/>
                <w:szCs w:val="22"/>
                <w:lang w:val="en-US" w:eastAsia="zh-CN" w:bidi="ar"/>
              </w:rPr>
              <w:t>10</w:t>
            </w:r>
            <w:r>
              <w:rPr>
                <w:rFonts w:hint="eastAsia" w:ascii="Times New Roman" w:hAnsi="Times New Roman" w:eastAsia="宋体" w:cs="宋体"/>
                <w:color w:val="000000"/>
                <w:kern w:val="0"/>
                <w:sz w:val="21"/>
                <w:szCs w:val="22"/>
                <w:lang w:val="en-US" w:eastAsia="zh-CN" w:bidi="ar"/>
              </w:rPr>
              <w:t>张以上的机构）</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备案情况监督检查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2.</w:t>
            </w:r>
            <w:r>
              <w:rPr>
                <w:rFonts w:hint="eastAsia" w:ascii="Times New Roman" w:hAnsi="Times New Roman" w:eastAsia="宋体" w:cs="宋体"/>
                <w:color w:val="000000"/>
                <w:kern w:val="0"/>
                <w:sz w:val="21"/>
                <w:szCs w:val="22"/>
                <w:lang w:val="en-US" w:eastAsia="zh-CN" w:bidi="ar"/>
              </w:rPr>
              <w:t>合同管理监督检查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信息公开监督检查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4.</w:t>
            </w:r>
            <w:r>
              <w:rPr>
                <w:rFonts w:hint="eastAsia" w:ascii="Times New Roman" w:hAnsi="Times New Roman" w:eastAsia="宋体" w:cs="宋体"/>
                <w:color w:val="000000"/>
                <w:kern w:val="0"/>
                <w:sz w:val="21"/>
                <w:szCs w:val="22"/>
                <w:lang w:val="en-US" w:eastAsia="zh-CN" w:bidi="ar"/>
              </w:rPr>
              <w:t>规章制度落实情况监督检查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5.</w:t>
            </w:r>
            <w:r>
              <w:rPr>
                <w:rFonts w:hint="eastAsia" w:ascii="Times New Roman" w:hAnsi="Times New Roman" w:eastAsia="宋体" w:cs="宋体"/>
                <w:color w:val="000000"/>
                <w:kern w:val="0"/>
                <w:sz w:val="21"/>
                <w:szCs w:val="22"/>
                <w:lang w:val="en-US" w:eastAsia="zh-CN" w:bidi="ar"/>
              </w:rPr>
              <w:t>养老服务质量安全检查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6.</w:t>
            </w:r>
            <w:r>
              <w:rPr>
                <w:rFonts w:hint="eastAsia" w:ascii="Times New Roman" w:hAnsi="Times New Roman" w:eastAsia="宋体" w:cs="宋体"/>
                <w:color w:val="000000"/>
                <w:kern w:val="0"/>
                <w:sz w:val="21"/>
                <w:szCs w:val="22"/>
                <w:lang w:val="en-US" w:eastAsia="zh-CN" w:bidi="ar"/>
              </w:rPr>
              <w:t>突发事件应对检查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7.</w:t>
            </w:r>
            <w:r>
              <w:rPr>
                <w:rFonts w:hint="eastAsia" w:ascii="Times New Roman" w:hAnsi="Times New Roman" w:eastAsia="宋体" w:cs="宋体"/>
                <w:color w:val="000000"/>
                <w:kern w:val="0"/>
                <w:sz w:val="21"/>
                <w:szCs w:val="22"/>
                <w:lang w:val="en-US" w:eastAsia="zh-CN" w:bidi="ar"/>
              </w:rPr>
              <w:t>从业人员监督检查</w:t>
            </w:r>
            <w:r>
              <w:rPr>
                <w:rFonts w:hint="default" w:ascii="Times New Roman" w:hAnsi="Times New Roman" w:eastAsia="宋体" w:cs="Times New Roman"/>
                <w:color w:val="000000"/>
                <w:kern w:val="0"/>
                <w:sz w:val="21"/>
                <w:szCs w:val="22"/>
                <w:lang w:val="en-US" w:eastAsia="zh-CN" w:bidi="ar"/>
              </w:rPr>
              <w:br w:type="textWrapping"/>
            </w:r>
          </w:p>
        </w:tc>
        <w:tc>
          <w:tcPr>
            <w:tcW w:w="96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现场检查、非现场检查相结合</w:t>
            </w:r>
          </w:p>
        </w:tc>
        <w:tc>
          <w:tcPr>
            <w:tcW w:w="11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按本单位每年</w:t>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月底前报经同级司法行政部门备案审查的涉企年度行政检查计划执行</w:t>
            </w:r>
          </w:p>
        </w:tc>
        <w:tc>
          <w:tcPr>
            <w:tcW w:w="15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涉企行政检查以属地管辖为原则，有重大影响或者跨县级区域的，由市级民政部门负责，有重大影响或者跨市级区域的，由省级民政部门负责。本系统各层级的检查对象名单，由省民政厅另行公布。</w:t>
            </w:r>
          </w:p>
        </w:tc>
      </w:tr>
      <w:tr>
        <w:tblPrEx>
          <w:tblCellMar>
            <w:top w:w="0" w:type="dxa"/>
            <w:left w:w="108" w:type="dxa"/>
            <w:bottom w:w="0" w:type="dxa"/>
            <w:right w:w="108" w:type="dxa"/>
          </w:tblCellMar>
        </w:tblPrEx>
        <w:trPr>
          <w:trHeight w:val="124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4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5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921" w:type="dxa"/>
            <w:vMerge w:val="continue"/>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5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3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6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9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CellMar>
            <w:top w:w="0" w:type="dxa"/>
            <w:left w:w="108" w:type="dxa"/>
            <w:bottom w:w="0" w:type="dxa"/>
            <w:right w:w="108" w:type="dxa"/>
          </w:tblCellMar>
        </w:tblPrEx>
        <w:trPr>
          <w:trHeight w:val="400" w:hRule="atLeast"/>
        </w:trPr>
        <w:tc>
          <w:tcPr>
            <w:tcW w:w="6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2"/>
                <w:lang w:val="en-US" w:eastAsia="zh-CN" w:bidi="ar"/>
              </w:rPr>
              <w:t>3</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对民办养老机构的行政检查</w:t>
            </w:r>
          </w:p>
        </w:tc>
        <w:tc>
          <w:tcPr>
            <w:tcW w:w="145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民政部门（县级以上）</w:t>
            </w:r>
          </w:p>
        </w:tc>
        <w:tc>
          <w:tcPr>
            <w:tcW w:w="392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default" w:ascii="Times New Roman" w:hAnsi="Times New Roman" w:cs="Times New Roman"/>
                <w:color w:val="000000"/>
                <w:lang w:val="en-US"/>
              </w:rPr>
            </w:pPr>
            <w:r>
              <w:rPr>
                <w:rFonts w:hint="eastAsia" w:ascii="Times New Roman" w:hAnsi="Times New Roman" w:eastAsia="宋体" w:cs="宋体"/>
                <w:color w:val="000000"/>
                <w:kern w:val="0"/>
                <w:sz w:val="21"/>
                <w:szCs w:val="22"/>
                <w:lang w:val="en-US" w:eastAsia="zh-CN" w:bidi="ar"/>
              </w:rPr>
              <w:t>查，养老机构应当配合，如实提供相关资料和信息，不得隐瞒、拒绝、阻碍。</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《民政部</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住房和城乡建设部</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市场监管总局关于推进养老机构</w:t>
            </w:r>
            <w:r>
              <w:rPr>
                <w:rFonts w:hint="default" w:ascii="Times New Roman" w:hAnsi="Times New Roman" w:eastAsia="宋体" w:cs="Times New Roman"/>
                <w:color w:val="000000"/>
                <w:kern w:val="0"/>
                <w:sz w:val="21"/>
                <w:szCs w:val="22"/>
                <w:lang w:val="en-US" w:eastAsia="zh-CN" w:bidi="ar"/>
              </w:rPr>
              <w:t>“</w:t>
            </w:r>
            <w:r>
              <w:rPr>
                <w:rFonts w:hint="eastAsia" w:ascii="Times New Roman" w:hAnsi="Times New Roman" w:eastAsia="宋体" w:cs="宋体"/>
                <w:color w:val="000000"/>
                <w:kern w:val="0"/>
                <w:sz w:val="21"/>
                <w:szCs w:val="22"/>
                <w:lang w:val="en-US" w:eastAsia="zh-CN" w:bidi="ar"/>
              </w:rPr>
              <w:t>双随机、一公开</w:t>
            </w:r>
            <w:r>
              <w:rPr>
                <w:rFonts w:hint="default" w:ascii="Times New Roman" w:hAnsi="Times New Roman" w:eastAsia="宋体" w:cs="Times New Roman"/>
                <w:color w:val="000000"/>
                <w:kern w:val="0"/>
                <w:sz w:val="21"/>
                <w:szCs w:val="22"/>
                <w:lang w:val="en-US" w:eastAsia="zh-CN" w:bidi="ar"/>
              </w:rPr>
              <w:t>”</w:t>
            </w:r>
            <w:r>
              <w:rPr>
                <w:rFonts w:hint="eastAsia" w:ascii="Times New Roman" w:hAnsi="Times New Roman" w:eastAsia="宋体" w:cs="宋体"/>
                <w:color w:val="000000"/>
                <w:kern w:val="0"/>
                <w:sz w:val="21"/>
                <w:szCs w:val="22"/>
                <w:lang w:val="en-US" w:eastAsia="zh-CN" w:bidi="ar"/>
              </w:rPr>
              <w:t>监管的指导意见》（</w:t>
            </w:r>
            <w:r>
              <w:rPr>
                <w:rFonts w:hint="default" w:ascii="Times New Roman" w:hAnsi="Times New Roman" w:eastAsia="宋体" w:cs="Times New Roman"/>
                <w:color w:val="000000"/>
                <w:kern w:val="0"/>
                <w:sz w:val="21"/>
                <w:szCs w:val="22"/>
                <w:lang w:val="en-US" w:eastAsia="zh-CN" w:bidi="ar"/>
              </w:rPr>
              <w:t>2021</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11</w:t>
            </w:r>
            <w:r>
              <w:rPr>
                <w:rFonts w:hint="eastAsia" w:ascii="Times New Roman" w:hAnsi="Times New Roman" w:eastAsia="宋体" w:cs="宋体"/>
                <w:color w:val="000000"/>
                <w:kern w:val="0"/>
                <w:sz w:val="21"/>
                <w:szCs w:val="22"/>
                <w:lang w:val="en-US" w:eastAsia="zh-CN" w:bidi="ar"/>
              </w:rPr>
              <w:t>日实施）</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《国务院办公厅关于建立健全养老服务综合监管制度促进养老服务高质量发展的意见》（</w:t>
            </w:r>
            <w:r>
              <w:rPr>
                <w:rFonts w:hint="default" w:ascii="Times New Roman" w:hAnsi="Times New Roman" w:eastAsia="宋体" w:cs="Times New Roman"/>
                <w:color w:val="000000"/>
                <w:kern w:val="0"/>
                <w:sz w:val="21"/>
                <w:szCs w:val="22"/>
                <w:lang w:val="en-US" w:eastAsia="zh-CN" w:bidi="ar"/>
              </w:rPr>
              <w:t>2020</w:t>
            </w:r>
            <w:r>
              <w:rPr>
                <w:rFonts w:hint="eastAsia" w:ascii="Times New Roman" w:hAnsi="Times New Roman" w:eastAsia="宋体" w:cs="宋体"/>
                <w:color w:val="000000"/>
                <w:kern w:val="0"/>
                <w:sz w:val="21"/>
                <w:szCs w:val="22"/>
                <w:lang w:val="en-US" w:eastAsia="zh-CN" w:bidi="ar"/>
              </w:rPr>
              <w:t>年</w:t>
            </w:r>
            <w:r>
              <w:rPr>
                <w:rFonts w:hint="default" w:ascii="Times New Roman" w:hAnsi="Times New Roman" w:eastAsia="宋体" w:cs="Times New Roman"/>
                <w:color w:val="000000"/>
                <w:kern w:val="0"/>
                <w:sz w:val="21"/>
                <w:szCs w:val="22"/>
                <w:lang w:val="en-US" w:eastAsia="zh-CN" w:bidi="ar"/>
              </w:rPr>
              <w:t>11</w:t>
            </w:r>
            <w:r>
              <w:rPr>
                <w:rFonts w:hint="eastAsia" w:ascii="Times New Roman" w:hAnsi="Times New Roman" w:eastAsia="宋体" w:cs="宋体"/>
                <w:color w:val="000000"/>
                <w:kern w:val="0"/>
                <w:sz w:val="21"/>
                <w:szCs w:val="22"/>
                <w:lang w:val="en-US" w:eastAsia="zh-CN" w:bidi="ar"/>
              </w:rPr>
              <w:t>月</w:t>
            </w:r>
            <w:r>
              <w:rPr>
                <w:rFonts w:hint="default" w:ascii="Times New Roman" w:hAnsi="Times New Roman" w:eastAsia="宋体" w:cs="Times New Roman"/>
                <w:color w:val="000000"/>
                <w:kern w:val="0"/>
                <w:sz w:val="21"/>
                <w:szCs w:val="22"/>
                <w:lang w:val="en-US" w:eastAsia="zh-CN" w:bidi="ar"/>
              </w:rPr>
              <w:t>26</w:t>
            </w:r>
            <w:r>
              <w:rPr>
                <w:rFonts w:hint="eastAsia" w:ascii="Times New Roman" w:hAnsi="Times New Roman" w:eastAsia="宋体" w:cs="宋体"/>
                <w:color w:val="000000"/>
                <w:kern w:val="0"/>
                <w:sz w:val="21"/>
                <w:szCs w:val="22"/>
                <w:lang w:val="en-US" w:eastAsia="zh-CN" w:bidi="ar"/>
              </w:rPr>
              <w:t>日实施）</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《民政部关于印发</w:t>
            </w:r>
            <w:r>
              <w:rPr>
                <w:rFonts w:hint="default" w:ascii="Times New Roman" w:hAnsi="Times New Roman" w:eastAsia="宋体" w:cs="Times New Roman"/>
                <w:color w:val="000000"/>
                <w:kern w:val="0"/>
                <w:sz w:val="21"/>
                <w:szCs w:val="22"/>
                <w:lang w:val="en-US" w:eastAsia="zh-CN" w:bidi="ar"/>
              </w:rPr>
              <w:t>&lt;</w:t>
            </w:r>
            <w:r>
              <w:rPr>
                <w:rFonts w:hint="eastAsia" w:ascii="Times New Roman" w:hAnsi="Times New Roman" w:eastAsia="宋体" w:cs="宋体"/>
                <w:color w:val="000000"/>
                <w:kern w:val="0"/>
                <w:sz w:val="21"/>
                <w:szCs w:val="22"/>
                <w:lang w:val="en-US" w:eastAsia="zh-CN" w:bidi="ar"/>
              </w:rPr>
              <w:t>养老机构行政检查办法</w:t>
            </w:r>
            <w:r>
              <w:rPr>
                <w:rFonts w:hint="default" w:ascii="Times New Roman" w:hAnsi="Times New Roman" w:eastAsia="宋体" w:cs="Times New Roman"/>
                <w:color w:val="000000"/>
                <w:kern w:val="0"/>
                <w:sz w:val="21"/>
                <w:szCs w:val="22"/>
                <w:lang w:val="en-US" w:eastAsia="zh-CN" w:bidi="ar"/>
              </w:rPr>
              <w:t>&gt;</w:t>
            </w:r>
            <w:r>
              <w:rPr>
                <w:rFonts w:hint="eastAsia" w:ascii="Times New Roman" w:hAnsi="Times New Roman" w:eastAsia="宋体" w:cs="宋体"/>
                <w:color w:val="000000"/>
                <w:kern w:val="0"/>
                <w:sz w:val="21"/>
                <w:szCs w:val="22"/>
                <w:lang w:val="en-US" w:eastAsia="zh-CN" w:bidi="ar"/>
              </w:rPr>
              <w:t>的通知》第四条第一款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已经备案的养老机构，由办理备案的民政部门实施行政检查。未备案的养老机构，由服务场所所在地的县级人民政府民政部门实施行政检查。</w:t>
            </w:r>
            <w:r>
              <w:rPr>
                <w:rFonts w:hint="default" w:ascii="Times New Roman" w:hAnsi="Times New Roman" w:eastAsia="宋体" w:cs="Times New Roman"/>
                <w:color w:val="000000"/>
                <w:kern w:val="0"/>
                <w:sz w:val="21"/>
                <w:szCs w:val="22"/>
                <w:lang w:val="en-US" w:eastAsia="zh-CN" w:bidi="ar"/>
              </w:rPr>
              <w:br w:type="textWrapping"/>
            </w:r>
            <w:r>
              <w:rPr>
                <w:rFonts w:hint="eastAsia" w:ascii="Times New Roman" w:hAnsi="Times New Roman" w:eastAsia="宋体" w:cs="宋体"/>
                <w:color w:val="000000"/>
                <w:kern w:val="0"/>
                <w:sz w:val="21"/>
                <w:szCs w:val="22"/>
                <w:lang w:val="en-US" w:eastAsia="zh-CN" w:bidi="ar"/>
              </w:rPr>
              <w:t>第二款</w:t>
            </w:r>
            <w:r>
              <w:rPr>
                <w:rFonts w:hint="default" w:ascii="Times New Roman" w:hAnsi="Times New Roman" w:eastAsia="宋体" w:cs="Times New Roman"/>
                <w:color w:val="000000"/>
                <w:kern w:val="0"/>
                <w:sz w:val="21"/>
                <w:szCs w:val="22"/>
                <w:lang w:val="en-US" w:eastAsia="zh-CN" w:bidi="ar"/>
              </w:rPr>
              <w:t xml:space="preserve"> </w:t>
            </w:r>
            <w:r>
              <w:rPr>
                <w:rFonts w:hint="eastAsia" w:ascii="Times New Roman" w:hAnsi="Times New Roman" w:eastAsia="宋体" w:cs="宋体"/>
                <w:color w:val="000000"/>
                <w:kern w:val="0"/>
                <w:sz w:val="21"/>
                <w:szCs w:val="22"/>
                <w:lang w:val="en-US" w:eastAsia="zh-CN" w:bidi="ar"/>
              </w:rPr>
              <w:t>上级民政部门可以通过查看养老机构服务场所、向养老机构和个人了解情况等方式监督指导下级民政部门开展行政检查工作。</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eastAsia" w:ascii="Times New Roman" w:hAnsi="Times New Roman" w:eastAsia="宋体" w:cs="宋体"/>
                <w:color w:val="000000"/>
                <w:kern w:val="0"/>
                <w:sz w:val="21"/>
                <w:szCs w:val="22"/>
                <w:lang w:val="en-US" w:eastAsia="zh-CN" w:bidi="ar"/>
              </w:rPr>
              <w:t>省民政厅养老服务务处、市州民政局养老服务科、县市区民政局养老服务股</w:t>
            </w:r>
          </w:p>
        </w:tc>
        <w:tc>
          <w:tcPr>
            <w:tcW w:w="1136"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eastAsia" w:ascii="Times New Roman" w:hAnsi="Times New Roman" w:eastAsia="宋体" w:cs="宋体"/>
                <w:color w:val="000000"/>
                <w:kern w:val="0"/>
                <w:sz w:val="21"/>
                <w:szCs w:val="22"/>
                <w:lang w:val="en-US" w:eastAsia="zh-CN" w:bidi="ar"/>
              </w:rPr>
              <w:t>养老机构（养老机构是指依法办理登记，为老年人提供全日集中住宿和照料护理服务，床位数在</w:t>
            </w:r>
            <w:r>
              <w:rPr>
                <w:rFonts w:hint="default" w:ascii="Times New Roman" w:hAnsi="Times New Roman" w:eastAsia="宋体" w:cs="Times New Roman"/>
                <w:color w:val="000000"/>
                <w:kern w:val="0"/>
                <w:sz w:val="21"/>
                <w:szCs w:val="22"/>
                <w:lang w:val="en-US" w:eastAsia="zh-CN" w:bidi="ar"/>
              </w:rPr>
              <w:t>10</w:t>
            </w:r>
            <w:r>
              <w:rPr>
                <w:rFonts w:hint="eastAsia" w:ascii="Times New Roman" w:hAnsi="Times New Roman" w:eastAsia="宋体" w:cs="宋体"/>
                <w:color w:val="000000"/>
                <w:kern w:val="0"/>
                <w:sz w:val="21"/>
                <w:szCs w:val="22"/>
                <w:lang w:val="en-US" w:eastAsia="zh-CN" w:bidi="ar"/>
              </w:rPr>
              <w:t>张以上的机构）</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default" w:ascii="Times New Roman" w:hAnsi="Times New Roman" w:eastAsia="宋体" w:cs="Times New Roman"/>
                <w:color w:val="000000"/>
                <w:kern w:val="0"/>
                <w:sz w:val="21"/>
                <w:szCs w:val="22"/>
                <w:lang w:val="en-US" w:eastAsia="zh-CN" w:bidi="ar"/>
              </w:rPr>
              <w:t>1.</w:t>
            </w:r>
            <w:r>
              <w:rPr>
                <w:rFonts w:hint="eastAsia" w:ascii="Times New Roman" w:hAnsi="Times New Roman" w:eastAsia="宋体" w:cs="宋体"/>
                <w:color w:val="000000"/>
                <w:kern w:val="0"/>
                <w:sz w:val="21"/>
                <w:szCs w:val="22"/>
                <w:lang w:val="en-US" w:eastAsia="zh-CN" w:bidi="ar"/>
              </w:rPr>
              <w:t>备案情况监督检查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2.</w:t>
            </w:r>
            <w:r>
              <w:rPr>
                <w:rFonts w:hint="eastAsia" w:ascii="Times New Roman" w:hAnsi="Times New Roman" w:eastAsia="宋体" w:cs="宋体"/>
                <w:color w:val="000000"/>
                <w:kern w:val="0"/>
                <w:sz w:val="21"/>
                <w:szCs w:val="22"/>
                <w:lang w:val="en-US" w:eastAsia="zh-CN" w:bidi="ar"/>
              </w:rPr>
              <w:t>合同管理监督检查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信息公开监督检查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4.</w:t>
            </w:r>
            <w:r>
              <w:rPr>
                <w:rFonts w:hint="eastAsia" w:ascii="Times New Roman" w:hAnsi="Times New Roman" w:eastAsia="宋体" w:cs="宋体"/>
                <w:color w:val="000000"/>
                <w:kern w:val="0"/>
                <w:sz w:val="21"/>
                <w:szCs w:val="22"/>
                <w:lang w:val="en-US" w:eastAsia="zh-CN" w:bidi="ar"/>
              </w:rPr>
              <w:t>规章制度落实情况监督检查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5.</w:t>
            </w:r>
            <w:r>
              <w:rPr>
                <w:rFonts w:hint="eastAsia" w:ascii="Times New Roman" w:hAnsi="Times New Roman" w:eastAsia="宋体" w:cs="宋体"/>
                <w:color w:val="000000"/>
                <w:kern w:val="0"/>
                <w:sz w:val="21"/>
                <w:szCs w:val="22"/>
                <w:lang w:val="en-US" w:eastAsia="zh-CN" w:bidi="ar"/>
              </w:rPr>
              <w:t>养老服务质量安全检查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6.</w:t>
            </w:r>
            <w:r>
              <w:rPr>
                <w:rFonts w:hint="eastAsia" w:ascii="Times New Roman" w:hAnsi="Times New Roman" w:eastAsia="宋体" w:cs="宋体"/>
                <w:color w:val="000000"/>
                <w:kern w:val="0"/>
                <w:sz w:val="21"/>
                <w:szCs w:val="22"/>
                <w:lang w:val="en-US" w:eastAsia="zh-CN" w:bidi="ar"/>
              </w:rPr>
              <w:t>突发事件应对检查</w:t>
            </w:r>
            <w:r>
              <w:rPr>
                <w:rFonts w:hint="default" w:ascii="Times New Roman" w:hAnsi="Times New Roman" w:eastAsia="宋体" w:cs="Times New Roman"/>
                <w:color w:val="000000"/>
                <w:kern w:val="0"/>
                <w:sz w:val="21"/>
                <w:szCs w:val="22"/>
                <w:lang w:val="en-US" w:eastAsia="zh-CN" w:bidi="ar"/>
              </w:rPr>
              <w:br w:type="textWrapping"/>
            </w:r>
            <w:r>
              <w:rPr>
                <w:rFonts w:hint="default" w:ascii="Times New Roman" w:hAnsi="Times New Roman" w:eastAsia="宋体" w:cs="Times New Roman"/>
                <w:color w:val="000000"/>
                <w:kern w:val="0"/>
                <w:sz w:val="21"/>
                <w:szCs w:val="22"/>
                <w:lang w:val="en-US" w:eastAsia="zh-CN" w:bidi="ar"/>
              </w:rPr>
              <w:t>7.</w:t>
            </w:r>
            <w:r>
              <w:rPr>
                <w:rFonts w:hint="eastAsia" w:ascii="Times New Roman" w:hAnsi="Times New Roman" w:eastAsia="宋体" w:cs="宋体"/>
                <w:color w:val="000000"/>
                <w:kern w:val="0"/>
                <w:sz w:val="21"/>
                <w:szCs w:val="22"/>
                <w:lang w:val="en-US" w:eastAsia="zh-CN" w:bidi="ar"/>
              </w:rPr>
              <w:t>从业人员监督检查</w:t>
            </w:r>
            <w:r>
              <w:rPr>
                <w:rFonts w:hint="default" w:ascii="Times New Roman" w:hAnsi="Times New Roman" w:eastAsia="宋体" w:cs="Times New Roman"/>
                <w:color w:val="000000"/>
                <w:kern w:val="0"/>
                <w:sz w:val="21"/>
                <w:szCs w:val="22"/>
                <w:lang w:val="en-US" w:eastAsia="zh-CN" w:bidi="ar"/>
              </w:rPr>
              <w:br w:type="textWrapping"/>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eastAsia" w:ascii="Times New Roman" w:hAnsi="Times New Roman" w:eastAsia="宋体" w:cs="宋体"/>
                <w:color w:val="000000"/>
                <w:kern w:val="0"/>
                <w:sz w:val="21"/>
                <w:szCs w:val="22"/>
                <w:lang w:val="en-US" w:eastAsia="zh-CN" w:bidi="ar"/>
              </w:rPr>
              <w:t>现场检查、非现场检查相结合</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eastAsia" w:ascii="Times New Roman" w:hAnsi="Times New Roman" w:eastAsia="宋体" w:cs="宋体"/>
                <w:color w:val="000000"/>
                <w:kern w:val="0"/>
                <w:sz w:val="21"/>
                <w:szCs w:val="22"/>
                <w:lang w:val="en-US" w:eastAsia="zh-CN" w:bidi="ar"/>
              </w:rPr>
              <w:t>按本单位每年</w:t>
            </w:r>
            <w:r>
              <w:rPr>
                <w:rFonts w:hint="default" w:ascii="Times New Roman" w:hAnsi="Times New Roman" w:eastAsia="宋体" w:cs="Times New Roman"/>
                <w:color w:val="000000"/>
                <w:kern w:val="0"/>
                <w:sz w:val="21"/>
                <w:szCs w:val="22"/>
                <w:lang w:val="en-US" w:eastAsia="zh-CN" w:bidi="ar"/>
              </w:rPr>
              <w:t>3</w:t>
            </w:r>
            <w:r>
              <w:rPr>
                <w:rFonts w:hint="eastAsia" w:ascii="Times New Roman" w:hAnsi="Times New Roman" w:eastAsia="宋体" w:cs="宋体"/>
                <w:color w:val="000000"/>
                <w:kern w:val="0"/>
                <w:sz w:val="21"/>
                <w:szCs w:val="22"/>
                <w:lang w:val="en-US" w:eastAsia="zh-CN" w:bidi="ar"/>
              </w:rPr>
              <w:t>月底前报经同级司法行政部门备案审查的涉企年度行政检查计划执行</w:t>
            </w:r>
          </w:p>
        </w:tc>
        <w:tc>
          <w:tcPr>
            <w:tcW w:w="1595" w:type="dxa"/>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color w:val="000000"/>
                <w:szCs w:val="24"/>
                <w:lang w:val="en-US"/>
              </w:rPr>
            </w:pPr>
            <w:r>
              <w:rPr>
                <w:rFonts w:hint="eastAsia" w:ascii="Times New Roman" w:hAnsi="Times New Roman" w:eastAsia="宋体" w:cs="宋体"/>
                <w:color w:val="000000"/>
                <w:kern w:val="0"/>
                <w:sz w:val="21"/>
                <w:szCs w:val="22"/>
                <w:lang w:val="en-US" w:eastAsia="zh-CN" w:bidi="ar"/>
              </w:rPr>
              <w:t>涉企行政检查以属地管辖为原则，有重大影响或者跨县级区域的，由市级民政部门负责，有重大影响或者跨市级区域的，由省级民政部门负责。本系统各层级的检查对象名单，由省民政厅另行公布。</w:t>
            </w:r>
          </w:p>
        </w:tc>
      </w:tr>
      <w:tr>
        <w:tblPrEx>
          <w:tblCellMar>
            <w:top w:w="0" w:type="dxa"/>
            <w:left w:w="108" w:type="dxa"/>
            <w:bottom w:w="0" w:type="dxa"/>
            <w:right w:w="108" w:type="dxa"/>
          </w:tblCellMar>
        </w:tblPrEx>
        <w:trPr>
          <w:trHeight w:val="1600" w:hRule="atLeast"/>
        </w:trPr>
        <w:tc>
          <w:tcPr>
            <w:tcW w:w="14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textAlignment w:val="center"/>
              <w:rPr>
                <w:rFonts w:hint="default" w:ascii="Times New Roman" w:hAnsi="Times New Roman" w:cs="Times New Roman"/>
                <w:b/>
                <w:color w:val="000000"/>
                <w:lang w:val="en-US"/>
              </w:rPr>
            </w:pPr>
            <w:r>
              <w:rPr>
                <w:rFonts w:hint="eastAsia" w:ascii="Times New Roman" w:hAnsi="Times New Roman" w:eastAsia="宋体" w:cs="宋体"/>
                <w:b/>
                <w:color w:val="000000"/>
                <w:kern w:val="0"/>
                <w:sz w:val="21"/>
                <w:szCs w:val="22"/>
                <w:lang w:val="en-US" w:eastAsia="zh-CN" w:bidi="ar"/>
              </w:rPr>
              <w:t>说明：</w:t>
            </w:r>
            <w:r>
              <w:rPr>
                <w:rFonts w:hint="default" w:ascii="Times New Roman" w:hAnsi="Times New Roman" w:eastAsia="宋体" w:cs="Times New Roman"/>
                <w:color w:val="000000"/>
                <w:kern w:val="2"/>
                <w:sz w:val="21"/>
                <w:szCs w:val="22"/>
                <w:lang w:val="en-US" w:eastAsia="zh-CN" w:bidi="ar"/>
              </w:rPr>
              <w:br w:type="textWrapping"/>
            </w:r>
            <w:r>
              <w:rPr>
                <w:rFonts w:hint="default" w:ascii="Times New Roman" w:hAnsi="Times New Roman" w:eastAsia="宋体" w:cs="Times New Roman"/>
                <w:b/>
                <w:color w:val="000000"/>
                <w:kern w:val="0"/>
                <w:sz w:val="21"/>
                <w:szCs w:val="22"/>
                <w:lang w:val="en-US" w:eastAsia="zh-CN" w:bidi="ar"/>
              </w:rPr>
              <w:t>1.</w:t>
            </w:r>
            <w:r>
              <w:rPr>
                <w:rFonts w:hint="eastAsia" w:ascii="Times New Roman" w:hAnsi="Times New Roman" w:eastAsia="宋体" w:cs="宋体"/>
                <w:b/>
                <w:color w:val="000000"/>
                <w:kern w:val="0"/>
                <w:sz w:val="21"/>
                <w:szCs w:val="22"/>
                <w:lang w:val="en-US" w:eastAsia="zh-CN" w:bidi="ar"/>
              </w:rPr>
              <w:t>本清单根据有关法律法规规章立改废情况进行动态调整。</w:t>
            </w:r>
            <w:r>
              <w:rPr>
                <w:rFonts w:hint="default" w:ascii="Times New Roman" w:hAnsi="Times New Roman" w:eastAsia="宋体" w:cs="Times New Roman"/>
                <w:b/>
                <w:color w:val="000000"/>
                <w:kern w:val="0"/>
                <w:sz w:val="21"/>
                <w:szCs w:val="22"/>
                <w:lang w:val="en-US" w:eastAsia="zh-CN" w:bidi="ar"/>
              </w:rPr>
              <w:br w:type="textWrapping"/>
            </w:r>
            <w:r>
              <w:rPr>
                <w:rFonts w:hint="default" w:ascii="Times New Roman" w:hAnsi="Times New Roman" w:eastAsia="宋体" w:cs="Times New Roman"/>
                <w:b/>
                <w:color w:val="000000"/>
                <w:kern w:val="0"/>
                <w:sz w:val="21"/>
                <w:szCs w:val="22"/>
                <w:lang w:val="en-US" w:eastAsia="zh-CN" w:bidi="ar"/>
              </w:rPr>
              <w:t>2.</w:t>
            </w:r>
            <w:r>
              <w:rPr>
                <w:rFonts w:hint="eastAsia" w:ascii="Times New Roman" w:hAnsi="Times New Roman" w:eastAsia="宋体" w:cs="宋体"/>
                <w:b/>
                <w:color w:val="000000"/>
                <w:kern w:val="0"/>
                <w:sz w:val="21"/>
                <w:szCs w:val="22"/>
                <w:lang w:val="en-US" w:eastAsia="zh-CN" w:bidi="ar"/>
              </w:rPr>
              <w:t>严禁本系统省、市、县三级行政执法机关（含所属法律法规授权组织）对同一检查对象进行重复行政检查。</w:t>
            </w:r>
            <w:r>
              <w:rPr>
                <w:rFonts w:hint="default" w:ascii="Times New Roman" w:hAnsi="Times New Roman" w:eastAsia="宋体" w:cs="Times New Roman"/>
                <w:b/>
                <w:color w:val="000000"/>
                <w:kern w:val="0"/>
                <w:sz w:val="21"/>
                <w:szCs w:val="22"/>
                <w:lang w:val="en-US" w:eastAsia="zh-CN" w:bidi="ar"/>
              </w:rPr>
              <w:br w:type="textWrapping"/>
            </w:r>
            <w:r>
              <w:rPr>
                <w:rFonts w:hint="default" w:ascii="Times New Roman" w:hAnsi="Times New Roman" w:eastAsia="宋体" w:cs="Times New Roman"/>
                <w:b/>
                <w:color w:val="000000"/>
                <w:kern w:val="0"/>
                <w:sz w:val="21"/>
                <w:szCs w:val="22"/>
                <w:lang w:val="en-US" w:eastAsia="zh-CN" w:bidi="ar"/>
              </w:rPr>
              <w:t>3.</w:t>
            </w:r>
            <w:r>
              <w:rPr>
                <w:rFonts w:hint="eastAsia" w:ascii="Times New Roman" w:hAnsi="Times New Roman" w:eastAsia="宋体" w:cs="宋体"/>
                <w:b/>
                <w:color w:val="000000"/>
                <w:kern w:val="0"/>
                <w:sz w:val="21"/>
                <w:szCs w:val="22"/>
                <w:lang w:val="en-US" w:eastAsia="zh-CN" w:bidi="ar"/>
              </w:rPr>
              <w:t>本机关对于未列入清单的涉企行政检查事项一律不得实施行政检查；违规实施的，企业有权拒绝接受检查，并可以向厅政策法规处（本机关行政执法监督机构，联系电话：</w:t>
            </w:r>
            <w:r>
              <w:rPr>
                <w:rFonts w:hint="default" w:ascii="Times New Roman" w:hAnsi="Times New Roman" w:eastAsia="宋体" w:cs="Times New Roman"/>
                <w:b/>
                <w:color w:val="000000"/>
                <w:kern w:val="0"/>
                <w:sz w:val="21"/>
                <w:szCs w:val="22"/>
                <w:lang w:val="en-US" w:eastAsia="zh-CN" w:bidi="ar"/>
              </w:rPr>
              <w:t>0731-84502053</w:t>
            </w:r>
            <w:r>
              <w:rPr>
                <w:rFonts w:hint="eastAsia" w:ascii="Times New Roman" w:hAnsi="Times New Roman" w:eastAsia="宋体" w:cs="宋体"/>
                <w:b/>
                <w:color w:val="000000"/>
                <w:kern w:val="0"/>
                <w:sz w:val="21"/>
                <w:szCs w:val="22"/>
                <w:lang w:val="en-US" w:eastAsia="zh-CN" w:bidi="ar"/>
              </w:rPr>
              <w:t>；电子邮箱：</w:t>
            </w:r>
            <w:r>
              <w:rPr>
                <w:rFonts w:hint="default" w:ascii="Times New Roman" w:hAnsi="Times New Roman" w:eastAsia="宋体" w:cs="Times New Roman"/>
                <w:b/>
                <w:color w:val="000000"/>
                <w:kern w:val="0"/>
                <w:sz w:val="21"/>
                <w:szCs w:val="22"/>
                <w:lang w:val="en-US" w:eastAsia="zh-CN" w:bidi="ar"/>
              </w:rPr>
              <w:t>hnsmztzfjd@126.com</w:t>
            </w:r>
            <w:r>
              <w:rPr>
                <w:rFonts w:hint="eastAsia" w:ascii="Times New Roman" w:hAnsi="Times New Roman" w:eastAsia="宋体" w:cs="宋体"/>
                <w:b/>
                <w:color w:val="000000"/>
                <w:kern w:val="0"/>
                <w:sz w:val="21"/>
                <w:szCs w:val="22"/>
                <w:lang w:val="en-US" w:eastAsia="zh-CN" w:bidi="ar"/>
              </w:rPr>
              <w:t>）和省司法厅（联系电话：</w:t>
            </w:r>
            <w:r>
              <w:rPr>
                <w:rFonts w:hint="default" w:ascii="Times New Roman" w:hAnsi="Times New Roman" w:eastAsia="宋体" w:cs="Times New Roman"/>
                <w:b/>
                <w:color w:val="000000"/>
                <w:kern w:val="0"/>
                <w:sz w:val="21"/>
                <w:szCs w:val="22"/>
                <w:lang w:val="en-US" w:eastAsia="zh-CN" w:bidi="ar"/>
              </w:rPr>
              <w:t>0731-84588562</w:t>
            </w:r>
            <w:r>
              <w:rPr>
                <w:rFonts w:hint="eastAsia" w:ascii="Times New Roman" w:hAnsi="Times New Roman" w:eastAsia="宋体" w:cs="宋体"/>
                <w:b/>
                <w:color w:val="000000"/>
                <w:kern w:val="0"/>
                <w:sz w:val="21"/>
                <w:szCs w:val="22"/>
                <w:lang w:val="en-US" w:eastAsia="zh-CN" w:bidi="ar"/>
              </w:rPr>
              <w:t>，电子邮箱：</w:t>
            </w:r>
            <w:r>
              <w:rPr>
                <w:rFonts w:hint="default" w:ascii="Times New Roman" w:hAnsi="Times New Roman" w:eastAsia="宋体" w:cs="Times New Roman"/>
                <w:b/>
                <w:color w:val="000000"/>
                <w:kern w:val="0"/>
                <w:sz w:val="21"/>
                <w:szCs w:val="22"/>
                <w:lang w:val="en-US" w:eastAsia="zh-CN" w:bidi="ar"/>
              </w:rPr>
              <w:t>zhifajianduchu111@163.com</w:t>
            </w:r>
            <w:r>
              <w:rPr>
                <w:rFonts w:hint="eastAsia" w:ascii="Times New Roman" w:hAnsi="Times New Roman" w:eastAsia="宋体" w:cs="宋体"/>
                <w:b/>
                <w:color w:val="000000"/>
                <w:kern w:val="0"/>
                <w:sz w:val="21"/>
                <w:szCs w:val="22"/>
                <w:lang w:val="en-US" w:eastAsia="zh-CN" w:bidi="ar"/>
              </w:rPr>
              <w:t>）举报。</w:t>
            </w:r>
          </w:p>
        </w:tc>
      </w:tr>
    </w:tbl>
    <w:p>
      <w:pPr>
        <w:keepNext w:val="0"/>
        <w:keepLines w:val="0"/>
        <w:widowControl w:val="0"/>
        <w:suppressLineNumbers w:val="0"/>
        <w:spacing w:before="0" w:beforeAutospacing="0" w:after="0" w:afterAutospacing="0" w:line="40" w:lineRule="exact"/>
        <w:ind w:left="0" w:right="0"/>
        <w:jc w:val="left"/>
        <w:rPr>
          <w:rFonts w:hint="default" w:ascii="Times New Roman" w:hAnsi="Times New Roman" w:eastAsia="仿宋_GB2312" w:cs="Times New Roman"/>
          <w:b/>
          <w:kern w:val="0"/>
          <w:sz w:val="32"/>
          <w:szCs w:val="32"/>
          <w:lang w:val="en-US" w:bidi="ar"/>
        </w:rPr>
      </w:pPr>
    </w:p>
    <w:p>
      <w:pPr>
        <w:rPr>
          <w:rFonts w:hint="default" w:ascii="Times New Roman" w:hAnsi="Times New Roman" w:eastAsia="仿宋" w:cs="Times New Roman"/>
          <w:b/>
          <w:sz w:val="32"/>
          <w:szCs w:val="32"/>
          <w:lang w:val="en-US" w:eastAsia="zh-CN" w:bidi="ar"/>
        </w:rPr>
        <w:sectPr>
          <w:footerReference r:id="rId3" w:type="default"/>
          <w:pgSz w:w="16838" w:h="11906" w:orient="landscape"/>
          <w:pgMar w:top="1814" w:right="1474" w:bottom="1361" w:left="1587" w:header="1" w:footer="1417" w:gutter="0"/>
          <w:pgNumType w:fmt="decimal"/>
          <w:cols w:space="425" w:num="1"/>
          <w:docGrid w:type="lines" w:linePitch="323" w:charSpace="0"/>
        </w:sectPr>
      </w:pPr>
    </w:p>
    <w:p>
      <w:pPr>
        <w:keepNext w:val="0"/>
        <w:keepLines w:val="0"/>
        <w:widowControl w:val="0"/>
        <w:suppressLineNumbers w:val="0"/>
        <w:spacing w:before="0" w:beforeAutospacing="0" w:after="159" w:afterLines="50" w:afterAutospacing="0" w:line="560" w:lineRule="exact"/>
        <w:ind w:left="0" w:right="0"/>
        <w:jc w:val="center"/>
        <w:rPr>
          <w:rFonts w:hint="default" w:ascii="Times New Roman" w:hAnsi="Times New Roman" w:eastAsia="仿宋_GB2312" w:cs="Times New Roman"/>
          <w:b/>
          <w:kern w:val="0"/>
          <w:sz w:val="32"/>
          <w:szCs w:val="32"/>
          <w:lang w:val="en-US" w:bidi="ar"/>
        </w:rPr>
      </w:pPr>
      <w:r>
        <w:rPr>
          <w:rFonts w:hint="eastAsia" w:ascii="Times New Roman" w:hAnsi="Times New Roman" w:eastAsia="方正小标宋简体" w:cs="方正小标宋简体"/>
          <w:color w:val="000000"/>
          <w:kern w:val="0"/>
          <w:sz w:val="44"/>
          <w:szCs w:val="44"/>
          <w:lang w:val="en-US" w:eastAsia="zh-CN" w:bidi="ar"/>
        </w:rPr>
        <w:t>湖南省民政厅</w:t>
      </w:r>
      <w:r>
        <w:rPr>
          <w:rFonts w:hint="default" w:ascii="Times New Roman" w:hAnsi="Times New Roman" w:eastAsia="方正小标宋简体" w:cs="Times New Roman"/>
          <w:color w:val="000000"/>
          <w:kern w:val="0"/>
          <w:sz w:val="44"/>
          <w:szCs w:val="44"/>
          <w:lang w:val="en-US" w:eastAsia="zh-CN" w:bidi="ar"/>
        </w:rPr>
        <w:t>2025</w:t>
      </w:r>
      <w:r>
        <w:rPr>
          <w:rFonts w:hint="eastAsia" w:ascii="Times New Roman" w:hAnsi="Times New Roman" w:eastAsia="方正小标宋简体" w:cs="方正小标宋简体"/>
          <w:color w:val="000000"/>
          <w:kern w:val="0"/>
          <w:sz w:val="44"/>
          <w:szCs w:val="44"/>
          <w:lang w:val="en-US" w:eastAsia="zh-CN" w:bidi="ar"/>
        </w:rPr>
        <w:t>年度涉企行政检查计划（经营性公墓）</w:t>
      </w:r>
    </w:p>
    <w:tbl>
      <w:tblPr>
        <w:tblStyle w:val="5"/>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5"/>
        <w:gridCol w:w="1140"/>
        <w:gridCol w:w="1365"/>
        <w:gridCol w:w="1830"/>
        <w:gridCol w:w="1277"/>
        <w:gridCol w:w="1281"/>
        <w:gridCol w:w="1251"/>
        <w:gridCol w:w="1166"/>
        <w:gridCol w:w="1125"/>
        <w:gridCol w:w="2735"/>
        <w:gridCol w:w="93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blHeader/>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检查事项</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实施依据</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具体检查对象(含数量)或“双随机”抽查对象（含总数及比例）</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检查</w:t>
            </w:r>
          </w:p>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内容</w:t>
            </w:r>
          </w:p>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（项目）</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拟实施检查时间</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检查方式</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年度检查频次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承办机构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Style w:val="10"/>
                <w:rFonts w:hint="eastAsia" w:ascii="宋体" w:hAnsi="宋体" w:cs="宋体"/>
                <w:b/>
                <w:kern w:val="2"/>
                <w:sz w:val="16"/>
                <w:szCs w:val="21"/>
                <w:lang w:val="en-US" w:eastAsia="zh-CN" w:bidi="ar"/>
              </w:rPr>
            </w:pPr>
            <w:r>
              <w:rPr>
                <w:rStyle w:val="10"/>
                <w:rFonts w:ascii="宋体" w:hAnsi="宋体" w:cs="宋体"/>
                <w:b/>
                <w:kern w:val="2"/>
                <w:sz w:val="16"/>
                <w:szCs w:val="21"/>
                <w:lang w:val="en-US" w:eastAsia="zh-CN" w:bidi="ar"/>
              </w:rPr>
              <w:t>是否属</w:t>
            </w:r>
            <w:r>
              <w:rPr>
                <w:rStyle w:val="10"/>
                <w:rFonts w:hint="eastAsia" w:ascii="宋体" w:hAnsi="宋体" w:cs="宋体"/>
                <w:b/>
                <w:kern w:val="2"/>
                <w:sz w:val="16"/>
                <w:szCs w:val="21"/>
                <w:lang w:val="en-US" w:eastAsia="zh-CN" w:bidi="ar"/>
              </w:rPr>
              <w:t>跨部门联合检查</w:t>
            </w:r>
          </w:p>
          <w:p>
            <w:pPr>
              <w:keepNext w:val="0"/>
              <w:keepLines w:val="0"/>
              <w:widowControl w:val="0"/>
              <w:suppressLineNumbers w:val="0"/>
              <w:spacing w:before="0" w:beforeAutospacing="0" w:after="0" w:afterAutospacing="0" w:line="280" w:lineRule="exact"/>
              <w:ind w:left="0" w:right="-44" w:rightChars="-21"/>
              <w:jc w:val="center"/>
              <w:textAlignment w:val="center"/>
              <w:rPr>
                <w:rStyle w:val="10"/>
                <w:rFonts w:hint="eastAsia" w:ascii="宋体" w:hAnsi="宋体" w:cs="宋体"/>
                <w:b/>
                <w:kern w:val="2"/>
                <w:sz w:val="16"/>
                <w:szCs w:val="21"/>
                <w:lang w:val="en-US" w:eastAsia="zh-CN" w:bidi="ar"/>
              </w:rPr>
            </w:pPr>
            <w:r>
              <w:rPr>
                <w:rStyle w:val="10"/>
                <w:rFonts w:hint="eastAsia" w:ascii="宋体" w:hAnsi="宋体" w:cs="宋体"/>
                <w:b/>
                <w:kern w:val="2"/>
                <w:sz w:val="16"/>
                <w:szCs w:val="21"/>
                <w:lang w:val="en-US" w:eastAsia="zh-CN" w:bidi="ar"/>
              </w:rPr>
              <w:t>（如是，需写明牵</w:t>
            </w:r>
            <w:r>
              <w:rPr>
                <w:rStyle w:val="10"/>
                <w:rFonts w:ascii="宋体" w:hAnsi="宋体" w:cs="宋体"/>
                <w:b/>
                <w:kern w:val="2"/>
                <w:sz w:val="16"/>
                <w:szCs w:val="21"/>
                <w:lang w:val="en-US" w:eastAsia="zh-CN" w:bidi="ar"/>
              </w:rPr>
              <w:t>头部门和</w:t>
            </w:r>
          </w:p>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Style w:val="10"/>
                <w:rFonts w:ascii="宋体" w:hAnsi="宋体" w:cs="宋体"/>
                <w:b/>
                <w:kern w:val="2"/>
                <w:sz w:val="16"/>
                <w:szCs w:val="21"/>
                <w:lang w:val="en-US" w:eastAsia="zh-CN" w:bidi="ar"/>
              </w:rPr>
              <w:t>配合部门）</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备</w:t>
            </w:r>
          </w:p>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《殡葬管理条例》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第三条：国务院民政部门负责全国的殡葬管理工作。县级以上地方人民政府民政部门负责本行政区域内的殡葬管理工作。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《湖南省实施&lt;殡葬管理条例&gt;办法》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第五条第一款：县级以上人民政府民政部门负责本行政区域内的殡葬管理工作。有关部门按照各自职责，协同民政部门做好殡葬管理工作。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《公墓管理暂行办法》（1992年8月25日实施）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六条：民政部是全国公墓的主管部门，负责制定公墓建设的政策法规和总体规划，进行宏观指导。县级以上各级民政部门是本行政区域内的公墓主管部门。负责贯彻执行国家公墓政策法规，对本行政区域内的公墓建设和发展进行具体指导。</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《关于进一步加强公墓管理的意见》（1998年1月6日实施）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二、（六）各省、自治区、直辖市民政部门要加强对辖区内公墓的管理。要建立健全公墓年度检查制度，要会同有关部门认真开展公墓（含吸收外资合资合作的公墓）年度检查工作。对年检合格的公墓准予继续开展业务；对年检不合格的公墓要限期改正，对逾期不改的，要会同有关部门责令其停业整顿。要将年检的结果公告社会，以便于监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《湖南省经营性公墓建设管理办法》（2023年8月24日实施）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第二十六条：省、市民政部门应当加强经营性公墓的监督管理。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金陵城市绿化墓园（长沙市）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湖南唐人万寿园有限责任公司（长沙市）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湖南革命陵园（长沙市）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长沙潇湘陵园（长沙市）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宁乡市万寿陵园（长沙市）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长沙市上善园园林式公墓（长沙市）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浏阳市殡仪馆马鞍山公墓山（长沙市）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明阳山福寿苑（长沙市）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浏阳市福泽园公墓（长沙市）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株洲市凤鸣园(原万寿山陵园)(株洲市)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株洲市福寿陵园(株洲市)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株洲市福寿山庄(株洲市)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株洲市醴陵公墓山(株洲市)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2025年12月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株洲市攸县永安园(株洲市)</w:t>
            </w:r>
          </w:p>
        </w:tc>
        <w:tc>
          <w:tcPr>
            <w:tcW w:w="127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湘潭市天福陵园（一期）（湘潭市）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湘潭市福寿陵园有限公司（湘潭市）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湖南湘水缘长生陵园（湘潭市）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韶山市韶山天德福地陵园（湘潭市）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罗金桥公墓(衡阳市)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both"/>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福寿极乐宫(衡阳市)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华厦陵园(衡阳市)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安福陵园(衡阳市)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青山陵园(衡阳市)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祈福生态园(衡阳市)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宝福陵园(衡阳市)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龙塘公墓山(衡阳市)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衡阳市望城坳公墓管理处(衡阳市)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雨溪公墓(邵阳市)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五泊山公墓(邵阳市)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古田陵园(邵阳市)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天堂公墓(邵阳市)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邵阳市大山岭陵园(邵阳市)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长山陵园(岳阳市)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德业陵园(岳阳市)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屈子千秋福园(岳阳市)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南泉福地(岳阳市)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湘安陵园(岳阳市)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终南山公墓(岳阳市)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弘善福园公墓(岳阳市)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金山陵园(岳阳市)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中心陵园(岳阳市)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岳阳市白鹤陵园(岳阳市)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临湘市鸿鹤公墓(岳阳市)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万金陵园(常德市)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潺陵公墓(常德市)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太子陵园(常德市)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天梯山公墓(常德市)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刘家山公墓管理处(常德市)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乔家河公墓/大地岭陵园(常德市)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庙山公墓(常德市)</w:t>
            </w:r>
          </w:p>
        </w:tc>
        <w:tc>
          <w:tcPr>
            <w:tcW w:w="1277"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白云山陵园(常德市)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德善陵园(常德市)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宝塔山公墓(张家界市)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张家界市金山陵园(张家界市)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荷花地公墓（益阳市）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蠡山陵园（益阳市）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花果山纪念公园（益阳市）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钟鼓山公墓（益阳市）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楠竹山公墓（益阳市）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益阳市金山公墓（益阳市）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娄底市殡仪馆公墓（娄底市）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智马山公墓（娄底市）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南台山公墓（娄底市）</w:t>
            </w:r>
          </w:p>
        </w:tc>
        <w:tc>
          <w:tcPr>
            <w:tcW w:w="127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天寿陵园（娄底市）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娄底市金宝灵塔园（娄底市）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凤凰山陵园（郴州市）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龙华陵园（郴州市）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万寿山公墓（郴州市）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金斗山陵园（郴州市）</w:t>
            </w:r>
          </w:p>
        </w:tc>
        <w:tc>
          <w:tcPr>
            <w:tcW w:w="1277" w:type="dxa"/>
            <w:vMerge w:val="restart"/>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郴州市香山陵园（郴州市）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日月同辉陵园（永州市）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永晟潜龙观福园（永州市）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红岭山陵园（永州市）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静陵陵园（永州市）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八角山陵园（永州市）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祥龙陵园（永州市）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天安公墓（永州市）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道县静安颐和园（永州市）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福馨陵园（怀化市）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怀化市万福陵园（怀化市）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馨逸陵园（怀化市）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吉首市兴龙陵园(湘西）</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仿宋_GB2312" w:cs="Times New Roman"/>
          <w:b/>
          <w:sz w:val="32"/>
          <w:szCs w:val="32"/>
          <w:lang w:val="en-US" w:eastAsia="zh-CN" w:bidi="ar"/>
        </w:rPr>
        <w:br w:type="page"/>
      </w: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sz w:val="32"/>
          <w:szCs w:val="32"/>
          <w:lang w:val="en-US"/>
        </w:rPr>
      </w:pPr>
      <w:r>
        <w:rPr>
          <w:rFonts w:hint="eastAsia" w:ascii="方正小标宋简体" w:hAnsi="方正小标宋简体" w:eastAsia="方正小标宋简体" w:cs="方正小标宋简体"/>
          <w:kern w:val="2"/>
          <w:sz w:val="44"/>
          <w:szCs w:val="44"/>
          <w:lang w:val="en-US" w:eastAsia="zh-CN" w:bidi="ar"/>
        </w:rPr>
        <w:t>湖南省民政厅2025年度涉企行政检查计划（民营殡仪馆）</w:t>
      </w:r>
    </w:p>
    <w:tbl>
      <w:tblPr>
        <w:tblStyle w:val="5"/>
        <w:tblW w:w="14946" w:type="dxa"/>
        <w:jc w:val="center"/>
        <w:shd w:val="clear" w:color="auto" w:fill="auto"/>
        <w:tblLayout w:type="fixed"/>
        <w:tblCellMar>
          <w:top w:w="0" w:type="dxa"/>
          <w:left w:w="0" w:type="dxa"/>
          <w:bottom w:w="0" w:type="dxa"/>
          <w:right w:w="0" w:type="dxa"/>
        </w:tblCellMar>
      </w:tblPr>
      <w:tblGrid>
        <w:gridCol w:w="671"/>
        <w:gridCol w:w="1065"/>
        <w:gridCol w:w="2655"/>
        <w:gridCol w:w="1575"/>
        <w:gridCol w:w="1233"/>
        <w:gridCol w:w="1066"/>
        <w:gridCol w:w="1241"/>
        <w:gridCol w:w="885"/>
        <w:gridCol w:w="1063"/>
        <w:gridCol w:w="2609"/>
        <w:gridCol w:w="883"/>
      </w:tblGrid>
      <w:tr>
        <w:tblPrEx>
          <w:shd w:val="clear" w:color="auto" w:fill="auto"/>
          <w:tblCellMar>
            <w:top w:w="0" w:type="dxa"/>
            <w:left w:w="0" w:type="dxa"/>
            <w:bottom w:w="0" w:type="dxa"/>
            <w:right w:w="0" w:type="dxa"/>
          </w:tblCellMar>
        </w:tblPrEx>
        <w:trPr>
          <w:trHeight w:val="1050" w:hRule="atLeast"/>
          <w:tblHeader/>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序</w:t>
            </w:r>
          </w:p>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检查事项</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实施依据</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具体检查对象(含数量)或“双随机”抽查对象（含总数及比例）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检查内容（项目）</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拟实施检查时间</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检查方式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年度检查频次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承办机构</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Style w:val="9"/>
                <w:rFonts w:hint="eastAsia" w:ascii="宋体" w:hAnsi="宋体" w:eastAsia="宋体" w:cs="宋体"/>
                <w:b/>
                <w:kern w:val="2"/>
                <w:sz w:val="21"/>
                <w:szCs w:val="21"/>
                <w:lang w:val="en-US" w:eastAsia="zh-CN" w:bidi="ar"/>
              </w:rPr>
              <w:t>是否属跨部门联合检查（如是，需</w:t>
            </w:r>
            <w:r>
              <w:rPr>
                <w:rFonts w:hint="eastAsia" w:ascii="宋体" w:hAnsi="宋体" w:eastAsia="宋体" w:cs="宋体"/>
                <w:b/>
                <w:color w:val="000000"/>
                <w:kern w:val="0"/>
                <w:sz w:val="21"/>
                <w:szCs w:val="21"/>
                <w:lang w:val="en-US" w:eastAsia="zh-CN" w:bidi="ar"/>
              </w:rPr>
              <w:t>写</w:t>
            </w:r>
            <w:r>
              <w:rPr>
                <w:rStyle w:val="9"/>
                <w:rFonts w:hint="eastAsia" w:ascii="宋体" w:hAnsi="宋体" w:eastAsia="宋体" w:cs="宋体"/>
                <w:b/>
                <w:kern w:val="2"/>
                <w:sz w:val="21"/>
                <w:szCs w:val="21"/>
                <w:lang w:val="en-US" w:eastAsia="zh-CN" w:bidi="ar"/>
              </w:rPr>
              <w:t>明牵头部门和配合部门）</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备注</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浏阳市福泽园实业有限公司</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长沙市民政局社会事务处</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株洲市福寿山庄殡仪馆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攸县永安园殡仪馆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炎陵县殡仪馆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湘潭县殡仪馆（湖南湘水缘圆满殡仪服务中心）</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湘潭市民政局社会事务科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常宁市宝福陵园开发有限责任公司</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邵阳市神龙殡仪服务有限公司</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新邵县五泊山殡仪馆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隆回县殡仪馆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10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邵阳县殡仪馆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岳阳市福寿山庄殡仪有限公司（岳阳市殡仪馆）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岳阳市云溪区弘善福园公墓</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汉寿县晋安鑫荣殡葬服务有限责任公司（殡仪馆）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西湖区殡仪馆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16</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西洞庭殡仪馆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17</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鼎城区殡仪馆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18</w:t>
            </w:r>
          </w:p>
        </w:tc>
        <w:tc>
          <w:tcPr>
            <w:tcW w:w="10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慈利县殡仪馆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张家界市民政局社会事务科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桂阳县殡仪馆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嘉禾县殡仪馆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安仁县殡仪馆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祁阳市殡仪馆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道县殡仪馆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宁远县殡仪馆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蓝山县殡仪馆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洪江市朝晖庄园有限公司（黔城殡仪馆）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怀化市民政局社会事务科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9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冷水江市福寿殡仪服务有限公司</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娄底市民政局儿童福利和社会福利科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bl>
    <w:p>
      <w:pPr>
        <w:keepNext w:val="0"/>
        <w:keepLines w:val="0"/>
        <w:widowControl w:val="0"/>
        <w:suppressLineNumbers w:val="0"/>
        <w:spacing w:before="0" w:beforeAutospacing="0" w:after="0" w:afterAutospacing="0" w:line="560" w:lineRule="exact"/>
        <w:ind w:left="0" w:right="0"/>
        <w:jc w:val="both"/>
        <w:textAlignment w:val="center"/>
        <w:rPr>
          <w:rFonts w:hint="eastAsia" w:ascii="黑体" w:hAnsi="宋体" w:eastAsia="黑体" w:cs="黑体"/>
          <w:color w:val="000000"/>
          <w:kern w:val="0"/>
          <w:sz w:val="32"/>
          <w:szCs w:val="32"/>
          <w:lang w:val="en-US"/>
        </w:rPr>
      </w:pPr>
      <w:r>
        <w:rPr>
          <w:rFonts w:hint="default" w:ascii="Times New Roman" w:hAnsi="Times New Roman" w:eastAsia="黑体" w:cs="Times New Roman"/>
          <w:kern w:val="2"/>
          <w:sz w:val="32"/>
          <w:szCs w:val="32"/>
          <w:lang w:val="en-US" w:eastAsia="zh-CN" w:bidi="ar"/>
        </w:rPr>
        <w:br w:type="page"/>
      </w:r>
      <w:r>
        <w:rPr>
          <w:rFonts w:hint="eastAsia" w:ascii="黑体" w:hAnsi="宋体" w:eastAsia="黑体" w:cs="黑体"/>
          <w:color w:val="000000"/>
          <w:kern w:val="0"/>
          <w:sz w:val="32"/>
          <w:szCs w:val="32"/>
          <w:lang w:val="en-US" w:eastAsia="zh-CN" w:bidi="ar"/>
        </w:rPr>
        <w:t>附件4</w:t>
      </w:r>
    </w:p>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b/>
          <w:kern w:val="0"/>
          <w:sz w:val="32"/>
          <w:szCs w:val="32"/>
          <w:lang w:val="en-US" w:bidi="ar"/>
        </w:rPr>
      </w:pPr>
      <w:r>
        <w:rPr>
          <w:rFonts w:hint="eastAsia" w:ascii="Times New Roman" w:hAnsi="Times New Roman" w:eastAsia="方正小标宋简体" w:cs="方正小标宋简体"/>
          <w:color w:val="000000"/>
          <w:kern w:val="0"/>
          <w:sz w:val="44"/>
          <w:szCs w:val="44"/>
          <w:lang w:val="en-US" w:eastAsia="zh-CN" w:bidi="ar"/>
        </w:rPr>
        <w:t>湖南省民政厅</w:t>
      </w:r>
      <w:r>
        <w:rPr>
          <w:rFonts w:hint="default" w:ascii="Times New Roman" w:hAnsi="Times New Roman" w:eastAsia="方正小标宋简体" w:cs="Times New Roman"/>
          <w:color w:val="000000"/>
          <w:kern w:val="0"/>
          <w:sz w:val="44"/>
          <w:szCs w:val="44"/>
          <w:lang w:val="en-US" w:eastAsia="zh-CN" w:bidi="ar"/>
        </w:rPr>
        <w:t>2025</w:t>
      </w:r>
      <w:r>
        <w:rPr>
          <w:rFonts w:hint="eastAsia" w:ascii="Times New Roman" w:hAnsi="Times New Roman" w:eastAsia="方正小标宋简体" w:cs="方正小标宋简体"/>
          <w:color w:val="000000"/>
          <w:kern w:val="0"/>
          <w:sz w:val="44"/>
          <w:szCs w:val="44"/>
          <w:lang w:val="en-US" w:eastAsia="zh-CN" w:bidi="ar"/>
        </w:rPr>
        <w:t>年度涉企行政检查计划（民办养老机构）</w:t>
      </w:r>
    </w:p>
    <w:tbl>
      <w:tblPr>
        <w:tblStyle w:val="5"/>
        <w:tblW w:w="14872" w:type="dxa"/>
        <w:jc w:val="center"/>
        <w:shd w:val="clear" w:color="auto" w:fill="auto"/>
        <w:tblLayout w:type="fixed"/>
        <w:tblCellMar>
          <w:top w:w="0" w:type="dxa"/>
          <w:left w:w="108" w:type="dxa"/>
          <w:bottom w:w="0" w:type="dxa"/>
          <w:right w:w="108" w:type="dxa"/>
        </w:tblCellMar>
      </w:tblPr>
      <w:tblGrid>
        <w:gridCol w:w="694"/>
        <w:gridCol w:w="1200"/>
        <w:gridCol w:w="1788"/>
        <w:gridCol w:w="1543"/>
        <w:gridCol w:w="3059"/>
        <w:gridCol w:w="1230"/>
        <w:gridCol w:w="1005"/>
        <w:gridCol w:w="1365"/>
        <w:gridCol w:w="752"/>
        <w:gridCol w:w="1320"/>
        <w:gridCol w:w="916"/>
      </w:tblGrid>
      <w:tr>
        <w:tblPrEx>
          <w:shd w:val="clear" w:color="auto" w:fill="auto"/>
          <w:tblCellMar>
            <w:top w:w="0" w:type="dxa"/>
            <w:left w:w="108" w:type="dxa"/>
            <w:bottom w:w="0" w:type="dxa"/>
            <w:right w:w="108" w:type="dxa"/>
          </w:tblCellMar>
        </w:tblPrEx>
        <w:trPr>
          <w:trHeight w:val="980" w:hRule="atLeast"/>
          <w:tblHeader/>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检查事项</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实施依据</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具体检查对象(含数量)或</w:t>
            </w:r>
            <w:r>
              <w:rPr>
                <w:rFonts w:hint="eastAsia" w:ascii="宋体" w:hAnsi="宋体" w:eastAsia="宋体" w:cs="宋体"/>
                <w:b/>
                <w:color w:val="000000"/>
                <w:kern w:val="0"/>
                <w:sz w:val="21"/>
                <w:szCs w:val="21"/>
                <w:lang w:val="en-US" w:eastAsia="zh-CN" w:bidi="ar"/>
              </w:rPr>
              <w:br w:type="textWrapping"/>
            </w:r>
            <w:r>
              <w:rPr>
                <w:rFonts w:hint="eastAsia" w:ascii="宋体" w:hAnsi="宋体" w:eastAsia="宋体" w:cs="宋体"/>
                <w:b/>
                <w:color w:val="000000"/>
                <w:kern w:val="0"/>
                <w:sz w:val="21"/>
                <w:szCs w:val="21"/>
                <w:lang w:val="en-US" w:eastAsia="zh-CN" w:bidi="ar"/>
              </w:rPr>
              <w:t>“双随机”抽查对象（含总数及比例）</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检查内容（项目）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拟实施检查时间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方式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年度检查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频次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承办机构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Style w:val="12"/>
                <w:rFonts w:hint="eastAsia" w:ascii="宋体" w:hAnsi="宋体" w:eastAsia="宋体" w:cs="宋体"/>
                <w:b/>
                <w:kern w:val="2"/>
                <w:sz w:val="21"/>
                <w:szCs w:val="21"/>
                <w:lang w:val="en-US" w:eastAsia="zh-CN" w:bidi="ar"/>
              </w:rPr>
              <w:t>是否属跨部门联合检查（如是，需</w:t>
            </w:r>
            <w:r>
              <w:rPr>
                <w:rFonts w:hint="eastAsia" w:ascii="宋体" w:hAnsi="宋体" w:eastAsia="宋体" w:cs="宋体"/>
                <w:b/>
                <w:color w:val="000000"/>
                <w:kern w:val="0"/>
                <w:sz w:val="21"/>
                <w:szCs w:val="21"/>
                <w:lang w:val="en-US" w:eastAsia="zh-CN" w:bidi="ar"/>
              </w:rPr>
              <w:t>写</w:t>
            </w:r>
            <w:r>
              <w:rPr>
                <w:rStyle w:val="12"/>
                <w:rFonts w:hint="eastAsia" w:ascii="宋体" w:hAnsi="宋体" w:eastAsia="宋体" w:cs="宋体"/>
                <w:b/>
                <w:kern w:val="2"/>
                <w:sz w:val="21"/>
                <w:szCs w:val="21"/>
                <w:lang w:val="en-US" w:eastAsia="zh-CN" w:bidi="ar"/>
              </w:rPr>
              <w:t>明牵头部门和配合部门）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备注</w:t>
            </w:r>
          </w:p>
        </w:tc>
      </w:tr>
      <w:tr>
        <w:tblPrEx>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outlineLvl w:val="9"/>
              <w:rPr>
                <w:rFonts w:hint="eastAsia" w:ascii="宋体" w:hAnsi="宋体" w:eastAsia="宋体" w:cs="宋体"/>
                <w:color w:val="000000"/>
                <w:szCs w:val="21"/>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养老机构“双随机、一公开”监管抽查</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第四十五条第一款：县级以上人民政府民政部门依法履行监督检查职责，可以采取以下措施：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（一）向养老机构和个人了解情况；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（二）进入涉嫌违法的养老机构进行现场检查；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（三）查阅或者复制有关合同、票据、账簿及其他有关资料；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第三十七条第一款：民政部门依法履行监督检查职责，可以采取以下措施：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（一）向养老机构和个人了解情况；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（二）进入涉嫌违法的养老机构进行现场检查；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（三）查阅或者复制有关合同、票据、账簿及其他有关资料；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第二款：民政部门实施监督检查时，监督检查人员不得少于2人，应当出示执法证件。</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第三款：对民政部门依法进行的监督检查，养老机构应当配合，如实提供相关资料和信息，不得隐瞒、拒绝、阻碍。</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民政部关于印发&lt;养老机构行政检查办法&gt;的通知》第四条第一款：已经备案的养老机构，由办理备案的民政部门实施行政检查。未备案的养老机构，由服务场所所在地的县级人民政府民政部门实施行政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第二款：上级民政部门可以通过查看养老机构服务场所、向养老机构和个人了解情况等方式监督指导下级民政部门开展行政检查工作。</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全省在市场监管部门登记的养老机构481家，抽查比例为30%。</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1.备案情况监督检查：（1）备案申请书、承诺书现场核验（2）变更备案现场核验。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2.合同管理监督检查：（1）服务协议签订情况（2）服务协议落实情况。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3.信息公开监督检查：（1）安全、财务、档案管理等规章制度公开（2）服务标准公开（3）工作流程公开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4.规章制度落实情况监督检查：（1）入院评估制度制定落实情况（2）安全、财务、档案管理等规章制度制定落实情况（3）养老护理人员薪酬制度制定落实情况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 xml:space="preserve">5.养老服务质量安全检查：（1）安全标志使用情况的检查（2）养老护理员培训情况的检查（3）昼夜巡查、交接班制度实施情况的检查（4）老年人个人信息和监控内容保密制度实施情况的检查（5）防止兜售保健食品、药品措施的检查（6）污染织物单独清洗、消毒、处置情况的检查（7）老年人生活、活动区域禁止吸烟情况的检查（8）入住养老机构服务安全风险评估情况的检查（9）防噎食措施的检查（10）防食品药品误突发事件应对监督检查食措施的检查（11）防压疮措施的检查（12）防烫伤措施的检查（13）防坠床措施的检查（14）防跌倒措施的检查（15）防他伤和自伤措施的检查（16）防走失措施的检查（17）防文娱活动意外措施的检查（18）服务安全风险防范评价工作的检查（19）安全隐患排查整改情况的检查（20）安全教育开展情况的检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6.突发事件应对监督检查：制定突发事件应急预案，配备应急救援设备、设施，定期开展突发事件应急演练情况的检查。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7.从业人员监督检查：从事医疗、康复、消防等服务的人员职业资格的检查。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8.项目资金管理和使用情况监督检查：项目资金是否规范管理和使用的检查。                          9.资金安全监督检查：（1）涉嫌非法集资行为的检查（2）预收费行为的检查。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10.服务收费监督检查：价格行为抽查类别所有抽查事项。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11.食品、保健食品虚假宣传检查：（1）是否利用会议、讲座、健康咨询等方式对食品、保健食品进行虚假宣传。（2）普通食品是否声称保健功能，冒充保健食品进行销售。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12.食品安全情况监督检查：（1）养老机构食堂办理食品经营许可证情况；（2）养老机构食堂食品安全管理制度落实情况。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13.养老机构消防设计审查、消防验收及备案抽查手续查验：养老机构是否依法申请办理了消防设计审查、消防验收及备案抽查手续。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14.养老机构房屋安全鉴定报告监督检查：养老机构房屋安全鉴定是否规范。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15.养老机构燃气安全使用监督抽查：养老机构燃气使用情况。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16.医疗服务与质量安全检查：养老机构内设医疗机构资质审查，以及内设医疗机构中从事医疗护理、康复治疗的专业技术人员资质的管理，加强对养老机构内设医疗机构依法执业、医疗服务质量安全监管。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17.重点传染病防控措施落实情况监督检查：养老机构是否全面落实重点传染病防控措施，做好老年人和工作人员个人防护，降低养老机构发生传染病聚集性疫情风险。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5月-7月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现场检查、非现场检查相结合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一年1次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default" w:ascii="宋体" w:hAnsi="宋体" w:eastAsia="宋体" w:cs="宋体"/>
                <w:color w:val="000000"/>
                <w:szCs w:val="21"/>
              </w:rPr>
            </w:pPr>
            <w:r>
              <w:rPr>
                <w:rFonts w:hint="default" w:ascii="宋体" w:hAnsi="宋体" w:eastAsia="宋体" w:cs="宋体"/>
                <w:color w:val="000000"/>
                <w:szCs w:val="21"/>
              </w:rPr>
              <w:t>各市州民政局养老服务科（处）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是跨部门联合检查。牵头部门为省民政厅，配合部门为省市场监督管理局、省住房和城乡建设</w:t>
            </w:r>
            <w:bookmarkStart w:id="0" w:name="_GoBack"/>
            <w:bookmarkEnd w:id="0"/>
            <w:r>
              <w:rPr>
                <w:rFonts w:hint="eastAsia" w:ascii="宋体" w:hAnsi="宋体" w:eastAsia="宋体" w:cs="宋体"/>
                <w:color w:val="000000"/>
                <w:kern w:val="0"/>
                <w:sz w:val="21"/>
                <w:szCs w:val="21"/>
                <w:lang w:val="en-US" w:eastAsia="zh-CN" w:bidi="ar"/>
              </w:rPr>
              <w:t>厅、省卫生健康委员会、省疾控局。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outlineLvl w:val="9"/>
              <w:rPr>
                <w:rFonts w:hint="eastAsia" w:ascii="宋体" w:hAnsi="宋体" w:eastAsia="宋体" w:cs="宋体"/>
                <w:color w:val="000000"/>
                <w:szCs w:val="21"/>
                <w:lang w:val="en-US"/>
              </w:rPr>
            </w:pPr>
          </w:p>
        </w:tc>
      </w:tr>
    </w:tbl>
    <w:p>
      <w:pPr>
        <w:keepNext w:val="0"/>
        <w:keepLines w:val="0"/>
        <w:widowControl w:val="0"/>
        <w:suppressLineNumbers w:val="0"/>
        <w:spacing w:before="0" w:beforeAutospacing="0" w:after="0" w:afterAutospacing="0"/>
        <w:ind w:left="0" w:right="0"/>
        <w:jc w:val="both"/>
        <w:rPr>
          <w:lang w:val="en-US"/>
        </w:rPr>
      </w:pPr>
    </w:p>
    <w:p/>
    <w:sectPr>
      <w:pgSz w:w="16838" w:h="11906" w:orient="landscape"/>
      <w:pgMar w:top="1803" w:right="1440" w:bottom="1803" w:left="1440" w:header="851" w:footer="992" w:gutter="0"/>
      <w:pgNumType w:fmt="decimal"/>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A61DC"/>
    <w:rsid w:val="42BA532C"/>
    <w:rsid w:val="556A61DC"/>
    <w:rsid w:val="73EF882F"/>
    <w:rsid w:val="F35B9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0"/>
    <w:rPr>
      <w:rFonts w:hint="eastAsia" w:ascii="宋体" w:hAnsi="宋体" w:eastAsia="宋体" w:cs="宋体"/>
      <w:b/>
      <w:kern w:val="44"/>
      <w:sz w:val="48"/>
      <w:szCs w:val="48"/>
    </w:rPr>
  </w:style>
  <w:style w:type="character" w:customStyle="1" w:styleId="8">
    <w:name w:val="页脚 Char"/>
    <w:basedOn w:val="6"/>
    <w:link w:val="3"/>
    <w:qFormat/>
    <w:uiPriority w:val="0"/>
    <w:rPr>
      <w:kern w:val="2"/>
      <w:sz w:val="18"/>
      <w:szCs w:val="18"/>
    </w:rPr>
  </w:style>
  <w:style w:type="character" w:customStyle="1" w:styleId="9">
    <w:name w:val="font51"/>
    <w:basedOn w:val="6"/>
    <w:qFormat/>
    <w:uiPriority w:val="0"/>
    <w:rPr>
      <w:rFonts w:hint="eastAsia" w:ascii="黑体" w:hAnsi="宋体" w:eastAsia="黑体" w:cs="黑体"/>
      <w:color w:val="000000"/>
      <w:sz w:val="16"/>
      <w:szCs w:val="16"/>
      <w:u w:val="none"/>
    </w:rPr>
  </w:style>
  <w:style w:type="character" w:customStyle="1" w:styleId="10">
    <w:name w:val="font141"/>
    <w:basedOn w:val="6"/>
    <w:qFormat/>
    <w:uiPriority w:val="0"/>
    <w:rPr>
      <w:rFonts w:hint="eastAsia" w:ascii="黑体" w:hAnsi="宋体" w:eastAsia="黑体" w:cs="黑体"/>
      <w:color w:val="000000"/>
      <w:sz w:val="16"/>
      <w:szCs w:val="16"/>
      <w:u w:val="none"/>
    </w:rPr>
  </w:style>
  <w:style w:type="character" w:customStyle="1" w:styleId="11">
    <w:name w:val="font71"/>
    <w:basedOn w:val="6"/>
    <w:qFormat/>
    <w:uiPriority w:val="0"/>
    <w:rPr>
      <w:rFonts w:hint="eastAsia" w:ascii="黑体" w:hAnsi="宋体" w:eastAsia="黑体" w:cs="黑体"/>
      <w:color w:val="FF0000"/>
      <w:sz w:val="16"/>
      <w:szCs w:val="16"/>
      <w:u w:val="none"/>
    </w:rPr>
  </w:style>
  <w:style w:type="character" w:customStyle="1" w:styleId="12">
    <w:name w:val="font11"/>
    <w:basedOn w:val="6"/>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2025-03-25T19:30:00Z</dcterms:created>
  <dc:creator>Administrator</dc:creator>
  <cp:lastModifiedBy>周信</cp:lastModifiedBy>
  <cp:lastPrinted>2025-03-25T19:42:00Z</cp:lastPrinted>
  <dcterms:modified xsi:type="dcterms:W3CDTF">2025-03-26T10:19:09Z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