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pPr>
      <w:r>
        <w:rPr>
          <w:sz w:val="4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-274320</wp:posOffset>
                </wp:positionV>
                <wp:extent cx="1936750" cy="370840"/>
                <wp:effectExtent l="0" t="0" r="0" b="0"/>
                <wp:wrapNone/>
                <wp:docPr id="4" name="文本框 4"/>
                <wp:cNvGraphicFramePr/>
                <a:graphic xmlns:a="http://schemas.openxmlformats.org/drawingml/2006/main">
                  <a:graphicData uri="http://schemas.microsoft.com/office/word/2010/wordprocessingShape">
                    <wps:wsp>
                      <wps:cNvSpPr txBox="1"/>
                      <wps:spPr>
                        <a:xfrm>
                          <a:off x="755650" y="666750"/>
                          <a:ext cx="1936750" cy="370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rPr>
                                <w:rFonts w:hint="eastAsia" w:ascii="楷体" w:hAnsi="楷体" w:eastAsia="楷体" w:cs="楷体"/>
                                <w:sz w:val="32"/>
                                <w:szCs w:val="36"/>
                                <w:lang w:val="en-US" w:eastAsia="zh-CN"/>
                              </w:rPr>
                            </w:pPr>
                            <w:r>
                              <w:rPr>
                                <w:rFonts w:hint="eastAsia" w:ascii="楷体" w:hAnsi="楷体" w:eastAsia="楷体" w:cs="楷体"/>
                                <w:sz w:val="32"/>
                                <w:szCs w:val="36"/>
                                <w:lang w:val="en-US" w:eastAsia="zh-CN"/>
                              </w:rPr>
                              <w:t>LDCR-2024-22001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21.6pt;height:29.2pt;width:152.5pt;z-index:251659264;mso-width-relative:page;mso-height-relative:page;" filled="f" stroked="f" coordsize="21600,21600" o:gfxdata="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N5I33aAAAACQEAAA8AAAAAAAAAAQAgAAAA&#10;IgAAAGRycy9kb3ducmV2LnhtbFBLAQIUABQAAAAIAIdO4kACV5HqQgIAAHAEAAAOAAAAAAAAAAEA&#10;IAAAACkBAABkcnMvZTJvRG9jLnhtbFBLBQYAAAAABgAGAFkBAADdBQAAAAA=&#10;">
                <v:fill on="f"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ascii="楷体" w:hAnsi="楷体" w:eastAsia="楷体" w:cs="楷体"/>
                          <w:sz w:val="32"/>
                          <w:szCs w:val="36"/>
                          <w:lang w:val="en-US" w:eastAsia="zh-CN"/>
                        </w:rPr>
                      </w:pPr>
                      <w:r>
                        <w:rPr>
                          <w:rFonts w:hint="eastAsia" w:ascii="楷体" w:hAnsi="楷体" w:eastAsia="楷体" w:cs="楷体"/>
                          <w:sz w:val="32"/>
                          <w:szCs w:val="36"/>
                          <w:lang w:val="en-US" w:eastAsia="zh-CN"/>
                        </w:rPr>
                        <w:t>LDCR-2024-22001</w:t>
                      </w:r>
                    </w:p>
                  </w:txbxContent>
                </v:textbox>
              </v:shape>
            </w:pict>
          </mc:Fallback>
        </mc:AlternateConten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娄卫发〔2024〕2号</w:t>
      </w: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t>关于印发《</w:t>
      </w:r>
      <w:r>
        <w:rPr>
          <w:rFonts w:hint="eastAsia" w:ascii="Times New Roman" w:hAnsi="Times New Roman" w:eastAsia="方正小标宋简体" w:cs="Times New Roman"/>
          <w:color w:val="000000" w:themeColor="text1"/>
          <w:sz w:val="44"/>
          <w:szCs w:val="44"/>
          <w:u w:val="none"/>
          <w:lang w:eastAsia="zh-CN"/>
          <w14:textFill>
            <w14:solidFill>
              <w14:schemeClr w14:val="tx1"/>
            </w14:solidFill>
          </w14:textFill>
        </w:rPr>
        <w:t>娄底</w:t>
      </w:r>
      <w:r>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t>市普惠性托育机构认定</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t>管理办法（试行）》的通知</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各县</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市区</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卫健局、发改局、</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财政局、</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教育局，</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娄底经开区社会事务局、</w:t>
      </w:r>
      <w:r>
        <w:rPr>
          <w:rFonts w:hint="eastAsia" w:ascii="Times New Roman" w:hAnsi="Times New Roman" w:eastAsia="仿宋_GB2312" w:cs="Times New Roman"/>
          <w:color w:val="000000" w:themeColor="text1"/>
          <w:w w:val="100"/>
          <w:sz w:val="32"/>
          <w:szCs w:val="32"/>
          <w:u w:val="none"/>
          <w:lang w:val="en-US" w:eastAsia="zh-CN"/>
          <w14:textFill>
            <w14:solidFill>
              <w14:schemeClr w14:val="tx1"/>
            </w14:solidFill>
          </w14:textFill>
        </w:rPr>
        <w:t>产业发展局、财政局，</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市直各相关单位：</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现将</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娄底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市普惠性托育机构认定管理办法（试行）》印发给你们，请认真组织实施，抓好贯彻落实。</w:t>
      </w:r>
    </w:p>
    <w:p>
      <w:pPr>
        <w:keepNext w:val="0"/>
        <w:keepLines w:val="0"/>
        <w:pageBreakBefore w:val="0"/>
        <w:widowControl w:val="0"/>
        <w:kinsoku/>
        <w:wordWrap/>
        <w:overflowPunct w:val="0"/>
        <w:topLinePunct w:val="0"/>
        <w:autoSpaceDE/>
        <w:autoSpaceDN/>
        <w:bidi w:val="0"/>
        <w:adjustRightInd w:val="0"/>
        <w:snapToGrid w:val="0"/>
        <w:spacing w:line="600" w:lineRule="exact"/>
        <w:ind w:firstLine="42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cs="Times New Roman"/>
          <w:color w:val="000000" w:themeColor="text1"/>
          <w:u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市卫生健康委员会  </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市发展和改革委员会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cs="Times New Roman"/>
          <w:color w:val="000000" w:themeColor="text1"/>
          <w:u w:val="none"/>
          <w:lang w:val="en-US" w:eastAsia="zh-CN"/>
          <w14:textFill>
            <w14:solidFill>
              <w14:schemeClr w14:val="tx1"/>
            </w14:solidFill>
          </w14:textFill>
        </w:rPr>
      </w:pPr>
    </w:p>
    <w:p>
      <w:pPr>
        <w:rPr>
          <w:rFonts w:hint="default" w:ascii="Times New Roman" w:hAnsi="Times New Roman" w:cs="Times New Roman"/>
          <w:color w:val="000000" w:themeColor="text1"/>
          <w:u w:val="none"/>
          <w:lang w:val="en-US" w:eastAsia="zh-CN"/>
          <w14:textFill>
            <w14:solidFill>
              <w14:schemeClr w14:val="tx1"/>
            </w14:solidFill>
          </w14:textFill>
        </w:rPr>
      </w:pPr>
      <w:bookmarkStart w:id="0" w:name="_GoBack"/>
      <w:bookmarkEnd w:id="0"/>
    </w:p>
    <w:p>
      <w:pPr>
        <w:pStyle w:val="2"/>
        <w:rPr>
          <w:rFonts w:hint="default"/>
          <w:color w:val="000000" w:themeColor="text1"/>
          <w:u w:val="none"/>
          <w:lang w:val="en-US" w:eastAsia="zh-CN"/>
          <w14:textFill>
            <w14:solidFill>
              <w14:schemeClr w14:val="tx1"/>
            </w14:solidFill>
          </w14:textFill>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娄底市财政局</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市教育局</w:t>
      </w:r>
    </w:p>
    <w:p>
      <w:pPr>
        <w:keepNext w:val="0"/>
        <w:keepLines w:val="0"/>
        <w:pageBreakBefore w:val="0"/>
        <w:widowControl w:val="0"/>
        <w:kinsoku/>
        <w:wordWrap/>
        <w:overflowPunct w:val="0"/>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2024年</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日</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pPr>
      <w:r>
        <w:rPr>
          <w:rFonts w:hint="default" w:ascii="Times New Roman" w:hAnsi="Times New Roman" w:eastAsia="黑体" w:cs="Times New Roman"/>
          <w:color w:val="000000" w:themeColor="text1"/>
          <w:sz w:val="44"/>
          <w:szCs w:val="44"/>
          <w:u w:val="none"/>
          <w:lang w:eastAsia="zh-CN"/>
          <w14:textFill>
            <w14:solidFill>
              <w14:schemeClr w14:val="tx1"/>
            </w14:solidFill>
          </w14:textFill>
        </w:rPr>
        <w:br w:type="page"/>
      </w:r>
      <w:r>
        <w:rPr>
          <w:rFonts w:hint="eastAsia" w:ascii="Times New Roman" w:hAnsi="Times New Roman" w:eastAsia="黑体" w:cs="Times New Roman"/>
          <w:color w:val="000000" w:themeColor="text1"/>
          <w:sz w:val="44"/>
          <w:szCs w:val="44"/>
          <w:u w:val="none"/>
          <w:lang w:eastAsia="zh-CN"/>
          <w14:textFill>
            <w14:solidFill>
              <w14:schemeClr w14:val="tx1"/>
            </w14:solidFill>
          </w14:textFill>
        </w:rPr>
        <w:t>娄底</w:t>
      </w:r>
      <w:r>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t>市普惠性托育机构认定管理办法</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u w:val="none"/>
          <w:lang w:eastAsia="zh-CN"/>
          <w14:textFill>
            <w14:solidFill>
              <w14:schemeClr w14:val="tx1"/>
            </w14:solidFill>
          </w14:textFill>
        </w:rPr>
        <w:t>（试行）</w:t>
      </w:r>
    </w:p>
    <w:p>
      <w:pPr>
        <w:keepNext w:val="0"/>
        <w:keepLines w:val="0"/>
        <w:pageBreakBefore w:val="0"/>
        <w:widowControl w:val="0"/>
        <w:kinsoku/>
        <w:wordWrap/>
        <w:overflowPunct w:val="0"/>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jc w:val="center"/>
        <w:textAlignment w:val="auto"/>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t>第一章  总则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第一条 为促进我市婴幼儿照护服务健康发展，构建以普惠性托育机构为主的托育服务体系，根据《国务院办公厅关于促进3岁以下婴幼儿照护服务发展的指导意见》（国办发〔2019〕15号）《湖南省2024年普惠托育护蕾行动民生实事项目</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方案的通知》（湘卫人口家庭发〔2024〕1号）《</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市优化生育政策促进人口长期均衡发展</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的若干措施</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（娄发</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号</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等文件精神，结合我市实际，制定本办法。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第二条 本办法适用于全市普惠性托育服务机构认定。结合本辖区实际，</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综合考虑入托家庭的可承受能力及机构运营成本，制定符合当地经济社会发展水平的普惠托育收费标准</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第三条 本办法所认定的普惠性托育机构是指经有关部门登记、卫生健康部门备案的，按照政府协议价收取婴幼儿</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保</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育费的，为3岁以下婴幼儿提供托育服务的机构。幼儿园内的托班，已在属地卫生健康行政部门备案的，可参照本办法执行。</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jc w:val="center"/>
        <w:textAlignment w:val="auto"/>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t>第二章  认定条件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color w:val="000000" w:themeColor="text1"/>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第四条 普惠性托育机构认定条件如下：</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（一）具有合法的举办资质。事业单位性质</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机构取得事业单位登记证书；非营利性质</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机构取得民办非企业单位登记证书；营利性机构取得营业执照。业务范围明确“托育服务”相关内容，且在属地卫生健康行政部门依法备案。</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（二）合理定价。收费标准需同时满足：托大班（混合班）每人每月保育费（不含膳食费，下同）收费不高于本</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区县</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城镇居民上一年度</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人均可支配收入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（按上一年度人均可支配收入/12折算到月）的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托小班、乳儿班每月保育费可较托大班向上浮动，但不应高于托大班的20%；全日托保育费以每月22天折算到日，时间不少于8小时；半日托保育费不得超过全日托收费的70%，时间不少于4小时；计时托保育费每小时不超过全日托折算到日标准的30%，不足1小时的，按1小时计算。</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公办托育服务机构（含公建民营托育服务机构、公立幼儿园托班）收费标准应坚持公益普惠原则，实行政府指导价管理。</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收费行为。托育机构与入托婴幼儿监护人应签订托育服务协议，协议中应明确列明服务项目、收费标准、争议解决方式及退费办法等内容。不得以虚构原价、一次性付款优惠价等诱导婴幼儿监护人缴费。普惠性托育机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保</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育费按月收取，一次性收费最长不超过3个月；幼儿园托班</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保</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育费按学期收取，不得跨学期收费。婴幼儿膳食费应专款专用，不得挪作他用，账目每月公布。</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服务质量。托育机构应根据国家、省、市婴幼儿照护服务的相关标准和规范，科学合理地开展照护服务。托育机构应切实履行入托期间婴幼儿健康和安全的主体责任，确保婴幼儿的健康安全。且机构近三年来无安全责任事故、无行政处罚和失信记录。</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风险防控。托育机构应当</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收托婴幼儿及员工</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购买保险</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，将安全风险降到最低。</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jc w:val="center"/>
        <w:textAlignment w:val="auto"/>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t>第三章  认定程序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第五条 凡同时满足第四条规定的五项条件的托育机构（含备案的幼儿园托班），均可自愿申请普惠性托育机构的认定。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第六条 普惠性托育机构认定流程</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（一）申请。有意向开展普惠托育服务的机构，于每年</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月底前，向所在地的卫生健康行政部门提出普惠性托育机构认定申请，并提交《</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市普惠性托育机构申请表》及相关佐证材料（见附件1）。</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（二）审核</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。县市区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卫生健康行政部门于每年7月底前对申报的普惠性托育机构进行审核。</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（三）公示。经审核认定的托育机构，由</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县市区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卫生健康行政部门通过官方网站公示名单和收费标准，公示期为5个工作日。公示无异议的，可确认为普惠性托育机构，予以发文公布并授牌。</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（四）签署承诺书。经认定的普惠性托育机构，应对本机构收费价格及其依法依规服务行为出具书面承诺书（见附件2），与申请材料一并提交所在地的卫生健康</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行政</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部门备存。</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（五）报备。每年普惠性托育机构认定工作结束后，</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县市区</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卫生健康部门应将认定的普惠性托育机构名单进行汇总，报市卫生健康委备案。经认定的普惠性托育机构应于每年12月31日前向所在地的卫生健康行政部门书面报告全年收托及相关工作开展情况，必要时随时报告。</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jc w:val="center"/>
        <w:textAlignment w:val="auto"/>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t>第四章  退出机制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第七条 在普惠性托育机构认定完成后自愿退出普惠或者停止办托的托育机构，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应当</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提前</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个月以书面形式将退出申请报所在地卫生健康行政部门。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第八条 普惠性托育机构有下列行为的，所在地的卫生健康行政部门将取消其普惠性托育机构资格：</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（一）日常监管问题未按照监管部门要求限期改正的、违反书面承诺未按照协议约定收取费用的；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（二）机构主要负责人</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被</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纳入严重失信名单的；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（三）机构出现歧视、体罚、变相体罚、侮辱、虐待婴幼儿等行为的；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（四）因安全、卫生责任事故造成重大社会负面影响的；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（五）弄虚作假、骗取资格，套取、挪用政府扶持资金或项目资金的；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（六）其他违反相关法律法规规定的行为。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jc w:val="center"/>
        <w:textAlignment w:val="auto"/>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t>第五章  组织实施</w:t>
      </w:r>
    </w:p>
    <w:p>
      <w:pPr>
        <w:pStyle w:val="2"/>
        <w:keepNext w:val="0"/>
        <w:keepLines w:val="0"/>
        <w:pageBreakBefore w:val="0"/>
        <w:widowControl w:val="0"/>
        <w:kinsoku/>
        <w:wordWrap/>
        <w:overflowPunct w:val="0"/>
        <w:topLinePunct w:val="0"/>
        <w:autoSpaceDE/>
        <w:autoSpaceDN/>
        <w:bidi w:val="0"/>
        <w:adjustRightInd/>
        <w:snapToGrid/>
        <w:spacing w:before="0" w:after="0" w:line="620" w:lineRule="exact"/>
        <w:ind w:firstLine="643" w:firstLineChars="200"/>
        <w:jc w:val="both"/>
        <w:textAlignment w:val="auto"/>
        <w:rPr>
          <w:rFonts w:hint="eastAsia" w:ascii="Times New Roman" w:hAnsi="Times New Roman" w:eastAsia="仿宋_GB2312" w:cs="Times New Roman"/>
          <w:b w:val="0"/>
          <w:bCs w:val="0"/>
          <w:snapToGrid w:val="0"/>
          <w:color w:val="000000" w:themeColor="text1"/>
          <w:w w:val="100"/>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第九条 </w:t>
      </w:r>
      <w:r>
        <w:rPr>
          <w:rFonts w:hint="eastAsia" w:ascii="Times New Roman" w:hAnsi="Times New Roman" w:eastAsia="仿宋_GB2312" w:cs="Times New Roman"/>
          <w:b w:val="0"/>
          <w:bCs w:val="0"/>
          <w:snapToGrid w:val="0"/>
          <w:color w:val="000000" w:themeColor="text1"/>
          <w:w w:val="100"/>
          <w:kern w:val="0"/>
          <w:sz w:val="32"/>
          <w:szCs w:val="32"/>
          <w:u w:val="none"/>
          <w:lang w:val="en-US" w:eastAsia="zh-CN" w:bidi="ar-SA"/>
          <w14:textFill>
            <w14:solidFill>
              <w14:schemeClr w14:val="tx1"/>
            </w14:solidFill>
          </w14:textFill>
        </w:rPr>
        <w:t>市卫生健康委负责牵头指导</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县市区</w:t>
      </w:r>
      <w:r>
        <w:rPr>
          <w:rFonts w:hint="eastAsia" w:ascii="Times New Roman" w:hAnsi="Times New Roman" w:eastAsia="仿宋_GB2312" w:cs="Times New Roman"/>
          <w:b w:val="0"/>
          <w:bCs w:val="0"/>
          <w:snapToGrid w:val="0"/>
          <w:color w:val="000000" w:themeColor="text1"/>
          <w:w w:val="100"/>
          <w:kern w:val="0"/>
          <w:sz w:val="32"/>
          <w:szCs w:val="32"/>
          <w:u w:val="none"/>
          <w:lang w:val="en-US" w:eastAsia="zh-CN" w:bidi="ar-SA"/>
          <w14:textFill>
            <w14:solidFill>
              <w14:schemeClr w14:val="tx1"/>
            </w14:solidFill>
          </w14:textFill>
        </w:rPr>
        <w:t>卫健部门做好普惠性托育机构认定管理工作；市发改委负责普惠托育服务价格指导和监督工作；市教育局负责督促指导</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县市区</w:t>
      </w:r>
      <w:r>
        <w:rPr>
          <w:rFonts w:hint="eastAsia" w:ascii="Times New Roman" w:hAnsi="Times New Roman" w:eastAsia="仿宋_GB2312" w:cs="Times New Roman"/>
          <w:b w:val="0"/>
          <w:bCs w:val="0"/>
          <w:snapToGrid w:val="0"/>
          <w:color w:val="000000" w:themeColor="text1"/>
          <w:w w:val="100"/>
          <w:kern w:val="0"/>
          <w:sz w:val="32"/>
          <w:szCs w:val="32"/>
          <w:u w:val="none"/>
          <w:lang w:val="en-US" w:eastAsia="zh-CN" w:bidi="ar-SA"/>
          <w14:textFill>
            <w14:solidFill>
              <w14:schemeClr w14:val="tx1"/>
            </w14:solidFill>
          </w14:textFill>
        </w:rPr>
        <w:t>教育部门配合卫生健康部门做好幼儿园托班普惠认定管理工作。各县市区可根据当地实际制定支持普惠托育服务发展的相关政策，建立健全婴幼儿照护服务工作长效机制。</w:t>
      </w:r>
    </w:p>
    <w:p>
      <w:pPr>
        <w:pStyle w:val="2"/>
        <w:keepNext w:val="0"/>
        <w:keepLines w:val="0"/>
        <w:pageBreakBefore w:val="0"/>
        <w:widowControl w:val="0"/>
        <w:kinsoku/>
        <w:wordWrap/>
        <w:overflowPunct w:val="0"/>
        <w:topLinePunct w:val="0"/>
        <w:autoSpaceDE/>
        <w:autoSpaceDN/>
        <w:bidi w:val="0"/>
        <w:adjustRightInd/>
        <w:snapToGrid/>
        <w:spacing w:before="0" w:after="0" w:line="620" w:lineRule="exact"/>
        <w:ind w:firstLine="643" w:firstLineChars="200"/>
        <w:jc w:val="both"/>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本办法由市卫生健康委员会</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、市发展和改革委员会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负责解释，自发布之日起实施，有效期</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至2025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12月31日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附件：1.</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市普惠性托育机构申请表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 xml:space="preserve">      2.</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娄底</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市普惠性托育机构承诺书</w:t>
      </w:r>
    </w:p>
    <w:p>
      <w:pPr>
        <w:ind w:left="0" w:leftChars="0" w:firstLine="0" w:firstLineChars="0"/>
        <w:outlineLvl w:val="0"/>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br w:type="page"/>
      </w: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附件1</w:t>
      </w:r>
    </w:p>
    <w:p>
      <w:pPr>
        <w:pStyle w:val="7"/>
        <w:keepNext w:val="0"/>
        <w:keepLines w:val="0"/>
        <w:pageBreakBefore w:val="0"/>
        <w:widowControl w:val="0"/>
        <w:kinsoku/>
        <w:wordWrap/>
        <w:overflowPunct/>
        <w:topLinePunct w:val="0"/>
        <w:autoSpaceDE/>
        <w:autoSpaceDN/>
        <w:bidi w:val="0"/>
        <w:adjustRightInd/>
        <w:snapToGrid/>
        <w:spacing w:after="291" w:afterLines="50" w:line="240" w:lineRule="auto"/>
        <w:ind w:left="0" w:leftChars="0" w:firstLine="0" w:firstLineChars="0"/>
        <w:jc w:val="center"/>
        <w:textAlignment w:val="bottom"/>
        <w:rPr>
          <w:rFonts w:hint="default" w:ascii="Times New Roman" w:hAnsi="Times New Roman" w:eastAsia="方正小标宋简体" w:cs="Times New Roman"/>
          <w:color w:val="000000" w:themeColor="text1"/>
          <w:sz w:val="36"/>
          <w:szCs w:val="36"/>
          <w:u w:val="none"/>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291" w:afterLines="50" w:line="240" w:lineRule="auto"/>
        <w:ind w:left="0" w:leftChars="0" w:firstLine="0" w:firstLineChars="0"/>
        <w:jc w:val="center"/>
        <w:textAlignment w:val="bottom"/>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u w:val="none"/>
          <w:lang w:val="en-US" w:eastAsia="zh-CN"/>
          <w14:textFill>
            <w14:solidFill>
              <w14:schemeClr w14:val="tx1"/>
            </w14:solidFill>
          </w14:textFill>
        </w:rPr>
        <w:t>娄底</w:t>
      </w:r>
      <w:r>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t>市普惠性托育机构申请表</w:t>
      </w:r>
    </w:p>
    <w:p>
      <w:pPr>
        <w:pStyle w:val="7"/>
        <w:keepNext w:val="0"/>
        <w:keepLines w:val="0"/>
        <w:pageBreakBefore w:val="0"/>
        <w:widowControl w:val="0"/>
        <w:kinsoku/>
        <w:wordWrap/>
        <w:overflowPunct/>
        <w:topLinePunct w:val="0"/>
        <w:autoSpaceDE/>
        <w:autoSpaceDN/>
        <w:bidi w:val="0"/>
        <w:adjustRightInd/>
        <w:snapToGrid/>
        <w:spacing w:after="291" w:afterLines="50" w:line="240" w:lineRule="auto"/>
        <w:ind w:left="0" w:leftChars="0" w:right="134" w:rightChars="64" w:firstLine="0" w:firstLineChars="0"/>
        <w:jc w:val="right"/>
        <w:textAlignment w:val="bottom"/>
        <w:rPr>
          <w:rFonts w:hint="default" w:ascii="Times New Roman" w:hAnsi="Times New Roman" w:eastAsia="仿宋_GB2312" w:cs="Times New Roman"/>
          <w:b w:val="0"/>
          <w:i w:val="0"/>
          <w:strike w:val="0"/>
          <w:color w:val="000000" w:themeColor="text1"/>
          <w:spacing w:val="0"/>
          <w:kern w:val="2"/>
          <w:sz w:val="20"/>
          <w:szCs w:val="24"/>
          <w:u w:val="none"/>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after="291" w:afterLines="50" w:line="240" w:lineRule="auto"/>
        <w:ind w:left="0" w:leftChars="0" w:right="134" w:rightChars="64" w:firstLine="0" w:firstLineChars="0"/>
        <w:jc w:val="right"/>
        <w:textAlignment w:val="bottom"/>
        <w:rPr>
          <w:rFonts w:hint="default" w:ascii="Times New Roman" w:hAnsi="Times New Roman" w:eastAsia="仿宋_GB2312" w:cs="Times New Roman"/>
          <w:b w:val="0"/>
          <w:i w:val="0"/>
          <w:strike w:val="0"/>
          <w:color w:val="000000" w:themeColor="text1"/>
          <w:spacing w:val="0"/>
          <w:kern w:val="2"/>
          <w:sz w:val="20"/>
          <w:szCs w:val="24"/>
          <w:u w:val="none"/>
          <w:lang w:val="en-US" w:eastAsia="zh-CN" w:bidi="ar-SA"/>
          <w14:textFill>
            <w14:solidFill>
              <w14:schemeClr w14:val="tx1"/>
            </w14:solidFill>
          </w14:textFill>
        </w:rPr>
      </w:pPr>
      <w:r>
        <w:rPr>
          <w:rFonts w:hint="default" w:ascii="Times New Roman" w:hAnsi="Times New Roman" w:eastAsia="仿宋_GB2312" w:cs="Times New Roman"/>
          <w:b w:val="0"/>
          <w:i w:val="0"/>
          <w:strike w:val="0"/>
          <w:color w:val="000000" w:themeColor="text1"/>
          <w:spacing w:val="0"/>
          <w:kern w:val="2"/>
          <w:sz w:val="20"/>
          <w:szCs w:val="24"/>
          <w:u w:val="none"/>
          <w:lang w:val="en-US" w:eastAsia="zh-CN" w:bidi="ar-SA"/>
          <w14:textFill>
            <w14:solidFill>
              <w14:schemeClr w14:val="tx1"/>
            </w14:solidFill>
          </w14:textFill>
        </w:rPr>
        <w:t>申请时间：   年   月   日</w:t>
      </w:r>
    </w:p>
    <w:tbl>
      <w:tblPr>
        <w:tblStyle w:val="8"/>
        <w:tblW w:w="4997"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autofit"/>
        <w:tblCellMar>
          <w:top w:w="0" w:type="dxa"/>
          <w:left w:w="113" w:type="dxa"/>
          <w:bottom w:w="0" w:type="dxa"/>
          <w:right w:w="113" w:type="dxa"/>
        </w:tblCellMar>
      </w:tblPr>
      <w:tblGrid>
        <w:gridCol w:w="1279"/>
        <w:gridCol w:w="2071"/>
        <w:gridCol w:w="1580"/>
        <w:gridCol w:w="1513"/>
        <w:gridCol w:w="1137"/>
        <w:gridCol w:w="14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735"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黑体" w:cs="Times New Roman"/>
                <w:b w:val="0"/>
                <w:i w:val="0"/>
                <w:strike w:val="0"/>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pacing w:val="33"/>
                <w:kern w:val="0"/>
                <w:sz w:val="20"/>
                <w:u w:val="none"/>
                <w:fitText w:val="1000" w:id="83979068"/>
                <w14:textFill>
                  <w14:solidFill>
                    <w14:schemeClr w14:val="tx1"/>
                  </w14:solidFill>
                </w14:textFill>
              </w:rPr>
              <w:t>托育机</w:t>
            </w:r>
            <w:r>
              <w:rPr>
                <w:rFonts w:hint="default" w:ascii="Times New Roman" w:hAnsi="Times New Roman" w:eastAsia="黑体" w:cs="Times New Roman"/>
                <w:b w:val="0"/>
                <w:i w:val="0"/>
                <w:strike w:val="0"/>
                <w:color w:val="000000" w:themeColor="text1"/>
                <w:spacing w:val="1"/>
                <w:kern w:val="0"/>
                <w:sz w:val="20"/>
                <w:u w:val="none"/>
                <w:fitText w:val="1000" w:id="83979068"/>
                <w14:textFill>
                  <w14:solidFill>
                    <w14:schemeClr w14:val="tx1"/>
                  </w14:solidFill>
                </w14:textFill>
              </w:rPr>
              <w:t>构</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名称</w:t>
            </w:r>
            <w:r>
              <w:rPr>
                <w:rFonts w:hint="eastAsia" w:ascii="Times New Roman" w:hAnsi="Times New Roman" w:eastAsia="黑体" w:cs="Times New Roman"/>
                <w:b w:val="0"/>
                <w:i w:val="0"/>
                <w:strike w:val="0"/>
                <w:color w:val="000000" w:themeColor="text1"/>
                <w:sz w:val="20"/>
                <w:u w:val="none"/>
                <w:lang w:eastAsia="zh-CN"/>
                <w14:textFill>
                  <w14:solidFill>
                    <w14:schemeClr w14:val="tx1"/>
                  </w14:solidFill>
                </w14:textFill>
              </w:rPr>
              <w:t>（</w:t>
            </w: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盖章</w:t>
            </w:r>
            <w:r>
              <w:rPr>
                <w:rFonts w:hint="eastAsia" w:ascii="Times New Roman" w:hAnsi="Times New Roman" w:eastAsia="黑体" w:cs="Times New Roman"/>
                <w:b w:val="0"/>
                <w:i w:val="0"/>
                <w:strike w:val="0"/>
                <w:color w:val="000000" w:themeColor="text1"/>
                <w:sz w:val="20"/>
                <w:u w:val="none"/>
                <w:lang w:eastAsia="zh-CN"/>
                <w14:textFill>
                  <w14:solidFill>
                    <w14:schemeClr w14:val="tx1"/>
                  </w14:solidFill>
                </w14:textFill>
              </w:rPr>
              <w:t>）</w:t>
            </w:r>
          </w:p>
        </w:tc>
        <w:tc>
          <w:tcPr>
            <w:tcW w:w="114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right="0" w:firstLine="0" w:firstLineChars="0"/>
              <w:textAlignment w:val="auto"/>
              <w:rPr>
                <w:rFonts w:hint="default" w:ascii="Times New Roman" w:hAnsi="Times New Roman" w:eastAsia="仿宋_GB2312" w:cs="Times New Roman"/>
                <w:color w:val="000000" w:themeColor="text1"/>
                <w:u w:val="none"/>
                <w14:textFill>
                  <w14:solidFill>
                    <w14:schemeClr w14:val="tx1"/>
                  </w14:solidFill>
                </w14:textFill>
              </w:rPr>
            </w:pPr>
          </w:p>
        </w:tc>
        <w:tc>
          <w:tcPr>
            <w:tcW w:w="8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黑体" w:cs="Times New Roman"/>
                <w:b w:val="0"/>
                <w:i w:val="0"/>
                <w:strike w:val="0"/>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统一社会</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信用代码</w:t>
            </w:r>
          </w:p>
        </w:tc>
        <w:tc>
          <w:tcPr>
            <w:tcW w:w="2280" w:type="pct"/>
            <w:gridSpan w:val="3"/>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right="0" w:firstLine="0" w:firstLineChars="0"/>
              <w:textAlignment w:val="auto"/>
              <w:rPr>
                <w:rFonts w:hint="default" w:ascii="Times New Roman" w:hAnsi="Times New Roman" w:eastAsia="仿宋_GB2312" w:cs="Times New Roman"/>
                <w:color w:val="000000" w:themeColor="text1"/>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765"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开办时间</w:t>
            </w:r>
          </w:p>
        </w:tc>
        <w:tc>
          <w:tcPr>
            <w:tcW w:w="114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right="0" w:firstLine="0" w:firstLineChars="0"/>
              <w:textAlignment w:val="auto"/>
              <w:rPr>
                <w:rFonts w:hint="default" w:ascii="Times New Roman" w:hAnsi="Times New Roman" w:eastAsia="仿宋_GB2312" w:cs="Times New Roman"/>
                <w:color w:val="000000" w:themeColor="text1"/>
                <w:u w:val="none"/>
                <w14:textFill>
                  <w14:solidFill>
                    <w14:schemeClr w14:val="tx1"/>
                  </w14:solidFill>
                </w14:textFill>
              </w:rPr>
            </w:pPr>
          </w:p>
        </w:tc>
        <w:tc>
          <w:tcPr>
            <w:tcW w:w="8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黑体" w:cs="Times New Roman"/>
                <w:color w:val="000000" w:themeColor="text1"/>
                <w:sz w:val="20"/>
                <w:u w:val="none"/>
                <w:lang w:val="en-US" w:eastAsia="zh-CN"/>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备案</w:t>
            </w:r>
            <w:r>
              <w:rPr>
                <w:rFonts w:hint="default" w:ascii="Times New Roman" w:hAnsi="Times New Roman" w:eastAsia="黑体" w:cs="Times New Roman"/>
                <w:b w:val="0"/>
                <w:i w:val="0"/>
                <w:strike w:val="0"/>
                <w:color w:val="000000" w:themeColor="text1"/>
                <w:sz w:val="20"/>
                <w:u w:val="none"/>
                <w:lang w:val="en-US" w:eastAsia="zh-CN"/>
                <w14:textFill>
                  <w14:solidFill>
                    <w14:schemeClr w14:val="tx1"/>
                  </w14:solidFill>
                </w14:textFill>
              </w:rPr>
              <w:t>回执编号</w:t>
            </w:r>
          </w:p>
        </w:tc>
        <w:tc>
          <w:tcPr>
            <w:tcW w:w="2280" w:type="pct"/>
            <w:gridSpan w:val="3"/>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right="0" w:firstLine="0" w:firstLineChars="0"/>
              <w:textAlignment w:val="auto"/>
              <w:rPr>
                <w:rFonts w:hint="default" w:ascii="Times New Roman" w:hAnsi="Times New Roman" w:eastAsia="仿宋_GB2312" w:cs="Times New Roman"/>
                <w:color w:val="000000" w:themeColor="text1"/>
                <w:u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660"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机构地址</w:t>
            </w:r>
          </w:p>
        </w:tc>
        <w:tc>
          <w:tcPr>
            <w:tcW w:w="4294" w:type="pct"/>
            <w:gridSpan w:val="5"/>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right="0" w:firstLine="0" w:firstLineChars="0"/>
              <w:textAlignment w:val="auto"/>
              <w:rPr>
                <w:rFonts w:hint="default" w:ascii="Times New Roman" w:hAnsi="Times New Roman" w:eastAsia="仿宋_GB2312" w:cs="Times New Roman"/>
                <w:color w:val="000000" w:themeColor="text1"/>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935"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法人代表</w:t>
            </w:r>
          </w:p>
        </w:tc>
        <w:tc>
          <w:tcPr>
            <w:tcW w:w="114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right="0" w:firstLine="0" w:firstLineChars="0"/>
              <w:textAlignment w:val="auto"/>
              <w:rPr>
                <w:rFonts w:hint="default" w:ascii="Times New Roman" w:hAnsi="Times New Roman" w:eastAsia="仿宋_GB2312" w:cs="Times New Roman"/>
                <w:color w:val="000000" w:themeColor="text1"/>
                <w:u w:val="none"/>
                <w14:textFill>
                  <w14:solidFill>
                    <w14:schemeClr w14:val="tx1"/>
                  </w14:solidFill>
                </w14:textFill>
              </w:rPr>
            </w:pPr>
          </w:p>
        </w:tc>
        <w:tc>
          <w:tcPr>
            <w:tcW w:w="8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负责人姓名</w:t>
            </w:r>
          </w:p>
        </w:tc>
        <w:tc>
          <w:tcPr>
            <w:tcW w:w="83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right="0" w:firstLine="0" w:firstLineChars="0"/>
              <w:textAlignment w:val="auto"/>
              <w:rPr>
                <w:rFonts w:hint="default" w:ascii="Times New Roman" w:hAnsi="Times New Roman" w:eastAsia="仿宋_GB2312" w:cs="Times New Roman"/>
                <w:color w:val="000000" w:themeColor="text1"/>
                <w:u w:val="none"/>
                <w14:textFill>
                  <w14:solidFill>
                    <w14:schemeClr w14:val="tx1"/>
                  </w14:solidFill>
                </w14:textFill>
              </w:rPr>
            </w:pPr>
          </w:p>
        </w:tc>
        <w:tc>
          <w:tcPr>
            <w:tcW w:w="6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lang w:val="en-US" w:eastAsia="zh-CN"/>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lang w:val="en-US" w:eastAsia="zh-CN"/>
                <w14:textFill>
                  <w14:solidFill>
                    <w14:schemeClr w14:val="tx1"/>
                  </w14:solidFill>
                </w14:textFill>
              </w:rPr>
              <w:t>联系电话</w:t>
            </w:r>
          </w:p>
        </w:tc>
        <w:tc>
          <w:tcPr>
            <w:tcW w:w="81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right="0" w:firstLine="0" w:firstLineChars="0"/>
              <w:textAlignment w:val="auto"/>
              <w:rPr>
                <w:rFonts w:hint="default" w:ascii="Times New Roman" w:hAnsi="Times New Roman" w:eastAsia="仿宋_GB2312" w:cs="Times New Roman"/>
                <w:color w:val="000000" w:themeColor="text1"/>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935"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机构规模</w:t>
            </w:r>
          </w:p>
        </w:tc>
        <w:tc>
          <w:tcPr>
            <w:tcW w:w="11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both"/>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核定托位数</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个</w:t>
            </w:r>
          </w:p>
        </w:tc>
        <w:tc>
          <w:tcPr>
            <w:tcW w:w="8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lang w:val="en-US" w:eastAsia="zh-CN"/>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lang w:val="en-US" w:eastAsia="zh-CN"/>
                <w14:textFill>
                  <w14:solidFill>
                    <w14:schemeClr w14:val="tx1"/>
                  </w14:solidFill>
                </w14:textFill>
              </w:rPr>
              <w:t>场所情况</w:t>
            </w:r>
          </w:p>
        </w:tc>
        <w:tc>
          <w:tcPr>
            <w:tcW w:w="2280" w:type="pct"/>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left"/>
              <w:textAlignment w:val="auto"/>
              <w:rPr>
                <w:rFonts w:hint="default" w:ascii="Times New Roman" w:hAnsi="Times New Roman" w:eastAsia="仿宋_GB2312" w:cs="Times New Roman"/>
                <w:color w:val="000000" w:themeColor="text1"/>
                <w:sz w:val="20"/>
                <w:u w:val="none"/>
                <w:lang w:val="en-US" w:eastAsia="zh-CN"/>
                <w14:textFill>
                  <w14:solidFill>
                    <w14:schemeClr w14:val="tx1"/>
                  </w14:solidFill>
                </w14:textFill>
              </w:rPr>
            </w:pPr>
            <w:r>
              <w:rPr>
                <w:rFonts w:hint="default" w:ascii="Times New Roman" w:hAnsi="Times New Roman" w:cs="Times New Roman"/>
                <w:color w:val="000000" w:themeColor="text1"/>
                <w:sz w:val="20"/>
                <w:u w:val="none"/>
                <w:lang w:val="en-US" w:eastAsia="zh-CN"/>
                <w14:textFill>
                  <w14:solidFill>
                    <w14:schemeClr w14:val="tx1"/>
                  </w14:solidFill>
                </w14:textFill>
              </w:rPr>
              <w:t>机构建筑面积</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u w:val="none"/>
                <w:lang w:val="en-US" w:eastAsia="zh-CN"/>
                <w14:textFill>
                  <w14:solidFill>
                    <w14:schemeClr w14:val="tx1"/>
                  </w14:solidFill>
                </w14:textFill>
              </w:rPr>
              <w:t>平方米，室内使用面积</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u w:val="none"/>
                <w:lang w:val="en-US" w:eastAsia="zh-CN"/>
                <w14:textFill>
                  <w14:solidFill>
                    <w14:schemeClr w14:val="tx1"/>
                  </w14:solidFill>
                </w14:textFill>
              </w:rPr>
              <w:t>平方米，室外活动场所</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u w:val="none"/>
                <w:lang w:val="en-US" w:eastAsia="zh-CN"/>
                <w14:textFill>
                  <w14:solidFill>
                    <w14:schemeClr w14:val="tx1"/>
                  </w14:solidFill>
                </w14:textFill>
              </w:rPr>
              <w:t>平方米。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935"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场所性质</w:t>
            </w:r>
          </w:p>
        </w:tc>
        <w:tc>
          <w:tcPr>
            <w:tcW w:w="4294" w:type="pct"/>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both"/>
              <w:textAlignment w:val="auto"/>
              <w:rPr>
                <w:rFonts w:hint="default" w:ascii="Times New Roman" w:hAnsi="Times New Roman" w:eastAsia="仿宋_GB2312" w:cs="Times New Roman"/>
                <w:color w:val="000000" w:themeColor="text1"/>
                <w:spacing w:val="-11"/>
                <w:sz w:val="20"/>
                <w:u w:val="none"/>
                <w14:textFill>
                  <w14:solidFill>
                    <w14:schemeClr w14:val="tx1"/>
                  </w14:solidFill>
                </w14:textFill>
              </w:rPr>
            </w:pP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sym w:font="Wingdings 2" w:char="00A3"/>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国有</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strike w:val="0"/>
                <w:color w:val="000000" w:themeColor="text1"/>
                <w:spacing w:val="-11"/>
                <w:sz w:val="6"/>
                <w:u w:val="none"/>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□集体</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strike w:val="0"/>
                <w:color w:val="000000" w:themeColor="text1"/>
                <w:spacing w:val="-11"/>
                <w:sz w:val="6"/>
                <w:u w:val="none"/>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□租赁</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strike w:val="0"/>
                <w:color w:val="000000" w:themeColor="text1"/>
                <w:spacing w:val="-11"/>
                <w:sz w:val="24"/>
                <w:u w:val="none"/>
                <w14:textFill>
                  <w14:solidFill>
                    <w14:schemeClr w14:val="tx1"/>
                  </w14:solidFill>
                </w14:textFill>
              </w:rPr>
              <w:t xml:space="preserve"> </w:t>
            </w:r>
            <w:r>
              <w:rPr>
                <w:rFonts w:hint="default" w:ascii="Times New Roman" w:hAnsi="Times New Roman" w:eastAsia="仿宋_GB2312" w:cs="Times New Roman"/>
                <w:strike w:val="0"/>
                <w:color w:val="000000" w:themeColor="text1"/>
                <w:spacing w:val="-11"/>
                <w:sz w:val="6"/>
                <w:u w:val="none"/>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□自有</w:t>
            </w:r>
            <w:r>
              <w:rPr>
                <w:rFonts w:hint="default" w:ascii="Times New Roman" w:hAnsi="Times New Roman" w:eastAsia="仿宋_GB2312" w:cs="Times New Roman"/>
                <w:strike w:val="0"/>
                <w:color w:val="000000" w:themeColor="text1"/>
                <w:spacing w:val="-11"/>
                <w:sz w:val="24"/>
                <w:u w:val="none"/>
                <w14:textFill>
                  <w14:solidFill>
                    <w14:schemeClr w14:val="tx1"/>
                  </w14:solidFill>
                </w14:textFill>
              </w:rPr>
              <w:t xml:space="preserve"> </w:t>
            </w:r>
            <w:r>
              <w:rPr>
                <w:rFonts w:hint="default" w:ascii="Times New Roman" w:hAnsi="Times New Roman" w:cs="Times New Roman"/>
                <w:strike w:val="0"/>
                <w:color w:val="000000" w:themeColor="text1"/>
                <w:spacing w:val="-11"/>
                <w:sz w:val="24"/>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□其他</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eastAsia" w:ascii="Times New Roman" w:hAnsi="Times New Roman" w:cs="Times New Roman"/>
                <w:b w:val="0"/>
                <w:i w:val="0"/>
                <w:strike w:val="0"/>
                <w:color w:val="000000" w:themeColor="text1"/>
                <w:spacing w:val="-11"/>
                <w:sz w:val="20"/>
                <w:u w:val="none"/>
                <w:lang w:val="en-US" w:eastAsia="zh-CN"/>
                <w14:textFill>
                  <w14:solidFill>
                    <w14:schemeClr w14:val="tx1"/>
                  </w14:solidFill>
                </w14:textFill>
              </w:rPr>
              <w:t>（</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如为租赁，租期自</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年</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月</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 xml:space="preserve"> 日至</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年</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月</w:t>
            </w:r>
            <w:r>
              <w:rPr>
                <w:rFonts w:hint="default" w:ascii="Times New Roman" w:hAnsi="Times New Roman" w:cs="Times New Roman"/>
                <w:b w:val="0"/>
                <w:i w:val="0"/>
                <w:strike w:val="0"/>
                <w:color w:val="000000" w:themeColor="text1"/>
                <w:spacing w:val="-1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pacing w:val="-11"/>
                <w:sz w:val="20"/>
                <w:u w:val="none"/>
                <w14:textFill>
                  <w14:solidFill>
                    <w14:schemeClr w14:val="tx1"/>
                  </w14:solidFill>
                </w14:textFill>
              </w:rPr>
              <w:t>日</w:t>
            </w:r>
            <w:r>
              <w:rPr>
                <w:rFonts w:hint="eastAsia" w:ascii="Times New Roman" w:hAnsi="Times New Roman" w:eastAsia="仿宋_GB2312" w:cs="Times New Roman"/>
                <w:b w:val="0"/>
                <w:i w:val="0"/>
                <w:strike w:val="0"/>
                <w:color w:val="000000" w:themeColor="text1"/>
                <w:spacing w:val="-11"/>
                <w:sz w:val="20"/>
                <w:u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935"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人员情况</w:t>
            </w:r>
          </w:p>
        </w:tc>
        <w:tc>
          <w:tcPr>
            <w:tcW w:w="4294" w:type="pct"/>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both"/>
              <w:textAlignment w:val="auto"/>
              <w:rPr>
                <w:rFonts w:hint="default" w:ascii="Times New Roman" w:hAnsi="Times New Roman" w:eastAsia="仿宋_GB2312" w:cs="Times New Roman"/>
                <w:color w:val="000000" w:themeColor="text1"/>
                <w:sz w:val="20"/>
                <w:u w:val="none"/>
                <w:lang w:eastAsia="zh-CN"/>
                <w14:textFill>
                  <w14:solidFill>
                    <w14:schemeClr w14:val="tx1"/>
                  </w14:solidFill>
                </w14:textFill>
              </w:rPr>
            </w:pP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1.</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 xml:space="preserve">现有育婴师 </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 xml:space="preserve">人，保育员 </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 xml:space="preserve">人，保安 </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 xml:space="preserve">人，保健人员 </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人</w:t>
            </w:r>
            <w:r>
              <w:rPr>
                <w:rFonts w:hint="default" w:ascii="Times New Roman" w:hAnsi="Times New Roman" w:cs="Times New Roman"/>
                <w:b w:val="0"/>
                <w:i w:val="0"/>
                <w:strike w:val="0"/>
                <w:color w:val="000000" w:themeColor="text1"/>
                <w:sz w:val="20"/>
                <w:u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both"/>
              <w:textAlignment w:val="auto"/>
              <w:rPr>
                <w:rFonts w:hint="default" w:ascii="Times New Roman" w:hAnsi="Times New Roman" w:eastAsia="仿宋_GB2312" w:cs="Times New Roman"/>
                <w:color w:val="000000" w:themeColor="text1"/>
                <w:sz w:val="20"/>
                <w:u w:val="none"/>
                <w:lang w:val="en-US" w:eastAsia="zh-CN"/>
                <w14:textFill>
                  <w14:solidFill>
                    <w14:schemeClr w14:val="tx1"/>
                  </w14:solidFill>
                </w14:textFill>
              </w:rPr>
            </w:pP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2.</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与员工签订劳动合同</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□是</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□否</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both"/>
              <w:textAlignment w:val="auto"/>
              <w:rPr>
                <w:rFonts w:hint="default" w:ascii="Times New Roman" w:hAnsi="Times New Roman" w:eastAsia="仿宋_GB2312" w:cs="Times New Roman"/>
                <w:color w:val="000000" w:themeColor="text1"/>
                <w:sz w:val="20"/>
                <w:u w:val="none"/>
                <w:lang w:val="en-US" w:eastAsia="zh-CN"/>
                <w14:textFill>
                  <w14:solidFill>
                    <w14:schemeClr w14:val="tx1"/>
                  </w14:solidFill>
                </w14:textFill>
              </w:rPr>
            </w:pP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3.</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为员工按相关规定缴纳社会保险</w:t>
            </w:r>
            <w:r>
              <w:rPr>
                <w:rFonts w:hint="default" w:ascii="Times New Roman" w:hAnsi="Times New Roman" w:cs="Times New Roman"/>
                <w:b w:val="0"/>
                <w:i w:val="0"/>
                <w:strike w:val="0"/>
                <w:color w:val="000000" w:themeColor="text1"/>
                <w:sz w:val="20"/>
                <w:u w:val="none"/>
                <w:lang w:eastAsia="zh-CN"/>
                <w14:textFill>
                  <w14:solidFill>
                    <w14:schemeClr w14:val="tx1"/>
                  </w14:solidFill>
                </w14:textFill>
              </w:rPr>
              <w:t>。</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□是</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cs="Times New Roman"/>
                <w:b w:val="0"/>
                <w:i w:val="0"/>
                <w:strike w:val="0"/>
                <w:color w:val="000000" w:themeColor="text1"/>
                <w:sz w:val="20"/>
                <w:u w:val="none"/>
                <w:lang w:eastAsia="zh-CN"/>
                <w14:textFill>
                  <w14:solidFill>
                    <w14:schemeClr w14:val="tx1"/>
                  </w14:solidFill>
                </w14:textFill>
              </w:rPr>
              <w:t>□</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935"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收费标准</w:t>
            </w:r>
          </w:p>
        </w:tc>
        <w:tc>
          <w:tcPr>
            <w:tcW w:w="4294" w:type="pct"/>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both"/>
              <w:textAlignment w:val="auto"/>
              <w:rPr>
                <w:rFonts w:hint="default" w:ascii="Times New Roman" w:hAnsi="Times New Roman" w:eastAsia="仿宋_GB2312" w:cs="Times New Roman"/>
                <w:color w:val="000000" w:themeColor="text1"/>
                <w:sz w:val="20"/>
                <w:u w:val="none"/>
                <w:lang w:eastAsia="zh-CN"/>
                <w14:textFill>
                  <w14:solidFill>
                    <w14:schemeClr w14:val="tx1"/>
                  </w14:solidFill>
                </w14:textFill>
              </w:rPr>
            </w:pP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每月每生保育费</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元、伙食费</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元、杂费</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元、其他费用</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元</w:t>
            </w:r>
            <w:r>
              <w:rPr>
                <w:rFonts w:hint="default" w:ascii="Times New Roman" w:hAnsi="Times New Roman" w:cs="Times New Roman"/>
                <w:b w:val="0"/>
                <w:i w:val="0"/>
                <w:strike w:val="0"/>
                <w:color w:val="000000" w:themeColor="text1"/>
                <w:sz w:val="20"/>
                <w:u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660"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安全情况</w:t>
            </w:r>
          </w:p>
        </w:tc>
        <w:tc>
          <w:tcPr>
            <w:tcW w:w="4294" w:type="pct"/>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both"/>
              <w:textAlignment w:val="auto"/>
              <w:rPr>
                <w:rFonts w:hint="default" w:ascii="Times New Roman" w:hAnsi="Times New Roman" w:eastAsia="仿宋_GB2312" w:cs="Times New Roman"/>
                <w:color w:val="000000" w:themeColor="text1"/>
                <w:sz w:val="20"/>
                <w:u w:val="none"/>
                <w:lang w:val="en-US" w:eastAsia="zh-CN"/>
                <w14:textFill>
                  <w14:solidFill>
                    <w14:schemeClr w14:val="tx1"/>
                  </w14:solidFill>
                </w14:textFill>
              </w:rPr>
            </w:pP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近三年内安全责任事故、</w:t>
            </w:r>
            <w:r>
              <w:rPr>
                <w:rFonts w:hint="default" w:ascii="Times New Roman" w:hAnsi="Times New Roman" w:cs="Times New Roman"/>
                <w:b w:val="0"/>
                <w:i w:val="0"/>
                <w:strike w:val="0"/>
                <w:color w:val="000000" w:themeColor="text1"/>
                <w:sz w:val="20"/>
                <w:u w:val="none"/>
                <w:lang w:eastAsia="zh-CN"/>
                <w14:textFill>
                  <w14:solidFill>
                    <w14:schemeClr w14:val="tx1"/>
                  </w14:solidFill>
                </w14:textFill>
              </w:rPr>
              <w:t>行政处罚</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w:t>
            </w:r>
            <w:r>
              <w:rPr>
                <w:rFonts w:hint="default" w:ascii="Times New Roman" w:hAnsi="Times New Roman" w:cs="Times New Roman"/>
                <w:b w:val="0"/>
                <w:i w:val="0"/>
                <w:strike w:val="0"/>
                <w:color w:val="000000" w:themeColor="text1"/>
                <w:sz w:val="20"/>
                <w:u w:val="none"/>
                <w:lang w:eastAsia="zh-CN"/>
                <w14:textFill>
                  <w14:solidFill>
                    <w14:schemeClr w14:val="tx1"/>
                  </w14:solidFill>
                </w14:textFill>
              </w:rPr>
              <w:t>失信记录</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等相关</w:t>
            </w:r>
            <w:r>
              <w:rPr>
                <w:rFonts w:hint="default" w:ascii="Times New Roman" w:hAnsi="Times New Roman" w:cs="Times New Roman"/>
                <w:b w:val="0"/>
                <w:i w:val="0"/>
                <w:strike w:val="0"/>
                <w:color w:val="000000" w:themeColor="text1"/>
                <w:sz w:val="20"/>
                <w:u w:val="none"/>
                <w:lang w:eastAsia="zh-CN"/>
                <w14:textFill>
                  <w14:solidFill>
                    <w14:schemeClr w14:val="tx1"/>
                  </w14:solidFill>
                </w14:textFill>
              </w:rPr>
              <w:t>情况</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有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13" w:type="dxa"/>
            <w:bottom w:w="0" w:type="dxa"/>
            <w:right w:w="113" w:type="dxa"/>
          </w:tblCellMar>
        </w:tblPrEx>
        <w:trPr>
          <w:trHeight w:val="1720" w:hRule="atLeast"/>
          <w:jc w:val="center"/>
        </w:trPr>
        <w:tc>
          <w:tcPr>
            <w:tcW w:w="70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黑体" w:cs="Times New Roman"/>
                <w:b w:val="0"/>
                <w:i w:val="0"/>
                <w:strike w:val="0"/>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lang w:val="en-US" w:eastAsia="zh-CN"/>
                <w14:textFill>
                  <w14:solidFill>
                    <w14:schemeClr w14:val="tx1"/>
                  </w14:solidFill>
                </w14:textFill>
              </w:rPr>
              <w:t>县级</w:t>
            </w: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卫生</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黑体" w:cs="Times New Roman"/>
                <w:b w:val="0"/>
                <w:i w:val="0"/>
                <w:strike w:val="0"/>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健康行政</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center"/>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黑体" w:cs="Times New Roman"/>
                <w:b w:val="0"/>
                <w:i w:val="0"/>
                <w:strike w:val="0"/>
                <w:color w:val="000000" w:themeColor="text1"/>
                <w:sz w:val="20"/>
                <w:u w:val="none"/>
                <w14:textFill>
                  <w14:solidFill>
                    <w14:schemeClr w14:val="tx1"/>
                  </w14:solidFill>
                </w14:textFill>
              </w:rPr>
              <w:t>部门意见</w:t>
            </w:r>
          </w:p>
        </w:tc>
        <w:tc>
          <w:tcPr>
            <w:tcW w:w="4294" w:type="pct"/>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right"/>
              <w:textAlignment w:val="auto"/>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right"/>
              <w:textAlignment w:val="auto"/>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right="0" w:firstLine="0" w:firstLineChars="0"/>
              <w:jc w:val="right"/>
              <w:textAlignment w:val="auto"/>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right="731" w:rightChars="348" w:firstLine="0" w:firstLineChars="0"/>
              <w:jc w:val="right"/>
              <w:textAlignment w:val="auto"/>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right="758" w:rightChars="361" w:firstLine="0" w:firstLineChars="0"/>
              <w:jc w:val="right"/>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eastAsia" w:ascii="Times New Roman" w:hAnsi="Times New Roman" w:cs="Times New Roman"/>
                <w:b w:val="0"/>
                <w:i w:val="0"/>
                <w:strike w:val="0"/>
                <w:color w:val="000000" w:themeColor="text1"/>
                <w:sz w:val="20"/>
                <w:u w:val="none"/>
                <w:lang w:val="en-US" w:eastAsia="zh-CN"/>
                <w14:textFill>
                  <w14:solidFill>
                    <w14:schemeClr w14:val="tx1"/>
                  </w14:solidFill>
                </w14:textFill>
              </w:rPr>
              <w:t>（</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盖章</w:t>
            </w:r>
            <w:r>
              <w:rPr>
                <w:rFonts w:hint="eastAsia" w:ascii="Times New Roman" w:hAnsi="Times New Roman" w:eastAsia="仿宋_GB2312" w:cs="Times New Roman"/>
                <w:b w:val="0"/>
                <w:i w:val="0"/>
                <w:strike w:val="0"/>
                <w:color w:val="000000" w:themeColor="text1"/>
                <w:sz w:val="20"/>
                <w:u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after="0" w:line="240" w:lineRule="auto"/>
              <w:ind w:left="0" w:right="468" w:rightChars="223" w:firstLine="0" w:firstLineChars="0"/>
              <w:jc w:val="right"/>
              <w:textAlignment w:val="auto"/>
              <w:rPr>
                <w:rFonts w:hint="default" w:ascii="Times New Roman" w:hAnsi="Times New Roman" w:eastAsia="仿宋_GB2312" w:cs="Times New Roman"/>
                <w:color w:val="000000" w:themeColor="text1"/>
                <w:sz w:val="20"/>
                <w:u w:val="none"/>
                <w14:textFill>
                  <w14:solidFill>
                    <w14:schemeClr w14:val="tx1"/>
                  </w14:solidFill>
                </w14:textFill>
              </w:rPr>
            </w:pP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年</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 xml:space="preserve"> 月</w:t>
            </w:r>
            <w:r>
              <w:rPr>
                <w:rFonts w:hint="default" w:ascii="Times New Roman" w:hAnsi="Times New Roman" w:cs="Times New Roman"/>
                <w:b w:val="0"/>
                <w:i w:val="0"/>
                <w:strike w:val="0"/>
                <w:color w:val="000000" w:themeColor="text1"/>
                <w:sz w:val="20"/>
                <w:u w:val="none"/>
                <w:lang w:val="en-US" w:eastAsia="zh-CN"/>
                <w14:textFill>
                  <w14:solidFill>
                    <w14:schemeClr w14:val="tx1"/>
                  </w14:solidFill>
                </w14:textFill>
              </w:rPr>
              <w:t xml:space="preserve">  </w:t>
            </w:r>
            <w:r>
              <w:rPr>
                <w:rFonts w:hint="default" w:ascii="Times New Roman" w:hAnsi="Times New Roman" w:eastAsia="仿宋_GB2312" w:cs="Times New Roman"/>
                <w:b w:val="0"/>
                <w:i w:val="0"/>
                <w:strike w:val="0"/>
                <w:color w:val="000000" w:themeColor="text1"/>
                <w:sz w:val="20"/>
                <w:u w:val="none"/>
                <w14:textFill>
                  <w14:solidFill>
                    <w14:schemeClr w14:val="tx1"/>
                  </w14:solidFill>
                </w14:textFill>
              </w:rPr>
              <w:t xml:space="preserve"> 日</w:t>
            </w:r>
          </w:p>
        </w:tc>
      </w:tr>
    </w:tbl>
    <w:p>
      <w:pPr>
        <w:pStyle w:val="4"/>
        <w:keepNext w:val="0"/>
        <w:keepLines w:val="0"/>
        <w:pageBreakBefore w:val="0"/>
        <w:widowControl w:val="0"/>
        <w:kinsoku/>
        <w:wordWrap/>
        <w:overflowPunct/>
        <w:topLinePunct w:val="0"/>
        <w:autoSpaceDE/>
        <w:autoSpaceDN/>
        <w:bidi w:val="0"/>
        <w:adjustRightInd/>
        <w:snapToGrid/>
        <w:spacing w:before="291" w:beforeLines="50" w:after="0" w:line="240" w:lineRule="auto"/>
        <w:ind w:left="0" w:leftChars="0" w:firstLine="480" w:firstLineChars="200"/>
        <w:textAlignment w:val="auto"/>
        <w:rPr>
          <w:rFonts w:hint="default" w:ascii="Times New Roman" w:hAnsi="Times New Roman" w:eastAsia="楷体_GB2312" w:cs="Times New Roman"/>
          <w:color w:val="000000" w:themeColor="text1"/>
          <w:sz w:val="24"/>
          <w:szCs w:val="21"/>
          <w:u w:val="none"/>
          <w:lang w:val="en-US" w:eastAsia="zh-CN"/>
          <w14:textFill>
            <w14:solidFill>
              <w14:schemeClr w14:val="tx1"/>
            </w14:solidFill>
          </w14:textFill>
        </w:rPr>
        <w:sectPr>
          <w:footerReference r:id="rId4" w:type="first"/>
          <w:footerReference r:id="rId3" w:type="default"/>
          <w:pgSz w:w="11907" w:h="16839"/>
          <w:pgMar w:top="1928" w:right="1474" w:bottom="1701" w:left="1587" w:header="850" w:footer="992" w:gutter="0"/>
          <w:pgBorders>
            <w:top w:val="none" w:sz="0" w:space="0"/>
            <w:left w:val="none" w:sz="0" w:space="0"/>
            <w:bottom w:val="none" w:sz="0" w:space="0"/>
            <w:right w:val="none" w:sz="0" w:space="0"/>
          </w:pgBorders>
          <w:pgNumType w:fmt="numberInDash" w:start="1"/>
          <w:cols w:space="0" w:num="1"/>
          <w:titlePg/>
          <w:rtlGutter w:val="0"/>
          <w:docGrid w:linePitch="578" w:charSpace="0"/>
        </w:sectPr>
      </w:pPr>
      <w:r>
        <w:rPr>
          <w:rFonts w:hint="default" w:ascii="Times New Roman" w:hAnsi="Times New Roman" w:eastAsia="楷体_GB2312" w:cs="Times New Roman"/>
          <w:color w:val="000000" w:themeColor="text1"/>
          <w:sz w:val="24"/>
          <w:szCs w:val="21"/>
          <w:u w:val="none"/>
          <w:lang w:val="en-US" w:eastAsia="zh-CN"/>
          <w14:textFill>
            <w14:solidFill>
              <w14:schemeClr w14:val="tx1"/>
            </w14:solidFill>
          </w14:textFill>
        </w:rPr>
        <w:t>本申请表一式二份，分别由卫生健康部门、托育机构备存。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0"/>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u w:val="none"/>
          <w:lang w:val="en-US" w:eastAsia="zh-CN"/>
          <w14:textFill>
            <w14:solidFill>
              <w14:schemeClr w14:val="tx1"/>
            </w14:solidFill>
          </w14:textFill>
        </w:rPr>
        <w:t>附件</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u w:val="none"/>
          <w:lang w:val="en-US" w:eastAsia="zh-CN"/>
          <w14:textFill>
            <w14:solidFill>
              <w14:schemeClr w14:val="tx1"/>
            </w14:solidFill>
          </w14:textFill>
        </w:rPr>
        <w:t>娄底</w:t>
      </w:r>
      <w:r>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t>市普惠性托育机构承诺书</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小标宋简体" w:cs="Times New Roman"/>
          <w:color w:val="000000" w:themeColor="text1"/>
          <w:sz w:val="44"/>
          <w:szCs w:val="4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本机构郑重承诺：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一、收托入园婴幼儿收费标准同时满足：托大班（混合班）每人每月保育费（不含膳食费，下同）收费不高于本县市区城镇居民上一年度人均可支配收入（按上一年度人均可支配收入/12折算到月）的60%；托小班、乳儿班每月保育费不得高于托大班的20%；同一机构半日托保育费不得超过全日托收费的70%；计时托保育费每小时不超过全日托折算到日标准的30%，不足1小时的，按1小时计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二、与入托婴幼儿监护人签订托育服务协议，协议中应明确列明服务项目、收费标准、争议解决方式及退费办法等内容。在机构公示栏公示收费项目和标准、服务内容、退费办法等，自觉接受社会监督。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三、严格遵守托育服务相关法律法规，合法经营，规范管理，依法依规服务。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1039" w:rightChars="495" w:firstLine="640" w:firstLineChars="200"/>
        <w:jc w:val="righ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承诺机构（盖章）：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1039" w:rightChars="495" w:firstLine="640" w:firstLineChars="200"/>
        <w:jc w:val="righ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039" w:rightChars="495" w:firstLine="640" w:firstLineChars="200"/>
        <w:jc w:val="righ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机构法定代表人（签名）：</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年   月   日     </w:t>
      </w:r>
    </w:p>
    <w:sectPr>
      <w:pgSz w:w="11906" w:h="16838"/>
      <w:pgMar w:top="2098" w:right="1474" w:bottom="1985" w:left="1588"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DF491"/>
    <w:multiLevelType w:val="singleLevel"/>
    <w:tmpl w:val="FFDDF49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ZjczZDQ3Yzc2MmFmYjU0OWFmYjE0Y2I3ZWZhZTMifQ=="/>
  </w:docVars>
  <w:rsids>
    <w:rsidRoot w:val="000058BE"/>
    <w:rsid w:val="000058BE"/>
    <w:rsid w:val="000E0E9B"/>
    <w:rsid w:val="0031751A"/>
    <w:rsid w:val="00463229"/>
    <w:rsid w:val="00531C7B"/>
    <w:rsid w:val="008505B4"/>
    <w:rsid w:val="008B57BE"/>
    <w:rsid w:val="00980BEC"/>
    <w:rsid w:val="00A246F9"/>
    <w:rsid w:val="00AB3E5D"/>
    <w:rsid w:val="00AB5F26"/>
    <w:rsid w:val="00B54D70"/>
    <w:rsid w:val="00B957B0"/>
    <w:rsid w:val="00C772D9"/>
    <w:rsid w:val="00CB45BB"/>
    <w:rsid w:val="00DF691C"/>
    <w:rsid w:val="00F20758"/>
    <w:rsid w:val="040A7BF1"/>
    <w:rsid w:val="11A840BC"/>
    <w:rsid w:val="1579385F"/>
    <w:rsid w:val="193D64CF"/>
    <w:rsid w:val="22AD30BF"/>
    <w:rsid w:val="22D220C4"/>
    <w:rsid w:val="2F217BFB"/>
    <w:rsid w:val="35E96917"/>
    <w:rsid w:val="38F36BE3"/>
    <w:rsid w:val="3B74231A"/>
    <w:rsid w:val="51BC6BAB"/>
    <w:rsid w:val="591A7907"/>
    <w:rsid w:val="5DD04117"/>
    <w:rsid w:val="6919723F"/>
    <w:rsid w:val="69D57549"/>
    <w:rsid w:val="7089584F"/>
    <w:rsid w:val="71B205BF"/>
    <w:rsid w:val="744D35C1"/>
    <w:rsid w:val="7A2A5271"/>
    <w:rsid w:val="7F81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style>
  <w:style w:type="paragraph" w:styleId="4">
    <w:name w:val="Body Text Indent 2"/>
    <w:basedOn w:val="1"/>
    <w:qFormat/>
    <w:uiPriority w:val="0"/>
    <w:pPr>
      <w:spacing w:after="120" w:line="480" w:lineRule="auto"/>
      <w:ind w:left="200" w:leftChars="200"/>
    </w:pPr>
    <w:rPr>
      <w:rFonts w:ascii="等线" w:hAnsi="等线" w:eastAsia="等线"/>
    </w:rPr>
  </w:style>
  <w:style w:type="paragraph" w:styleId="5">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99"/>
    <w:pPr>
      <w:spacing w:line="630" w:lineRule="exact"/>
      <w:ind w:firstLine="664" w:firstLineChars="200"/>
      <w:textAlignment w:val="bottom"/>
    </w:pPr>
    <w:rPr>
      <w:rFonts w:eastAsia="方正仿宋简体"/>
      <w:spacing w:val="6"/>
      <w:sz w:val="32"/>
      <w:szCs w:val="32"/>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2950</Words>
  <Characters>3003</Characters>
  <Lines>2</Lines>
  <Paragraphs>1</Paragraphs>
  <TotalTime>24</TotalTime>
  <ScaleCrop>false</ScaleCrop>
  <LinksUpToDate>false</LinksUpToDate>
  <CharactersWithSpaces>3248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2019-08-22T01:49:00Z</dcterms:created>
  <dc:creator>左翼</dc:creator>
  <cp:lastModifiedBy>沛公</cp:lastModifiedBy>
  <cp:lastPrinted>2024-06-28T09:12:00Z</cp:lastPrinted>
  <dcterms:modified xsi:type="dcterms:W3CDTF">2024-07-03T01:33:26Z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AD7474C9AA6B4D0E95516FBD03D73C87_13</vt:lpwstr>
  </property>
</Properties>
</file>