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hint="eastAsia" w:ascii="黑体" w:hAnsi="黑体" w:eastAsia="黑体" w:cs="黑体"/>
          <w:sz w:val="32"/>
          <w:szCs w:val="30"/>
          <w:lang w:val="en" w:eastAsia="zh-CN"/>
        </w:rPr>
      </w:pPr>
      <w:r>
        <w:rPr>
          <w:rFonts w:hint="eastAsia" w:ascii="黑体" w:hAnsi="黑体" w:eastAsia="黑体" w:cs="黑体"/>
          <w:sz w:val="32"/>
          <w:szCs w:val="30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0" w:firstLineChars="0"/>
        <w:textAlignment w:val="auto"/>
        <w:rPr>
          <w:rFonts w:ascii="仿宋_GB2312" w:eastAsia="仿宋_GB2312" w:cs="Times New Roman" w:hAnsiTheme="minorEastAsia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0" w:firstLineChars="0"/>
        <w:jc w:val="center"/>
        <w:textAlignment w:val="auto"/>
        <w:rPr>
          <w:rFonts w:ascii="方正小标宋_GBK" w:hAnsi="华文中宋" w:eastAsia="方正小标宋_GBK" w:cs="Times New Roman"/>
          <w:sz w:val="40"/>
          <w:szCs w:val="36"/>
        </w:rPr>
      </w:pPr>
      <w:r>
        <w:rPr>
          <w:rFonts w:hint="eastAsia" w:ascii="方正小标宋_GBK" w:hAnsi="华文中宋" w:eastAsia="方正小标宋_GBK" w:cs="Times New Roman"/>
          <w:sz w:val="40"/>
          <w:szCs w:val="36"/>
        </w:rPr>
        <w:t>中央财政县级基本财力保障机制奖补资金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0" w:firstLineChars="0"/>
        <w:jc w:val="center"/>
        <w:textAlignment w:val="auto"/>
        <w:rPr>
          <w:rFonts w:hint="eastAsia" w:ascii="方正小标宋_GBK" w:hAnsi="华文中宋" w:eastAsia="方正小标宋_GBK" w:cs="Times New Roman"/>
          <w:sz w:val="40"/>
          <w:szCs w:val="36"/>
        </w:rPr>
      </w:pPr>
      <w:r>
        <w:rPr>
          <w:rFonts w:hint="eastAsia" w:ascii="方正小标宋_GBK" w:hAnsi="华文中宋" w:eastAsia="方正小标宋_GBK" w:cs="Times New Roman"/>
          <w:sz w:val="40"/>
          <w:szCs w:val="36"/>
        </w:rPr>
        <w:t>管理办法</w:t>
      </w:r>
    </w:p>
    <w:p>
      <w:pPr>
        <w:spacing w:line="588" w:lineRule="exact"/>
        <w:ind w:firstLine="642" w:firstLineChars="200"/>
        <w:jc w:val="center"/>
        <w:rPr>
          <w:rFonts w:ascii="楷体_GB2312" w:hAnsi="华文中宋" w:eastAsia="楷体_GB2312" w:cs="Times New Roman"/>
          <w:b/>
          <w:sz w:val="32"/>
          <w:szCs w:val="32"/>
        </w:rPr>
      </w:pPr>
      <w:bookmarkStart w:id="0" w:name="_GoBack"/>
      <w:bookmarkEnd w:id="0"/>
    </w:p>
    <w:p>
      <w:pPr>
        <w:spacing w:line="588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第一章 总则</w:t>
      </w:r>
    </w:p>
    <w:p>
      <w:pPr>
        <w:spacing w:line="588" w:lineRule="exact"/>
        <w:ind w:firstLine="640" w:firstLineChars="200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88" w:lineRule="exact"/>
        <w:ind w:firstLine="642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 xml:space="preserve">第一条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为增强基层政府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保基本民生、保工资、保运转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（以下简称“三保”）的能力，保障基层政府实施公共管理、提供基本公共服务以及落实党中央、国务院各项基本民生政策的基本财力需要，强化中央财政县级基本财力保障机制奖补资金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（以下简称县级基本财力保障机制奖补资金）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管理，制定本办法。</w:t>
      </w:r>
    </w:p>
    <w:p>
      <w:pPr>
        <w:spacing w:line="588" w:lineRule="exact"/>
        <w:ind w:firstLine="642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楷体_GB2312" w:hAnsi="Times New Roman" w:eastAsia="楷体_GB2312" w:cs="Times New Roman"/>
          <w:b/>
          <w:sz w:val="32"/>
          <w:szCs w:val="32"/>
        </w:rPr>
        <w:t>第二条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本办法所称县级基本财力保障机制奖补资金，是指中央财政设立，主要用于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激励引导地方保障基层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“三保”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等必要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支出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需求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，奖励地方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改善县级财力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均衡度、加强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县级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财政管理的一般性转移支付资金。</w:t>
      </w:r>
    </w:p>
    <w:p>
      <w:pPr>
        <w:spacing w:line="588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</w:p>
    <w:p>
      <w:pPr>
        <w:spacing w:line="588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第二章 管理职</w:t>
      </w:r>
      <w:r>
        <w:rPr>
          <w:rFonts w:hint="eastAsia" w:ascii="黑体" w:hAnsi="黑体" w:eastAsia="黑体" w:cs="Times New Roman"/>
          <w:sz w:val="32"/>
          <w:szCs w:val="32"/>
        </w:rPr>
        <w:t>责</w:t>
      </w:r>
    </w:p>
    <w:p>
      <w:pPr>
        <w:spacing w:line="588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8" w:lineRule="exac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第三条</w:t>
      </w:r>
      <w:r>
        <w:rPr>
          <w:rFonts w:ascii="楷体_GB2312" w:hAnsi="Times New Roman" w:eastAsia="楷体_GB2312" w:cs="Times New Roman"/>
          <w:b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财政部负责分配县级基本财力保障机制奖补资金，全面掌握县级财政运行情况，客观评价地方“三保”保障能力、努力程度和工作实绩。</w:t>
      </w:r>
    </w:p>
    <w:p>
      <w:pPr>
        <w:spacing w:line="588" w:lineRule="exact"/>
        <w:ind w:firstLine="642" w:firstLineChars="200"/>
        <w:rPr>
          <w:rFonts w:hint="eastAsia" w:ascii="楷体_GB2312" w:eastAsia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/>
          <w:b/>
          <w:sz w:val="32"/>
          <w:szCs w:val="32"/>
          <w:highlight w:val="none"/>
        </w:rPr>
        <w:t xml:space="preserve">第四条 </w:t>
      </w:r>
      <w:r>
        <w:rPr>
          <w:rFonts w:hint="eastAsia" w:eastAsia="仿宋_GB2312" w:asciiTheme="minorHAnsi"/>
          <w:b w:val="0"/>
          <w:sz w:val="32"/>
          <w:szCs w:val="32"/>
          <w:highlight w:val="none"/>
          <w:lang w:eastAsia="zh-CN"/>
        </w:rPr>
        <w:t>地方各级财政</w:t>
      </w:r>
      <w:r>
        <w:rPr>
          <w:rFonts w:hint="eastAsia" w:eastAsia="仿宋_GB2312"/>
          <w:b w:val="0"/>
          <w:sz w:val="32"/>
          <w:szCs w:val="32"/>
          <w:lang w:eastAsia="zh-CN"/>
        </w:rPr>
        <w:t>部门按照“县级为主，市级帮扶，省级兜底</w:t>
      </w:r>
      <w:r>
        <w:rPr>
          <w:rFonts w:hint="eastAsia" w:eastAsia="仿宋_GB2312"/>
          <w:sz w:val="32"/>
          <w:szCs w:val="32"/>
        </w:rPr>
        <w:t>”</w:t>
      </w:r>
      <w:r>
        <w:rPr>
          <w:rFonts w:hint="eastAsia" w:eastAsia="仿宋_GB2312"/>
          <w:b w:val="0"/>
          <w:sz w:val="32"/>
          <w:szCs w:val="32"/>
          <w:lang w:eastAsia="zh-CN"/>
        </w:rPr>
        <w:t>原则，落实分级责任制。</w:t>
      </w:r>
    </w:p>
    <w:p>
      <w:pPr>
        <w:spacing w:line="588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省级财政部门</w:t>
      </w:r>
      <w:r>
        <w:rPr>
          <w:rFonts w:hint="eastAsia" w:eastAsia="仿宋_GB2312"/>
          <w:sz w:val="32"/>
          <w:szCs w:val="32"/>
          <w:lang w:eastAsia="zh-CN"/>
        </w:rPr>
        <w:t>负责健全本地区县级基本财力保障机制，完善奖补资金管理办法，针对可能发生的“三保”风险事件做实应急处置预案。</w:t>
      </w:r>
    </w:p>
    <w:p>
      <w:pPr>
        <w:spacing w:line="588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省市财政部门负责对下测算分配奖补资金，资金向基层困难地区倾斜</w:t>
      </w:r>
      <w:r>
        <w:rPr>
          <w:rFonts w:hint="eastAsia" w:eastAsia="仿宋_GB2312"/>
          <w:sz w:val="32"/>
          <w:szCs w:val="32"/>
          <w:lang w:val="en-US" w:eastAsia="zh-CN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提高县级财力水平和均衡度</w:t>
      </w:r>
      <w:r>
        <w:rPr>
          <w:rFonts w:hint="eastAsia" w:eastAsia="仿宋_GB2312"/>
          <w:sz w:val="32"/>
          <w:szCs w:val="32"/>
          <w:lang w:val="en-US" w:eastAsia="zh-CN"/>
        </w:rPr>
        <w:t>；动态监测基层财政运行，</w:t>
      </w:r>
      <w:r>
        <w:rPr>
          <w:rFonts w:hint="eastAsia" w:eastAsia="仿宋_GB2312"/>
          <w:sz w:val="32"/>
          <w:szCs w:val="32"/>
          <w:lang w:eastAsia="zh-CN"/>
        </w:rPr>
        <w:t>确保“三保”风险早发现、早报告、早处置；对困难县区适当加大补助力度、给予资金调度支持，切实落实兜底帮扶责任。</w:t>
      </w:r>
    </w:p>
    <w:p>
      <w:pPr>
        <w:pStyle w:val="2"/>
        <w:spacing w:after="0" w:line="588" w:lineRule="exact"/>
        <w:ind w:left="0" w:leftChars="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县级财政部门负责管理、安排和使用本地区奖补资金，</w:t>
      </w:r>
      <w:r>
        <w:rPr>
          <w:rFonts w:hint="eastAsia" w:eastAsia="仿宋_GB2312"/>
          <w:sz w:val="32"/>
          <w:szCs w:val="32"/>
        </w:rPr>
        <w:t>科学统筹自有财力和上级补助，</w:t>
      </w:r>
      <w:r>
        <w:rPr>
          <w:rFonts w:hint="eastAsia" w:eastAsia="仿宋_GB2312"/>
          <w:sz w:val="32"/>
          <w:szCs w:val="32"/>
          <w:lang w:eastAsia="zh-CN"/>
        </w:rPr>
        <w:t>强化预算管理，有效保障“三保”支出；落实“三保”保障主体责任，动态评估本地区“三保”运行情况，对出现或预计可能出现的风险事件，及时报告上级财政部门。</w:t>
      </w:r>
    </w:p>
    <w:p>
      <w:pPr>
        <w:pStyle w:val="2"/>
        <w:spacing w:after="0" w:line="588" w:lineRule="exact"/>
        <w:ind w:left="0" w:leftChars="0"/>
        <w:rPr>
          <w:rFonts w:hint="eastAsia" w:eastAsia="仿宋_GB2312"/>
          <w:sz w:val="32"/>
          <w:szCs w:val="32"/>
          <w:lang w:eastAsia="zh-CN"/>
        </w:rPr>
      </w:pPr>
    </w:p>
    <w:p>
      <w:pPr>
        <w:spacing w:line="588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 xml:space="preserve">第三章 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分配</w:t>
      </w:r>
      <w:r>
        <w:rPr>
          <w:rFonts w:ascii="黑体" w:hAnsi="黑体" w:eastAsia="黑体" w:cs="Times New Roman"/>
          <w:sz w:val="32"/>
          <w:szCs w:val="32"/>
        </w:rPr>
        <w:t>对象、</w:t>
      </w:r>
      <w:r>
        <w:rPr>
          <w:rFonts w:hint="eastAsia" w:ascii="黑体" w:hAnsi="黑体" w:eastAsia="黑体" w:cs="Times New Roman"/>
          <w:sz w:val="32"/>
          <w:szCs w:val="32"/>
        </w:rPr>
        <w:t>测算</w:t>
      </w:r>
      <w:r>
        <w:rPr>
          <w:rFonts w:ascii="黑体" w:hAnsi="黑体" w:eastAsia="黑体" w:cs="Times New Roman"/>
          <w:sz w:val="32"/>
          <w:szCs w:val="32"/>
        </w:rPr>
        <w:t>范围和标准</w:t>
      </w:r>
    </w:p>
    <w:p>
      <w:pPr>
        <w:spacing w:line="58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8" w:lineRule="exac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 xml:space="preserve">第五条 </w:t>
      </w:r>
      <w:r>
        <w:rPr>
          <w:rFonts w:hint="eastAsia" w:eastAsia="仿宋_GB2312"/>
          <w:sz w:val="32"/>
          <w:szCs w:val="32"/>
        </w:rPr>
        <w:t>县级基本财力保障机制奖补资金分配对象是全国的县、自治县、不设区的市（含地级市）和市辖区、新疆生产建设兵团已设行政区划的师市级单位，不含无行政建制的开发区（以下简称县）。</w:t>
      </w:r>
    </w:p>
    <w:p>
      <w:pPr>
        <w:spacing w:line="588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第六条</w:t>
      </w:r>
      <w:r>
        <w:rPr>
          <w:rFonts w:ascii="楷体_GB2312" w:hAnsi="Times New Roman" w:eastAsia="楷体_GB2312" w:cs="Times New Roman"/>
          <w:b/>
          <w:sz w:val="32"/>
          <w:szCs w:val="32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</w:rPr>
        <w:t>财政部依据</w:t>
      </w:r>
      <w:r>
        <w:rPr>
          <w:rFonts w:hint="eastAsia" w:eastAsia="仿宋_GB2312"/>
          <w:sz w:val="32"/>
          <w:szCs w:val="32"/>
        </w:rPr>
        <w:t>县级</w:t>
      </w:r>
      <w:r>
        <w:rPr>
          <w:rFonts w:hint="eastAsia" w:ascii="仿宋_GB2312" w:hAnsi="Calibri" w:eastAsia="仿宋_GB2312"/>
          <w:sz w:val="32"/>
          <w:szCs w:val="32"/>
        </w:rPr>
        <w:t>政府</w:t>
      </w:r>
      <w:r>
        <w:rPr>
          <w:rFonts w:hint="eastAsia" w:eastAsia="仿宋_GB2312"/>
          <w:sz w:val="32"/>
          <w:szCs w:val="32"/>
        </w:rPr>
        <w:t>承担的</w:t>
      </w:r>
      <w:r>
        <w:rPr>
          <w:rFonts w:hint="eastAsia" w:ascii="仿宋_GB2312" w:hAnsi="Calibri" w:eastAsia="仿宋_GB2312"/>
          <w:sz w:val="32"/>
          <w:szCs w:val="32"/>
        </w:rPr>
        <w:t>基本民生支出、</w:t>
      </w:r>
      <w:r>
        <w:rPr>
          <w:rFonts w:hint="eastAsia" w:eastAsia="仿宋_GB2312"/>
          <w:sz w:val="32"/>
          <w:szCs w:val="32"/>
        </w:rPr>
        <w:t>财政供养人员经费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运转经费以及其他必要支出</w:t>
      </w:r>
      <w:r>
        <w:rPr>
          <w:rFonts w:hint="eastAsia" w:eastAsia="仿宋_GB2312"/>
          <w:sz w:val="32"/>
          <w:szCs w:val="32"/>
          <w:lang w:eastAsia="zh-CN"/>
        </w:rPr>
        <w:t>等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核</w:t>
      </w:r>
      <w:r>
        <w:rPr>
          <w:rFonts w:hint="eastAsia" w:eastAsia="仿宋_GB2312"/>
          <w:sz w:val="32"/>
          <w:szCs w:val="32"/>
        </w:rPr>
        <w:t>定县级基本财力保障机制奖补资金的测算范围和标准，并根据政策变化情况，每年适时予以调整。</w:t>
      </w:r>
    </w:p>
    <w:p>
      <w:pPr>
        <w:spacing w:line="588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（一）基本民生支出。</w:t>
      </w:r>
      <w:r>
        <w:rPr>
          <w:rFonts w:hint="eastAsia" w:eastAsia="仿宋_GB2312"/>
          <w:sz w:val="32"/>
          <w:szCs w:val="32"/>
        </w:rPr>
        <w:t>主要包括落实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教育、社会保障、卫生健康等领域</w:t>
      </w:r>
      <w:r>
        <w:rPr>
          <w:rFonts w:hint="eastAsia" w:eastAsia="仿宋_GB2312"/>
          <w:sz w:val="32"/>
          <w:szCs w:val="32"/>
        </w:rPr>
        <w:t>国家统一制定的政策</w:t>
      </w:r>
      <w:r>
        <w:rPr>
          <w:rFonts w:hint="eastAsia" w:ascii="仿宋_GB2312" w:hAnsi="仿宋_GB2312" w:eastAsia="仿宋_GB2312" w:cs="仿宋_GB2312"/>
          <w:sz w:val="32"/>
          <w:szCs w:val="32"/>
        </w:rPr>
        <w:t>，重点保障以人员或家庭作为直接补助对象的民生补贴类项目，以及有明确保障范围和标准的基本公共服务事项。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42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（二）财政供养人员经费。</w:t>
      </w:r>
      <w:r>
        <w:rPr>
          <w:rFonts w:hint="eastAsia" w:eastAsia="仿宋_GB2312"/>
          <w:sz w:val="32"/>
          <w:szCs w:val="32"/>
        </w:rPr>
        <w:t>包括国家统一出台的基本工资、奖金和津贴补贴，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规范的地方</w:t>
      </w:r>
      <w:r>
        <w:rPr>
          <w:rFonts w:hint="eastAsia" w:eastAsia="仿宋_GB2312"/>
          <w:sz w:val="32"/>
          <w:szCs w:val="32"/>
        </w:rPr>
        <w:t>津贴补贴、事业单位绩效工资、工资性附加支出和离休人员离休费等项目。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42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（三）运转经费。</w:t>
      </w:r>
      <w:r>
        <w:rPr>
          <w:rFonts w:hint="eastAsia" w:eastAsia="仿宋_GB2312"/>
          <w:sz w:val="32"/>
          <w:szCs w:val="32"/>
        </w:rPr>
        <w:t>包括县级机关事业单位自身运转、完成日常工作任务所发生的公用经费支出。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8" w:lineRule="exact"/>
        <w:ind w:left="0" w:leftChars="0"/>
        <w:textAlignment w:val="auto"/>
      </w:pPr>
      <w:r>
        <w:rPr>
          <w:rFonts w:hint="eastAsia" w:eastAsia="仿宋_GB2312" w:asciiTheme="minorHAnsi" w:hAnsiTheme="minorHAnsi" w:cstheme="minorBidi"/>
          <w:b/>
          <w:bCs/>
          <w:kern w:val="2"/>
          <w:sz w:val="32"/>
          <w:szCs w:val="32"/>
          <w:lang w:val="en-US" w:eastAsia="zh-CN" w:bidi="ar-SA"/>
        </w:rPr>
        <w:t>（四）其他必要支出。</w:t>
      </w:r>
      <w:r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  <w:t>包括地方政府一般</w:t>
      </w:r>
      <w:r>
        <w:rPr>
          <w:rFonts w:hint="eastAsia" w:eastAsia="仿宋_GB2312"/>
          <w:sz w:val="32"/>
          <w:szCs w:val="32"/>
          <w:lang w:eastAsia="zh-CN"/>
        </w:rPr>
        <w:t>债务</w:t>
      </w:r>
      <w:r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  <w:t>付息支出等。</w:t>
      </w:r>
    </w:p>
    <w:p>
      <w:pPr>
        <w:spacing w:line="588" w:lineRule="exact"/>
        <w:ind w:firstLine="642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588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第四章 资金分配和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预算</w:t>
      </w:r>
      <w:r>
        <w:rPr>
          <w:rFonts w:ascii="黑体" w:hAnsi="黑体" w:eastAsia="黑体" w:cs="Times New Roman"/>
          <w:sz w:val="32"/>
          <w:szCs w:val="32"/>
        </w:rPr>
        <w:t>下达</w:t>
      </w:r>
    </w:p>
    <w:p>
      <w:pPr>
        <w:spacing w:line="58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8" w:lineRule="exact"/>
        <w:ind w:firstLine="642"/>
        <w:rPr>
          <w:rFonts w:hint="default"/>
          <w:lang w:val="en-US"/>
        </w:rPr>
      </w:pPr>
      <w:r>
        <w:rPr>
          <w:rFonts w:hint="eastAsia" w:ascii="楷体_GB2312" w:eastAsia="楷体_GB2312"/>
          <w:b/>
          <w:sz w:val="32"/>
          <w:szCs w:val="32"/>
        </w:rPr>
        <w:t>第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七</w:t>
      </w:r>
      <w:r>
        <w:rPr>
          <w:rFonts w:hint="eastAsia" w:ascii="楷体_GB2312" w:eastAsia="楷体_GB2312"/>
          <w:b/>
          <w:sz w:val="32"/>
          <w:szCs w:val="32"/>
        </w:rPr>
        <w:t xml:space="preserve">条 </w:t>
      </w:r>
      <w:r>
        <w:rPr>
          <w:rFonts w:hint="eastAsia" w:ascii="仿宋_GB2312" w:hAnsi="Calibri" w:eastAsia="仿宋_GB2312"/>
          <w:sz w:val="32"/>
          <w:szCs w:val="32"/>
        </w:rPr>
        <w:t>财政部按照奖补结合的原则，主要根据县级“三保”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等必要</w:t>
      </w:r>
      <w:r>
        <w:rPr>
          <w:rFonts w:hint="eastAsia" w:ascii="仿宋_GB2312" w:hAnsi="Calibri" w:eastAsia="仿宋_GB2312"/>
          <w:sz w:val="32"/>
          <w:szCs w:val="32"/>
        </w:rPr>
        <w:t>支出需求、省级财政调控努力程度、财政管理绩效及特殊因素等，采用因素法对省级财政分配县级基本财力保障机制奖补资金。其中，对县级“三保”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等必要</w:t>
      </w:r>
      <w:r>
        <w:rPr>
          <w:rFonts w:hint="eastAsia" w:ascii="仿宋_GB2312" w:hAnsi="Calibri" w:eastAsia="仿宋_GB2312"/>
          <w:sz w:val="32"/>
          <w:szCs w:val="32"/>
        </w:rPr>
        <w:t>支出需求</w:t>
      </w:r>
      <w:r>
        <w:rPr>
          <w:rFonts w:hint="default" w:ascii="仿宋_GB2312" w:hAnsi="Calibri" w:eastAsia="仿宋_GB2312"/>
          <w:sz w:val="32"/>
          <w:szCs w:val="32"/>
          <w:lang w:val="en"/>
        </w:rPr>
        <w:t>，</w:t>
      </w:r>
      <w:r>
        <w:rPr>
          <w:rFonts w:hint="eastAsia" w:ascii="仿宋_GB2312" w:hAnsi="Calibri" w:eastAsia="仿宋_GB2312"/>
          <w:sz w:val="32"/>
          <w:szCs w:val="32"/>
        </w:rPr>
        <w:t>结合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按</w:t>
      </w:r>
      <w:r>
        <w:rPr>
          <w:rFonts w:hint="eastAsia" w:ascii="仿宋_GB2312" w:hAnsi="Calibri" w:eastAsia="仿宋_GB2312"/>
          <w:sz w:val="32"/>
          <w:szCs w:val="32"/>
        </w:rPr>
        <w:t>财政困难程度、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“三保”支出占财力比重</w:t>
      </w:r>
      <w:r>
        <w:rPr>
          <w:rFonts w:hint="eastAsia" w:ascii="仿宋_GB2312" w:hAnsi="Calibri" w:eastAsia="仿宋_GB2312"/>
          <w:sz w:val="32"/>
          <w:szCs w:val="32"/>
        </w:rPr>
        <w:t>、人口等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测算的综合系数</w:t>
      </w:r>
      <w:r>
        <w:rPr>
          <w:rFonts w:hint="eastAsia" w:ascii="仿宋_GB2312" w:hAnsi="Calibri" w:eastAsia="仿宋_GB2312"/>
          <w:sz w:val="32"/>
          <w:szCs w:val="32"/>
        </w:rPr>
        <w:t>予以补助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Calibri" w:eastAsia="仿宋_GB2312"/>
          <w:sz w:val="32"/>
          <w:szCs w:val="32"/>
        </w:rPr>
        <w:t>对</w:t>
      </w:r>
      <w:r>
        <w:rPr>
          <w:rFonts w:hint="default" w:ascii="仿宋_GB2312" w:hAnsi="Calibri" w:eastAsia="仿宋_GB2312"/>
          <w:sz w:val="32"/>
          <w:szCs w:val="32"/>
          <w:lang w:val="en"/>
        </w:rPr>
        <w:t>努力改善县级</w:t>
      </w:r>
      <w:r>
        <w:rPr>
          <w:rFonts w:hint="eastAsia" w:ascii="仿宋_GB2312" w:hAnsi="Calibri" w:eastAsia="仿宋_GB2312"/>
          <w:sz w:val="32"/>
          <w:szCs w:val="32"/>
        </w:rPr>
        <w:t>财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力</w:t>
      </w:r>
      <w:r>
        <w:rPr>
          <w:rFonts w:hint="eastAsia" w:ascii="仿宋_GB2312" w:hAnsi="Calibri" w:eastAsia="仿宋_GB2312"/>
          <w:sz w:val="32"/>
          <w:szCs w:val="32"/>
        </w:rPr>
        <w:t>均衡度、</w:t>
      </w:r>
      <w:r>
        <w:rPr>
          <w:rFonts w:hint="default" w:ascii="仿宋_GB2312" w:hAnsi="Calibri" w:eastAsia="仿宋_GB2312"/>
          <w:sz w:val="32"/>
          <w:szCs w:val="32"/>
          <w:lang w:val="en"/>
        </w:rPr>
        <w:t>提高</w:t>
      </w:r>
      <w:r>
        <w:rPr>
          <w:rFonts w:hint="eastAsia" w:ascii="仿宋_GB2312" w:hAnsi="Calibri" w:eastAsia="仿宋_GB2312"/>
          <w:sz w:val="32"/>
          <w:szCs w:val="32"/>
        </w:rPr>
        <w:t>县级财政管理</w:t>
      </w:r>
      <w:r>
        <w:rPr>
          <w:rFonts w:hint="default" w:ascii="仿宋_GB2312" w:hAnsi="Calibri" w:eastAsia="仿宋_GB2312"/>
          <w:sz w:val="32"/>
          <w:szCs w:val="32"/>
          <w:lang w:val="en"/>
        </w:rPr>
        <w:t>水平</w:t>
      </w:r>
      <w:r>
        <w:rPr>
          <w:rFonts w:hint="eastAsia" w:ascii="仿宋_GB2312" w:hAnsi="Calibri" w:eastAsia="仿宋_GB2312"/>
          <w:sz w:val="32"/>
          <w:szCs w:val="32"/>
        </w:rPr>
        <w:t>的地区予以奖励；对落实党中央、国务院有关精神</w:t>
      </w:r>
      <w:r>
        <w:rPr>
          <w:rFonts w:hint="default" w:ascii="仿宋_GB2312" w:hAnsi="Calibri" w:eastAsia="仿宋_GB2312"/>
          <w:sz w:val="32"/>
          <w:szCs w:val="32"/>
          <w:lang w:val="en"/>
        </w:rPr>
        <w:t>的</w:t>
      </w:r>
      <w:r>
        <w:rPr>
          <w:rFonts w:hint="eastAsia" w:ascii="仿宋_GB2312" w:hAnsi="Calibri" w:eastAsia="仿宋_GB2312"/>
          <w:sz w:val="32"/>
          <w:szCs w:val="32"/>
        </w:rPr>
        <w:t>特定</w:t>
      </w:r>
      <w:r>
        <w:rPr>
          <w:rFonts w:hint="default" w:ascii="仿宋_GB2312" w:hAnsi="Calibri" w:eastAsia="仿宋_GB2312"/>
          <w:sz w:val="32"/>
          <w:szCs w:val="32"/>
          <w:lang w:val="en"/>
        </w:rPr>
        <w:t>区域和</w:t>
      </w:r>
      <w:r>
        <w:rPr>
          <w:rFonts w:hint="eastAsia" w:ascii="仿宋_GB2312" w:hAnsi="Calibri" w:eastAsia="仿宋_GB2312"/>
          <w:sz w:val="32"/>
          <w:szCs w:val="32"/>
        </w:rPr>
        <w:t>事项给予阶段性支持。根据县级财政运行实际情况，动态调整奖补资金比重等，加强对“三保”保障压力较大地区的倾斜支持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。</w:t>
      </w:r>
    </w:p>
    <w:p>
      <w:pPr>
        <w:pStyle w:val="2"/>
        <w:spacing w:after="0"/>
        <w:ind w:left="0" w:leftChars="0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第八条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 xml:space="preserve"> 为支持地方提高县级基本财力保障水平，财政部按照一定比例，对县级财政“三保”等必要支出</w:t>
      </w:r>
      <w:r>
        <w:rPr>
          <w:rFonts w:hint="default" w:ascii="仿宋_GB2312" w:hAnsi="Calibri" w:eastAsia="仿宋_GB2312"/>
          <w:sz w:val="32"/>
          <w:szCs w:val="32"/>
          <w:lang w:val="en" w:eastAsia="zh-CN"/>
        </w:rPr>
        <w:t>需求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，结合综合系数给予补助，并加强相关转移支付的统筹衔接。</w:t>
      </w:r>
    </w:p>
    <w:p>
      <w:pPr>
        <w:spacing w:line="588" w:lineRule="exact"/>
        <w:ind w:firstLine="642" w:firstLineChars="200"/>
        <w:rPr>
          <w:rFonts w:hint="eastAsia" w:ascii="仿宋_GB2312" w:eastAsia="仿宋_GB2312" w:hAnsiTheme="minorHAnsi" w:cstheme="minorBidi"/>
          <w:b w:val="0"/>
          <w:sz w:val="32"/>
          <w:szCs w:val="32"/>
          <w:lang w:eastAsia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第</w:t>
      </w:r>
      <w:r>
        <w:rPr>
          <w:rFonts w:hint="eastAsia" w:ascii="楷体_GB2312" w:hAnsi="Times New Roman" w:eastAsia="楷体_GB2312" w:cs="Times New Roman"/>
          <w:b/>
          <w:sz w:val="32"/>
          <w:szCs w:val="32"/>
          <w:lang w:eastAsia="zh-CN"/>
        </w:rPr>
        <w:t>九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 xml:space="preserve">条 </w:t>
      </w:r>
      <w:r>
        <w:rPr>
          <w:rFonts w:hint="eastAsia" w:ascii="仿宋_GB2312" w:eastAsia="仿宋_GB2312" w:hAnsiTheme="minorHAnsi" w:cstheme="minorBidi"/>
          <w:b w:val="0"/>
          <w:sz w:val="32"/>
          <w:szCs w:val="32"/>
          <w:lang w:eastAsia="zh-CN"/>
        </w:rPr>
        <w:t>为引导激励地方各级财政将财力向基层、向困难地区倾斜，改善县级财力分布横向、纵向的均衡度，缩小县域间财力分布差异，对</w:t>
      </w:r>
      <w:r>
        <w:rPr>
          <w:rFonts w:hint="default" w:ascii="仿宋_GB2312" w:eastAsia="仿宋_GB2312" w:cstheme="minorBidi"/>
          <w:b w:val="0"/>
          <w:sz w:val="32"/>
          <w:szCs w:val="32"/>
          <w:lang w:val="en" w:eastAsia="zh-CN"/>
        </w:rPr>
        <w:t>努力改善</w:t>
      </w:r>
      <w:r>
        <w:rPr>
          <w:rFonts w:hint="eastAsia" w:ascii="仿宋_GB2312" w:eastAsia="仿宋_GB2312" w:hAnsiTheme="minorHAnsi" w:cstheme="minorBidi"/>
          <w:b w:val="0"/>
          <w:sz w:val="32"/>
          <w:szCs w:val="32"/>
          <w:lang w:eastAsia="zh-CN"/>
        </w:rPr>
        <w:t>县级财力均衡度的地区给予奖励。</w:t>
      </w:r>
    </w:p>
    <w:p>
      <w:pPr>
        <w:spacing w:line="588" w:lineRule="exact"/>
        <w:ind w:firstLine="642" w:firstLineChars="200"/>
        <w:rPr>
          <w:rFonts w:hint="eastAsia" w:ascii="仿宋_GB2312" w:eastAsia="仿宋_GB2312" w:hAnsiTheme="minorHAnsi" w:cstheme="minorBidi"/>
          <w:b w:val="0"/>
          <w:sz w:val="32"/>
          <w:szCs w:val="32"/>
          <w:lang w:eastAsia="zh-CN"/>
        </w:rPr>
      </w:pPr>
      <w:r>
        <w:rPr>
          <w:rFonts w:hint="eastAsia" w:ascii="仿宋_GB2312" w:eastAsia="仿宋_GB2312" w:hAnsiTheme="minorHAnsi" w:cstheme="minorBidi"/>
          <w:b/>
          <w:bCs/>
          <w:sz w:val="32"/>
          <w:szCs w:val="32"/>
          <w:lang w:eastAsia="zh-CN"/>
        </w:rPr>
        <w:t>（一）横向奖励。</w:t>
      </w:r>
      <w:r>
        <w:rPr>
          <w:rFonts w:hint="eastAsia" w:ascii="仿宋_GB2312" w:eastAsia="仿宋_GB2312" w:hAnsiTheme="minorHAnsi" w:cstheme="minorBidi"/>
          <w:b w:val="0"/>
          <w:sz w:val="32"/>
          <w:szCs w:val="32"/>
          <w:lang w:eastAsia="zh-CN"/>
        </w:rPr>
        <w:t>按照各地县级财力均衡度进行奖励，重点奖励均衡度较高的地区。</w:t>
      </w:r>
    </w:p>
    <w:p>
      <w:pPr>
        <w:spacing w:line="588" w:lineRule="exact"/>
        <w:ind w:firstLine="64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hAnsiTheme="minorHAnsi" w:cstheme="minorBidi"/>
          <w:b/>
          <w:bCs/>
          <w:sz w:val="32"/>
          <w:szCs w:val="32"/>
          <w:lang w:eastAsia="zh-CN"/>
        </w:rPr>
        <w:t>（二）纵向奖励。</w:t>
      </w:r>
      <w:r>
        <w:rPr>
          <w:rFonts w:hint="eastAsia" w:ascii="仿宋_GB2312" w:eastAsia="仿宋_GB2312" w:hAnsiTheme="minorHAnsi" w:cstheme="minorBidi"/>
          <w:b w:val="0"/>
          <w:sz w:val="32"/>
          <w:szCs w:val="32"/>
          <w:lang w:eastAsia="zh-CN"/>
        </w:rPr>
        <w:t>将各地年度间县级财力均衡度进行纵向比较，对改善的地区给予奖励。</w:t>
      </w:r>
    </w:p>
    <w:p>
      <w:pPr>
        <w:autoSpaceDE w:val="0"/>
        <w:autoSpaceDN w:val="0"/>
        <w:spacing w:line="588" w:lineRule="exact"/>
        <w:ind w:firstLine="64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第十条 </w:t>
      </w:r>
      <w:r>
        <w:rPr>
          <w:rFonts w:hint="eastAsia" w:ascii="仿宋_GB2312" w:eastAsia="仿宋_GB2312"/>
          <w:sz w:val="32"/>
          <w:szCs w:val="32"/>
        </w:rPr>
        <w:t>为引导地方强化县级财政管理，依据县级</w:t>
      </w:r>
      <w:r>
        <w:rPr>
          <w:rFonts w:hint="eastAsia" w:ascii="仿宋_GB2312" w:eastAsia="仿宋_GB2312"/>
          <w:sz w:val="32"/>
          <w:szCs w:val="32"/>
          <w:lang w:eastAsia="zh-CN"/>
        </w:rPr>
        <w:t>财政管理绩效综合评价结果，对</w:t>
      </w:r>
      <w:r>
        <w:rPr>
          <w:rFonts w:hint="eastAsia" w:ascii="仿宋_GB2312" w:eastAsia="仿宋_GB2312"/>
          <w:sz w:val="32"/>
          <w:szCs w:val="32"/>
        </w:rPr>
        <w:t>规范预算编制</w:t>
      </w:r>
      <w:r>
        <w:rPr>
          <w:rFonts w:hint="eastAsia" w:ascii="仿宋_GB2312" w:eastAsia="仿宋_GB2312"/>
          <w:sz w:val="32"/>
          <w:szCs w:val="32"/>
          <w:lang w:eastAsia="zh-CN"/>
        </w:rPr>
        <w:t>、加强执行管理</w:t>
      </w:r>
      <w:r>
        <w:rPr>
          <w:rFonts w:hint="eastAsia" w:ascii="仿宋_GB2312" w:eastAsia="仿宋_GB2312"/>
          <w:sz w:val="32"/>
          <w:szCs w:val="32"/>
        </w:rPr>
        <w:t>、增强财政可持续性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，予以奖励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default" w:ascii="仿宋_GB2312" w:eastAsia="仿宋_GB2312"/>
          <w:sz w:val="32"/>
          <w:szCs w:val="32"/>
          <w:lang w:val="en"/>
        </w:rPr>
        <w:t>不切</w:t>
      </w:r>
      <w:r>
        <w:rPr>
          <w:rFonts w:hint="eastAsia" w:ascii="仿宋_GB2312" w:eastAsia="仿宋_GB2312"/>
          <w:sz w:val="32"/>
          <w:szCs w:val="32"/>
          <w:lang w:val="en" w:eastAsia="zh-CN"/>
        </w:rPr>
        <w:t>本地</w:t>
      </w:r>
      <w:r>
        <w:rPr>
          <w:rFonts w:hint="default" w:ascii="仿宋_GB2312" w:eastAsia="仿宋_GB2312"/>
          <w:sz w:val="32"/>
          <w:szCs w:val="32"/>
          <w:lang w:val="en"/>
        </w:rPr>
        <w:t>实际</w:t>
      </w:r>
      <w:r>
        <w:rPr>
          <w:rFonts w:hint="eastAsia" w:ascii="仿宋_GB2312" w:eastAsia="仿宋_GB2312"/>
          <w:sz w:val="32"/>
          <w:szCs w:val="32"/>
          <w:lang w:eastAsia="zh-CN"/>
        </w:rPr>
        <w:t>违规</w:t>
      </w:r>
      <w:r>
        <w:rPr>
          <w:rFonts w:hint="eastAsia" w:ascii="仿宋_GB2312" w:eastAsia="仿宋_GB2312"/>
          <w:sz w:val="32"/>
          <w:szCs w:val="32"/>
        </w:rPr>
        <w:t>增加财政供养人员或财政管理出现重大失误的地区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予以扣款。</w:t>
      </w:r>
    </w:p>
    <w:p>
      <w:pPr>
        <w:autoSpaceDE w:val="0"/>
        <w:autoSpaceDN w:val="0"/>
        <w:spacing w:line="588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第十</w:t>
      </w:r>
      <w:r>
        <w:rPr>
          <w:rFonts w:hint="eastAsia" w:ascii="楷体_GB2312" w:hAnsi="Times New Roman" w:eastAsia="楷体_GB2312" w:cs="Times New Roman"/>
          <w:b/>
          <w:sz w:val="32"/>
          <w:szCs w:val="32"/>
          <w:lang w:eastAsia="zh-CN"/>
        </w:rPr>
        <w:t>一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 xml:space="preserve">条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为落实党中央、国务院有关精神，对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巩固和拓展脱贫攻坚成果同乡村振兴有效衔接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重大减收增支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等特定区域或事项，可通过定额补助等方式给予阶段性支持。</w:t>
      </w:r>
    </w:p>
    <w:p>
      <w:pPr>
        <w:autoSpaceDE w:val="0"/>
        <w:autoSpaceDN w:val="0"/>
        <w:spacing w:line="588" w:lineRule="exac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第十</w:t>
      </w:r>
      <w:r>
        <w:rPr>
          <w:rFonts w:hint="eastAsia" w:ascii="楷体_GB2312" w:hAnsi="Times New Roman" w:eastAsia="楷体_GB2312" w:cs="Times New Roman"/>
          <w:b/>
          <w:sz w:val="32"/>
          <w:szCs w:val="32"/>
          <w:lang w:eastAsia="zh-CN"/>
        </w:rPr>
        <w:t>二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 xml:space="preserve">条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保障各地区财政运行的稳定性，以县级基本财力保障机制奖补资金平均增长率为基准，对超过（或低于）基准增长率一定幅度的地方适当调减（或调增）奖补资金额。调减（或调增）相关地区奖补资金额所余（或所需）资金，财政部不调剂他用（或另行安排），在保持奖补资金总规模稳定的基础上，通过一定比例放大（或压缩）的方式调整各地奖补资金额度。对连续多年调减（或调增）奖补资金额的地区可适当放宽增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</w:rPr>
        <w:t>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幅）控制。</w:t>
      </w:r>
    </w:p>
    <w:p>
      <w:pPr>
        <w:spacing w:line="588" w:lineRule="exact"/>
        <w:ind w:firstLine="642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第十</w:t>
      </w:r>
      <w:r>
        <w:rPr>
          <w:rFonts w:hint="eastAsia" w:ascii="楷体_GB2312" w:hAnsi="Times New Roman" w:eastAsia="楷体_GB2312" w:cs="Times New Roman"/>
          <w:b/>
          <w:sz w:val="32"/>
          <w:szCs w:val="32"/>
          <w:lang w:eastAsia="zh-CN"/>
        </w:rPr>
        <w:t>三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>条</w:t>
      </w:r>
      <w:r>
        <w:rPr>
          <w:rFonts w:ascii="楷体_GB2312" w:hAnsi="Times New Roman" w:eastAsia="楷体_GB2312" w:cs="Times New Roman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财政部组织各地财政部门对基础数据进行核对。对于因基础数据等因素产生的测算误差，在以后年度分配县级基本财力保障机制奖补资金时予以补正。</w:t>
      </w:r>
    </w:p>
    <w:p>
      <w:pPr>
        <w:spacing w:line="588" w:lineRule="exact"/>
        <w:ind w:firstLine="642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第十</w:t>
      </w:r>
      <w:r>
        <w:rPr>
          <w:rFonts w:hint="eastAsia" w:ascii="楷体_GB2312" w:hAnsi="Times New Roman" w:eastAsia="楷体_GB2312" w:cs="Times New Roman"/>
          <w:b/>
          <w:sz w:val="32"/>
          <w:szCs w:val="32"/>
          <w:lang w:eastAsia="zh-CN"/>
        </w:rPr>
        <w:t>四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 xml:space="preserve">条 </w:t>
      </w:r>
      <w:r>
        <w:rPr>
          <w:rFonts w:hint="eastAsia" w:ascii="仿宋_GB2312" w:eastAsia="仿宋_GB2312"/>
          <w:sz w:val="32"/>
          <w:szCs w:val="32"/>
        </w:rPr>
        <w:t>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、市级财政部门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可以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根据本地区实际情况，安排资金与财政部下达的县级基本财力保障机制奖补资金一并使用，筑牢兜实基层“三保”底线。</w:t>
      </w:r>
    </w:p>
    <w:p>
      <w:pPr>
        <w:spacing w:line="58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8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 xml:space="preserve">第五章 </w:t>
      </w:r>
      <w:r>
        <w:rPr>
          <w:rFonts w:hint="eastAsia" w:ascii="黑体" w:hAnsi="黑体" w:eastAsia="黑体"/>
          <w:sz w:val="32"/>
          <w:szCs w:val="32"/>
        </w:rPr>
        <w:t>监督管理</w:t>
      </w:r>
    </w:p>
    <w:p>
      <w:pPr>
        <w:spacing w:line="588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</w:p>
    <w:p>
      <w:pPr>
        <w:widowControl/>
        <w:spacing w:line="588" w:lineRule="exact"/>
        <w:ind w:firstLine="642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第十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五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>条</w:t>
      </w:r>
      <w:r>
        <w:rPr>
          <w:rFonts w:ascii="楷体_GB2312" w:hAnsi="Times New Roman" w:eastAsia="楷体_GB2312" w:cs="Times New Roman"/>
          <w:b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财政部根据工作需要，对地方分配、管理和使用县级基本财力保障机制奖补资金情况进行监督。</w:t>
      </w:r>
    </w:p>
    <w:p>
      <w:pPr>
        <w:pStyle w:val="2"/>
        <w:spacing w:after="0"/>
        <w:ind w:left="0" w:leftChars="0"/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第十</w:t>
      </w:r>
      <w:r>
        <w:rPr>
          <w:rFonts w:hint="eastAsia" w:ascii="楷体_GB2312" w:hAnsi="Times New Roman" w:eastAsia="楷体_GB2312" w:cs="Times New Roman"/>
          <w:b/>
          <w:sz w:val="32"/>
          <w:szCs w:val="32"/>
          <w:lang w:eastAsia="zh-CN"/>
        </w:rPr>
        <w:t>六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 xml:space="preserve">条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财政部对“三保”保障出现问题、财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均衡度过低，以及违规安排使用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县级基本财力保障机制奖补资金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等问题突出的地区，依法责令改正，并对有关人员予以约谈或依法给予处理处分。</w:t>
      </w:r>
    </w:p>
    <w:p>
      <w:pPr>
        <w:spacing w:line="588" w:lineRule="exact"/>
        <w:ind w:firstLine="642" w:firstLineChars="200"/>
        <w:jc w:val="both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第十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七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>条</w:t>
      </w:r>
      <w:r>
        <w:rPr>
          <w:rFonts w:ascii="楷体_GB2312" w:hAnsi="Times New Roman" w:eastAsia="楷体_GB2312" w:cs="Times New Roman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各级财政、主管部门及其工作人员，在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县级基本财力保障机制奖补资金分配、使用管理等</w:t>
      </w:r>
      <w:r>
        <w:rPr>
          <w:rFonts w:hint="eastAsia" w:ascii="仿宋_GB2312" w:eastAsia="仿宋_GB2312"/>
          <w:sz w:val="32"/>
          <w:szCs w:val="32"/>
        </w:rPr>
        <w:t>工作中，存在滥用职权、玩忽职守、徇私舞弊等违法违规行为的，依法</w:t>
      </w:r>
      <w:r>
        <w:rPr>
          <w:rFonts w:hint="default" w:ascii="仿宋_GB2312" w:eastAsia="仿宋_GB2312"/>
          <w:sz w:val="32"/>
          <w:szCs w:val="32"/>
          <w:lang w:val="en"/>
        </w:rPr>
        <w:t>依规</w:t>
      </w:r>
      <w:r>
        <w:rPr>
          <w:rFonts w:hint="eastAsia" w:ascii="仿宋_GB2312" w:eastAsia="仿宋_GB2312"/>
          <w:sz w:val="32"/>
          <w:szCs w:val="32"/>
        </w:rPr>
        <w:t>追究相应责任。</w:t>
      </w:r>
    </w:p>
    <w:p>
      <w:pPr>
        <w:spacing w:line="588" w:lineRule="exact"/>
        <w:ind w:firstLine="640" w:firstLineChars="200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88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第六章 附则</w:t>
      </w:r>
    </w:p>
    <w:p>
      <w:pPr>
        <w:spacing w:line="58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8" w:lineRule="exac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第十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八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>条</w:t>
      </w:r>
      <w:r>
        <w:rPr>
          <w:rFonts w:ascii="楷体_GB2312" w:hAnsi="Times New Roman" w:eastAsia="楷体_GB2312" w:cs="Times New Roman"/>
          <w:b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省级财政部门应当依据本办法，结合实际情况，制定本地区县级基本财力保障机制奖补资金管理办法，并报财政部备案。</w:t>
      </w:r>
    </w:p>
    <w:p>
      <w:pPr>
        <w:spacing w:line="588" w:lineRule="exact"/>
        <w:ind w:firstLine="642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第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十九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>条</w:t>
      </w:r>
      <w:r>
        <w:rPr>
          <w:rFonts w:ascii="楷体_GB2312" w:hAnsi="Times New Roman" w:eastAsia="楷体_GB2312" w:cs="Times New Roman"/>
          <w:b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sz w:val="32"/>
          <w:szCs w:val="32"/>
        </w:rPr>
        <w:t>本办法自发布之日起施行。</w:t>
      </w:r>
      <w:r>
        <w:rPr>
          <w:rFonts w:ascii="仿宋_GB2312" w:hAnsi="仿宋" w:eastAsia="仿宋_GB2312" w:cs="Times New Roman"/>
          <w:sz w:val="32"/>
          <w:szCs w:val="32"/>
        </w:rPr>
        <w:t>2019年8月16日财政部发布的《中央财政县级基本财力保障机制奖补资金管理办法》（财预〔2019〕144号）同时废止。</w:t>
      </w:r>
    </w:p>
    <w:sectPr>
      <w:footerReference r:id="rId3" w:type="default"/>
      <w:footerReference r:id="rId4" w:type="even"/>
      <w:pgSz w:w="11906" w:h="16838"/>
      <w:pgMar w:top="2268" w:right="1814" w:bottom="1985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654348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1397134"/>
    </w:sdtPr>
    <w:sdtEndPr>
      <w:rPr>
        <w:rFonts w:asciiTheme="minorEastAsia" w:hAnsiTheme="minorEastAsia"/>
        <w:sz w:val="30"/>
        <w:szCs w:val="30"/>
      </w:rPr>
    </w:sdtEndPr>
    <w:sdtContent>
      <w:p>
        <w:pPr>
          <w:pStyle w:val="5"/>
          <w:rPr>
            <w:rFonts w:asciiTheme="minorEastAsia" w:hAnsiTheme="minorEastAsia"/>
            <w:sz w:val="30"/>
            <w:szCs w:val="30"/>
          </w:rPr>
        </w:pPr>
        <w:r>
          <w:rPr>
            <w:rFonts w:asciiTheme="minorEastAsia" w:hAnsiTheme="minorEastAsia"/>
            <w:sz w:val="30"/>
            <w:szCs w:val="30"/>
          </w:rPr>
          <w:fldChar w:fldCharType="begin"/>
        </w:r>
        <w:r>
          <w:rPr>
            <w:rFonts w:asciiTheme="minorEastAsia" w:hAnsiTheme="minorEastAsia"/>
            <w:sz w:val="30"/>
            <w:szCs w:val="30"/>
          </w:rPr>
          <w:instrText xml:space="preserve">PAGE   \* MERGEFORMAT</w:instrText>
        </w:r>
        <w:r>
          <w:rPr>
            <w:rFonts w:asciiTheme="minorEastAsia" w:hAnsiTheme="minorEastAsia"/>
            <w:sz w:val="30"/>
            <w:szCs w:val="30"/>
          </w:rPr>
          <w:fldChar w:fldCharType="separate"/>
        </w:r>
        <w:r>
          <w:rPr>
            <w:rFonts w:asciiTheme="minorEastAsia" w:hAnsiTheme="minorEastAsia"/>
            <w:sz w:val="30"/>
            <w:szCs w:val="30"/>
            <w:lang w:val="zh-CN"/>
          </w:rPr>
          <w:t>-</w:t>
        </w:r>
        <w:r>
          <w:rPr>
            <w:rFonts w:asciiTheme="minorEastAsia" w:hAnsiTheme="minorEastAsia"/>
            <w:sz w:val="30"/>
            <w:szCs w:val="30"/>
          </w:rPr>
          <w:t xml:space="preserve"> 4 -</w:t>
        </w:r>
        <w:r>
          <w:rPr>
            <w:rFonts w:asciiTheme="minorEastAsia" w:hAnsiTheme="minorEastAsia"/>
            <w:sz w:val="30"/>
            <w:szCs w:val="30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4C"/>
    <w:rsid w:val="0000306A"/>
    <w:rsid w:val="000036DB"/>
    <w:rsid w:val="00025372"/>
    <w:rsid w:val="00027E8D"/>
    <w:rsid w:val="000350F8"/>
    <w:rsid w:val="000367E6"/>
    <w:rsid w:val="00042682"/>
    <w:rsid w:val="00044528"/>
    <w:rsid w:val="00046737"/>
    <w:rsid w:val="00050435"/>
    <w:rsid w:val="00050DCB"/>
    <w:rsid w:val="00065779"/>
    <w:rsid w:val="00074D70"/>
    <w:rsid w:val="00082B06"/>
    <w:rsid w:val="00084FAE"/>
    <w:rsid w:val="0008701C"/>
    <w:rsid w:val="000903D9"/>
    <w:rsid w:val="00093DD0"/>
    <w:rsid w:val="0009464B"/>
    <w:rsid w:val="000A1FE5"/>
    <w:rsid w:val="000B011C"/>
    <w:rsid w:val="000B0219"/>
    <w:rsid w:val="000C5A2A"/>
    <w:rsid w:val="000C619F"/>
    <w:rsid w:val="000C6DB8"/>
    <w:rsid w:val="000D06F1"/>
    <w:rsid w:val="000E53AD"/>
    <w:rsid w:val="000F5590"/>
    <w:rsid w:val="00101138"/>
    <w:rsid w:val="00111E9B"/>
    <w:rsid w:val="00115EE8"/>
    <w:rsid w:val="00120A8F"/>
    <w:rsid w:val="00123077"/>
    <w:rsid w:val="00132829"/>
    <w:rsid w:val="00136D2C"/>
    <w:rsid w:val="00153A94"/>
    <w:rsid w:val="00154F2B"/>
    <w:rsid w:val="001603F6"/>
    <w:rsid w:val="00166FF4"/>
    <w:rsid w:val="00177634"/>
    <w:rsid w:val="00180C6E"/>
    <w:rsid w:val="00187877"/>
    <w:rsid w:val="00190B43"/>
    <w:rsid w:val="001A1B67"/>
    <w:rsid w:val="001A402E"/>
    <w:rsid w:val="001A6CA3"/>
    <w:rsid w:val="001B70AF"/>
    <w:rsid w:val="001C5FAD"/>
    <w:rsid w:val="001C60E2"/>
    <w:rsid w:val="001C78BA"/>
    <w:rsid w:val="001D3618"/>
    <w:rsid w:val="001D4473"/>
    <w:rsid w:val="001D4F6C"/>
    <w:rsid w:val="001F5C3B"/>
    <w:rsid w:val="001F5FCA"/>
    <w:rsid w:val="002104E4"/>
    <w:rsid w:val="0021082B"/>
    <w:rsid w:val="002176DD"/>
    <w:rsid w:val="00220391"/>
    <w:rsid w:val="002456F4"/>
    <w:rsid w:val="00246152"/>
    <w:rsid w:val="0024707F"/>
    <w:rsid w:val="00247646"/>
    <w:rsid w:val="002523EC"/>
    <w:rsid w:val="002740FA"/>
    <w:rsid w:val="00281FB1"/>
    <w:rsid w:val="0029133F"/>
    <w:rsid w:val="00291340"/>
    <w:rsid w:val="0029159C"/>
    <w:rsid w:val="002948BE"/>
    <w:rsid w:val="00296BF8"/>
    <w:rsid w:val="002A5A69"/>
    <w:rsid w:val="002A6A03"/>
    <w:rsid w:val="002B70E2"/>
    <w:rsid w:val="002C3982"/>
    <w:rsid w:val="002D57C7"/>
    <w:rsid w:val="002F34BE"/>
    <w:rsid w:val="00300C85"/>
    <w:rsid w:val="0030114F"/>
    <w:rsid w:val="003019A0"/>
    <w:rsid w:val="00312FA6"/>
    <w:rsid w:val="003263EB"/>
    <w:rsid w:val="00333973"/>
    <w:rsid w:val="00346B46"/>
    <w:rsid w:val="003502D4"/>
    <w:rsid w:val="0035099E"/>
    <w:rsid w:val="00357468"/>
    <w:rsid w:val="00360852"/>
    <w:rsid w:val="0036286A"/>
    <w:rsid w:val="0036554E"/>
    <w:rsid w:val="0036704C"/>
    <w:rsid w:val="0038475E"/>
    <w:rsid w:val="00386D48"/>
    <w:rsid w:val="0039218E"/>
    <w:rsid w:val="003945E2"/>
    <w:rsid w:val="003A1857"/>
    <w:rsid w:val="003B011C"/>
    <w:rsid w:val="003B1BFA"/>
    <w:rsid w:val="003B2F87"/>
    <w:rsid w:val="003C0FEC"/>
    <w:rsid w:val="003C23E8"/>
    <w:rsid w:val="003C278C"/>
    <w:rsid w:val="003C32A7"/>
    <w:rsid w:val="003D362C"/>
    <w:rsid w:val="00401159"/>
    <w:rsid w:val="00402A38"/>
    <w:rsid w:val="00405B98"/>
    <w:rsid w:val="004061A2"/>
    <w:rsid w:val="0041096B"/>
    <w:rsid w:val="00412275"/>
    <w:rsid w:val="0041332B"/>
    <w:rsid w:val="00413860"/>
    <w:rsid w:val="00422946"/>
    <w:rsid w:val="0043772C"/>
    <w:rsid w:val="004413F3"/>
    <w:rsid w:val="00455737"/>
    <w:rsid w:val="00457E1E"/>
    <w:rsid w:val="00460008"/>
    <w:rsid w:val="00462B01"/>
    <w:rsid w:val="00463F31"/>
    <w:rsid w:val="004708B5"/>
    <w:rsid w:val="00472032"/>
    <w:rsid w:val="00472FCA"/>
    <w:rsid w:val="00475C34"/>
    <w:rsid w:val="004A69C2"/>
    <w:rsid w:val="004B4F82"/>
    <w:rsid w:val="004B60F7"/>
    <w:rsid w:val="004B7DCD"/>
    <w:rsid w:val="004D64C8"/>
    <w:rsid w:val="004D7361"/>
    <w:rsid w:val="004E0116"/>
    <w:rsid w:val="004E386F"/>
    <w:rsid w:val="004E4F2A"/>
    <w:rsid w:val="004E718D"/>
    <w:rsid w:val="004F5D63"/>
    <w:rsid w:val="004F761B"/>
    <w:rsid w:val="005005EE"/>
    <w:rsid w:val="00502E7B"/>
    <w:rsid w:val="005062EE"/>
    <w:rsid w:val="00511AC6"/>
    <w:rsid w:val="00512EB0"/>
    <w:rsid w:val="0051482F"/>
    <w:rsid w:val="00534BB9"/>
    <w:rsid w:val="00537759"/>
    <w:rsid w:val="005426A9"/>
    <w:rsid w:val="00552957"/>
    <w:rsid w:val="0055643D"/>
    <w:rsid w:val="005568F4"/>
    <w:rsid w:val="00560EAE"/>
    <w:rsid w:val="0057677A"/>
    <w:rsid w:val="00577695"/>
    <w:rsid w:val="00582A25"/>
    <w:rsid w:val="005834E7"/>
    <w:rsid w:val="005855DA"/>
    <w:rsid w:val="00585ACB"/>
    <w:rsid w:val="00591678"/>
    <w:rsid w:val="00591C18"/>
    <w:rsid w:val="00597CC5"/>
    <w:rsid w:val="005A23DD"/>
    <w:rsid w:val="005A3495"/>
    <w:rsid w:val="005A4520"/>
    <w:rsid w:val="005A536F"/>
    <w:rsid w:val="005A64CB"/>
    <w:rsid w:val="005B73EB"/>
    <w:rsid w:val="005C19BA"/>
    <w:rsid w:val="005C332B"/>
    <w:rsid w:val="005C42AC"/>
    <w:rsid w:val="005C4E90"/>
    <w:rsid w:val="005D5909"/>
    <w:rsid w:val="005E3862"/>
    <w:rsid w:val="005E5AB9"/>
    <w:rsid w:val="00602069"/>
    <w:rsid w:val="00604E5D"/>
    <w:rsid w:val="00605FF5"/>
    <w:rsid w:val="00610CAB"/>
    <w:rsid w:val="006154F2"/>
    <w:rsid w:val="00615742"/>
    <w:rsid w:val="006169AC"/>
    <w:rsid w:val="00632ACE"/>
    <w:rsid w:val="00633368"/>
    <w:rsid w:val="0063586A"/>
    <w:rsid w:val="00637756"/>
    <w:rsid w:val="00645E4E"/>
    <w:rsid w:val="00657E6F"/>
    <w:rsid w:val="00657F58"/>
    <w:rsid w:val="006677E7"/>
    <w:rsid w:val="00671898"/>
    <w:rsid w:val="006736D4"/>
    <w:rsid w:val="006761CB"/>
    <w:rsid w:val="00687D31"/>
    <w:rsid w:val="006A1E4B"/>
    <w:rsid w:val="006C23CB"/>
    <w:rsid w:val="006C7A95"/>
    <w:rsid w:val="006D1E38"/>
    <w:rsid w:val="006E5DB5"/>
    <w:rsid w:val="006F638E"/>
    <w:rsid w:val="0070065A"/>
    <w:rsid w:val="0072318B"/>
    <w:rsid w:val="00724C99"/>
    <w:rsid w:val="0072539A"/>
    <w:rsid w:val="0073786D"/>
    <w:rsid w:val="00741540"/>
    <w:rsid w:val="00744B7B"/>
    <w:rsid w:val="00744EBB"/>
    <w:rsid w:val="007525BE"/>
    <w:rsid w:val="00752A7C"/>
    <w:rsid w:val="00761F4B"/>
    <w:rsid w:val="00773749"/>
    <w:rsid w:val="00774EA2"/>
    <w:rsid w:val="007759D4"/>
    <w:rsid w:val="00775BCB"/>
    <w:rsid w:val="007865C8"/>
    <w:rsid w:val="00794DF5"/>
    <w:rsid w:val="00795642"/>
    <w:rsid w:val="007A02E4"/>
    <w:rsid w:val="007A2BD6"/>
    <w:rsid w:val="007A2C70"/>
    <w:rsid w:val="007A3E4A"/>
    <w:rsid w:val="007A4FFC"/>
    <w:rsid w:val="007A5120"/>
    <w:rsid w:val="007A6503"/>
    <w:rsid w:val="007A653D"/>
    <w:rsid w:val="007B3BC5"/>
    <w:rsid w:val="007C2952"/>
    <w:rsid w:val="007D03E4"/>
    <w:rsid w:val="007D319A"/>
    <w:rsid w:val="007E29E6"/>
    <w:rsid w:val="007F5981"/>
    <w:rsid w:val="007F5DBC"/>
    <w:rsid w:val="00802E9C"/>
    <w:rsid w:val="0081021A"/>
    <w:rsid w:val="008152BF"/>
    <w:rsid w:val="00820708"/>
    <w:rsid w:val="0082135E"/>
    <w:rsid w:val="0082246A"/>
    <w:rsid w:val="008238B9"/>
    <w:rsid w:val="0083108E"/>
    <w:rsid w:val="00833E41"/>
    <w:rsid w:val="00834BFC"/>
    <w:rsid w:val="00834CD6"/>
    <w:rsid w:val="00837B82"/>
    <w:rsid w:val="008557B5"/>
    <w:rsid w:val="008606C5"/>
    <w:rsid w:val="00862F00"/>
    <w:rsid w:val="00863525"/>
    <w:rsid w:val="00867B98"/>
    <w:rsid w:val="0087030E"/>
    <w:rsid w:val="00870598"/>
    <w:rsid w:val="008742DE"/>
    <w:rsid w:val="00877A0B"/>
    <w:rsid w:val="00893857"/>
    <w:rsid w:val="00894013"/>
    <w:rsid w:val="008B084F"/>
    <w:rsid w:val="008B2D26"/>
    <w:rsid w:val="008D0056"/>
    <w:rsid w:val="008D4886"/>
    <w:rsid w:val="008D58FD"/>
    <w:rsid w:val="008D798B"/>
    <w:rsid w:val="008E1BC2"/>
    <w:rsid w:val="008F3BDA"/>
    <w:rsid w:val="008F7516"/>
    <w:rsid w:val="009023A2"/>
    <w:rsid w:val="00903ABE"/>
    <w:rsid w:val="00921D72"/>
    <w:rsid w:val="00923E7C"/>
    <w:rsid w:val="009251F0"/>
    <w:rsid w:val="00926183"/>
    <w:rsid w:val="0093724E"/>
    <w:rsid w:val="00941CFE"/>
    <w:rsid w:val="00950AC2"/>
    <w:rsid w:val="0095149E"/>
    <w:rsid w:val="00951A34"/>
    <w:rsid w:val="00957864"/>
    <w:rsid w:val="0096432F"/>
    <w:rsid w:val="00977509"/>
    <w:rsid w:val="00982FFA"/>
    <w:rsid w:val="009843D9"/>
    <w:rsid w:val="00990637"/>
    <w:rsid w:val="00990841"/>
    <w:rsid w:val="009A153C"/>
    <w:rsid w:val="009A261F"/>
    <w:rsid w:val="009A4ACB"/>
    <w:rsid w:val="009B4D24"/>
    <w:rsid w:val="009C1643"/>
    <w:rsid w:val="009C423E"/>
    <w:rsid w:val="009C477D"/>
    <w:rsid w:val="009C7285"/>
    <w:rsid w:val="009D7A89"/>
    <w:rsid w:val="009E4CAE"/>
    <w:rsid w:val="00A00613"/>
    <w:rsid w:val="00A05D79"/>
    <w:rsid w:val="00A07C5B"/>
    <w:rsid w:val="00A2027A"/>
    <w:rsid w:val="00A23D85"/>
    <w:rsid w:val="00A4089B"/>
    <w:rsid w:val="00A4429E"/>
    <w:rsid w:val="00A45B2E"/>
    <w:rsid w:val="00A764C4"/>
    <w:rsid w:val="00A83800"/>
    <w:rsid w:val="00A8470C"/>
    <w:rsid w:val="00A87E67"/>
    <w:rsid w:val="00A934ED"/>
    <w:rsid w:val="00AA610B"/>
    <w:rsid w:val="00AA70A1"/>
    <w:rsid w:val="00AB009F"/>
    <w:rsid w:val="00AB0D60"/>
    <w:rsid w:val="00AB56DA"/>
    <w:rsid w:val="00AC4DD4"/>
    <w:rsid w:val="00AD4850"/>
    <w:rsid w:val="00AD69DB"/>
    <w:rsid w:val="00AE093C"/>
    <w:rsid w:val="00AF1247"/>
    <w:rsid w:val="00AF551A"/>
    <w:rsid w:val="00B01F43"/>
    <w:rsid w:val="00B13F39"/>
    <w:rsid w:val="00B17A29"/>
    <w:rsid w:val="00B224D7"/>
    <w:rsid w:val="00B22525"/>
    <w:rsid w:val="00B30DC5"/>
    <w:rsid w:val="00B32E3D"/>
    <w:rsid w:val="00B34141"/>
    <w:rsid w:val="00B36658"/>
    <w:rsid w:val="00B379DE"/>
    <w:rsid w:val="00B40F5F"/>
    <w:rsid w:val="00B41205"/>
    <w:rsid w:val="00B43662"/>
    <w:rsid w:val="00B44A3A"/>
    <w:rsid w:val="00B521D9"/>
    <w:rsid w:val="00B5468D"/>
    <w:rsid w:val="00B56F53"/>
    <w:rsid w:val="00B57952"/>
    <w:rsid w:val="00B61979"/>
    <w:rsid w:val="00B85EE3"/>
    <w:rsid w:val="00B947B6"/>
    <w:rsid w:val="00BA5D37"/>
    <w:rsid w:val="00BB3DE2"/>
    <w:rsid w:val="00BB52EE"/>
    <w:rsid w:val="00BB7AB2"/>
    <w:rsid w:val="00BC368D"/>
    <w:rsid w:val="00BC790C"/>
    <w:rsid w:val="00BD1372"/>
    <w:rsid w:val="00BD4AE6"/>
    <w:rsid w:val="00BD6FC3"/>
    <w:rsid w:val="00BE11C7"/>
    <w:rsid w:val="00BE480B"/>
    <w:rsid w:val="00BE5BFF"/>
    <w:rsid w:val="00BE6D11"/>
    <w:rsid w:val="00BF11FE"/>
    <w:rsid w:val="00BF6A30"/>
    <w:rsid w:val="00C003F2"/>
    <w:rsid w:val="00C104AA"/>
    <w:rsid w:val="00C112DF"/>
    <w:rsid w:val="00C11F41"/>
    <w:rsid w:val="00C14355"/>
    <w:rsid w:val="00C2525E"/>
    <w:rsid w:val="00C2687F"/>
    <w:rsid w:val="00C272A2"/>
    <w:rsid w:val="00C33BCC"/>
    <w:rsid w:val="00C35A92"/>
    <w:rsid w:val="00C434B8"/>
    <w:rsid w:val="00C46484"/>
    <w:rsid w:val="00C52566"/>
    <w:rsid w:val="00C54381"/>
    <w:rsid w:val="00C54D75"/>
    <w:rsid w:val="00C64A4E"/>
    <w:rsid w:val="00C67E14"/>
    <w:rsid w:val="00C77C69"/>
    <w:rsid w:val="00C90977"/>
    <w:rsid w:val="00C92E93"/>
    <w:rsid w:val="00C9377C"/>
    <w:rsid w:val="00CA1245"/>
    <w:rsid w:val="00CA44DF"/>
    <w:rsid w:val="00CA750E"/>
    <w:rsid w:val="00CB41F8"/>
    <w:rsid w:val="00CB4C54"/>
    <w:rsid w:val="00CC7788"/>
    <w:rsid w:val="00CD1E53"/>
    <w:rsid w:val="00CD293B"/>
    <w:rsid w:val="00CD47A9"/>
    <w:rsid w:val="00CE6A0C"/>
    <w:rsid w:val="00CE7A2E"/>
    <w:rsid w:val="00CF0FE1"/>
    <w:rsid w:val="00CF5B12"/>
    <w:rsid w:val="00D04DAE"/>
    <w:rsid w:val="00D10655"/>
    <w:rsid w:val="00D13E2C"/>
    <w:rsid w:val="00D14FDC"/>
    <w:rsid w:val="00D26FC0"/>
    <w:rsid w:val="00D27677"/>
    <w:rsid w:val="00D3030A"/>
    <w:rsid w:val="00D30497"/>
    <w:rsid w:val="00D4077C"/>
    <w:rsid w:val="00D465D0"/>
    <w:rsid w:val="00D46CB5"/>
    <w:rsid w:val="00D50E8F"/>
    <w:rsid w:val="00D51A70"/>
    <w:rsid w:val="00D60E07"/>
    <w:rsid w:val="00D6505C"/>
    <w:rsid w:val="00D71058"/>
    <w:rsid w:val="00D71B5A"/>
    <w:rsid w:val="00D95EB7"/>
    <w:rsid w:val="00DA250A"/>
    <w:rsid w:val="00DB1710"/>
    <w:rsid w:val="00DB5256"/>
    <w:rsid w:val="00DD0359"/>
    <w:rsid w:val="00DD1D3F"/>
    <w:rsid w:val="00DD4544"/>
    <w:rsid w:val="00DD4B3D"/>
    <w:rsid w:val="00DD5149"/>
    <w:rsid w:val="00DE2898"/>
    <w:rsid w:val="00DE2F54"/>
    <w:rsid w:val="00DE6306"/>
    <w:rsid w:val="00DF7EB0"/>
    <w:rsid w:val="00DF7F1D"/>
    <w:rsid w:val="00E01310"/>
    <w:rsid w:val="00E01353"/>
    <w:rsid w:val="00E025CA"/>
    <w:rsid w:val="00E1099F"/>
    <w:rsid w:val="00E2031D"/>
    <w:rsid w:val="00E267A6"/>
    <w:rsid w:val="00E30C82"/>
    <w:rsid w:val="00E32C0F"/>
    <w:rsid w:val="00E331F3"/>
    <w:rsid w:val="00E35ABA"/>
    <w:rsid w:val="00E40CC0"/>
    <w:rsid w:val="00E46C06"/>
    <w:rsid w:val="00E51A81"/>
    <w:rsid w:val="00E52FD4"/>
    <w:rsid w:val="00E56C4D"/>
    <w:rsid w:val="00E6024D"/>
    <w:rsid w:val="00E62838"/>
    <w:rsid w:val="00E65D18"/>
    <w:rsid w:val="00E71319"/>
    <w:rsid w:val="00E77741"/>
    <w:rsid w:val="00E77835"/>
    <w:rsid w:val="00E84566"/>
    <w:rsid w:val="00E90F6B"/>
    <w:rsid w:val="00EA2291"/>
    <w:rsid w:val="00EA6AAF"/>
    <w:rsid w:val="00EA7B6D"/>
    <w:rsid w:val="00EB086B"/>
    <w:rsid w:val="00EB5B48"/>
    <w:rsid w:val="00EB6A73"/>
    <w:rsid w:val="00EC5288"/>
    <w:rsid w:val="00EC6AF2"/>
    <w:rsid w:val="00ED2304"/>
    <w:rsid w:val="00ED5FB2"/>
    <w:rsid w:val="00ED6EF9"/>
    <w:rsid w:val="00EF1DF7"/>
    <w:rsid w:val="00EF6993"/>
    <w:rsid w:val="00F0277A"/>
    <w:rsid w:val="00F04AFE"/>
    <w:rsid w:val="00F066E5"/>
    <w:rsid w:val="00F07602"/>
    <w:rsid w:val="00F153CD"/>
    <w:rsid w:val="00F239CA"/>
    <w:rsid w:val="00F241D9"/>
    <w:rsid w:val="00F30305"/>
    <w:rsid w:val="00F3066C"/>
    <w:rsid w:val="00F318A0"/>
    <w:rsid w:val="00F44B33"/>
    <w:rsid w:val="00F545A7"/>
    <w:rsid w:val="00F63EE4"/>
    <w:rsid w:val="00F66E4F"/>
    <w:rsid w:val="00F701CE"/>
    <w:rsid w:val="00F77978"/>
    <w:rsid w:val="00F86B5B"/>
    <w:rsid w:val="00F94400"/>
    <w:rsid w:val="00F95CD8"/>
    <w:rsid w:val="00F969F5"/>
    <w:rsid w:val="00FB0934"/>
    <w:rsid w:val="00FB3AEF"/>
    <w:rsid w:val="00FC0003"/>
    <w:rsid w:val="00FC2DCC"/>
    <w:rsid w:val="00FD5C49"/>
    <w:rsid w:val="00FE2210"/>
    <w:rsid w:val="00FF05E0"/>
    <w:rsid w:val="00FF7054"/>
    <w:rsid w:val="00FF744F"/>
    <w:rsid w:val="07A7C5FD"/>
    <w:rsid w:val="0CBB2373"/>
    <w:rsid w:val="0DA7813E"/>
    <w:rsid w:val="0EFED6F5"/>
    <w:rsid w:val="0FFF077E"/>
    <w:rsid w:val="117D4AA0"/>
    <w:rsid w:val="1F7F3C9F"/>
    <w:rsid w:val="1F9828F5"/>
    <w:rsid w:val="2B7C1902"/>
    <w:rsid w:val="2F6B1C95"/>
    <w:rsid w:val="31CFC993"/>
    <w:rsid w:val="35FF1C59"/>
    <w:rsid w:val="37DF4952"/>
    <w:rsid w:val="3BAC7BD0"/>
    <w:rsid w:val="3DD7F8FD"/>
    <w:rsid w:val="3DFF38F9"/>
    <w:rsid w:val="42FF38B8"/>
    <w:rsid w:val="57AF7543"/>
    <w:rsid w:val="58F35403"/>
    <w:rsid w:val="5BEF0918"/>
    <w:rsid w:val="5C7FDF83"/>
    <w:rsid w:val="5EE7B6F1"/>
    <w:rsid w:val="5F59C28D"/>
    <w:rsid w:val="5FCB1FD2"/>
    <w:rsid w:val="5FDB1AC3"/>
    <w:rsid w:val="5FFBA485"/>
    <w:rsid w:val="65FFF4CC"/>
    <w:rsid w:val="692D1EA7"/>
    <w:rsid w:val="6FEF37FD"/>
    <w:rsid w:val="6FEFC631"/>
    <w:rsid w:val="6FFFB595"/>
    <w:rsid w:val="77D789F2"/>
    <w:rsid w:val="77E77CC9"/>
    <w:rsid w:val="7BD662B4"/>
    <w:rsid w:val="7BFAC49F"/>
    <w:rsid w:val="7DFF7375"/>
    <w:rsid w:val="7E3E5C87"/>
    <w:rsid w:val="7E4AE72D"/>
    <w:rsid w:val="7E7D9CDB"/>
    <w:rsid w:val="7F0F7BC5"/>
    <w:rsid w:val="7FCEAE7B"/>
    <w:rsid w:val="7FEFC8F0"/>
    <w:rsid w:val="7FFE1E82"/>
    <w:rsid w:val="8FDFCB17"/>
    <w:rsid w:val="9B1AF652"/>
    <w:rsid w:val="9BEF90B5"/>
    <w:rsid w:val="A75B4580"/>
    <w:rsid w:val="A7EF4F4D"/>
    <w:rsid w:val="ADBFB837"/>
    <w:rsid w:val="AF7B8895"/>
    <w:rsid w:val="AFF3287F"/>
    <w:rsid w:val="B0FE7D6B"/>
    <w:rsid w:val="B6DEB42A"/>
    <w:rsid w:val="B9AD47E2"/>
    <w:rsid w:val="BAFF5AE6"/>
    <w:rsid w:val="BD073DED"/>
    <w:rsid w:val="BD7D7889"/>
    <w:rsid w:val="BD7E7C60"/>
    <w:rsid w:val="BF7DB89B"/>
    <w:rsid w:val="BFB1DEFC"/>
    <w:rsid w:val="BFCF90F7"/>
    <w:rsid w:val="C17FA5EA"/>
    <w:rsid w:val="CBF5C858"/>
    <w:rsid w:val="CFDEE30F"/>
    <w:rsid w:val="D4FFA1DB"/>
    <w:rsid w:val="D5EB05A3"/>
    <w:rsid w:val="D7753EC7"/>
    <w:rsid w:val="D7FE5A1A"/>
    <w:rsid w:val="DA3EEB5D"/>
    <w:rsid w:val="DB76A30E"/>
    <w:rsid w:val="DEF39527"/>
    <w:rsid w:val="DF8FA04C"/>
    <w:rsid w:val="DFE3722C"/>
    <w:rsid w:val="DFEF1021"/>
    <w:rsid w:val="DFFF11C0"/>
    <w:rsid w:val="E3FB2CC9"/>
    <w:rsid w:val="E6FF0B08"/>
    <w:rsid w:val="E7EDAAE8"/>
    <w:rsid w:val="E97466AD"/>
    <w:rsid w:val="EDBFABB5"/>
    <w:rsid w:val="EF2FD585"/>
    <w:rsid w:val="EF7F13F9"/>
    <w:rsid w:val="EFBBAA4F"/>
    <w:rsid w:val="EFBE2392"/>
    <w:rsid w:val="EFBFB9C0"/>
    <w:rsid w:val="EFFF4F86"/>
    <w:rsid w:val="F3FF093D"/>
    <w:rsid w:val="F5ED1514"/>
    <w:rsid w:val="F5EF6B70"/>
    <w:rsid w:val="F73E7C16"/>
    <w:rsid w:val="F73F0EF0"/>
    <w:rsid w:val="F77F9B7F"/>
    <w:rsid w:val="F7C95A3D"/>
    <w:rsid w:val="FAFF6202"/>
    <w:rsid w:val="FB7F5D1E"/>
    <w:rsid w:val="FBAFBE7D"/>
    <w:rsid w:val="FBEF92CA"/>
    <w:rsid w:val="FD3E441C"/>
    <w:rsid w:val="FDFEC1C4"/>
    <w:rsid w:val="FF3F8462"/>
    <w:rsid w:val="FF3F8B91"/>
    <w:rsid w:val="FFA58D71"/>
    <w:rsid w:val="FFACF772"/>
    <w:rsid w:val="FFE7A192"/>
    <w:rsid w:val="FFFF57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SZWX</Company>
  <Pages>7</Pages>
  <Words>449</Words>
  <Characters>2561</Characters>
  <Lines>21</Lines>
  <Paragraphs>6</Paragraphs>
  <TotalTime>4</TotalTime>
  <ScaleCrop>false</ScaleCrop>
  <LinksUpToDate>false</LinksUpToDate>
  <CharactersWithSpaces>3004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2022-09-02T11:21:00Z</dcterms:created>
  <dc:creator>[预算局][刘鹏]</dc:creator>
  <cp:lastModifiedBy>xienan</cp:lastModifiedBy>
  <cp:lastPrinted>2023-10-19T22:26:00Z</cp:lastPrinted>
  <dcterms:modified xsi:type="dcterms:W3CDTF">2023-11-09T08:39:40Z</dcterms:modified>
  <dc:title>附件1：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