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全省性行业协会商会服务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专项行动进展情况统计表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395" w:rightChars="-188" w:firstLine="0" w:firstLineChars="0"/>
        <w:jc w:val="right"/>
        <w:textAlignment w:val="center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21"/>
          <w:lang w:bidi="ar"/>
        </w:rPr>
        <w:t>填报单位：            填报人：         手机：           填报时间：   年  月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411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重点任务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截至目前，企业会员数量（个）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——其中，规模以上会员企业数量（个）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上年度期末资产总计（万元）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上年度期末净资产合计（万元）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上年度收入合计（万元）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上年度费用合计（万）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本年度形成行业发展研究报告（篇）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本年度向政府部门提出意见建议数（项）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——其中，被采纳数（项）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本年度参与制定或者修改法律法规、发展规划、政策文件数（件）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本年度通过宣讲、咨询和培训等工作在本行业落实政策文件数（件）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本年度举办行业考试次数（次）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——累计参加考试人次数（人次）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本年度举办行业培训次数（次）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——累计培训人次数（人次）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本年度通过招聘会、对接会等方式帮助行业企业吸纳就业人员数（人）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本年度开展行业调查和统计数（次）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——其中，编制和发布各类经济发展指数（个）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本年度搭建交流合作平台和供需对接平台数（个）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本年度组织评选科技奖励数（项）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本年度参与制订或者修改国家标准、行业标准和地方标准数（件）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本年度参与制订或者修改国际标准数（件）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本年度牵头制定团体标准数（件）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本年度指导行业企业制定企业标准数（件）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本年度举办讲座、研讨、论坛、座谈会、交流会数（次）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——其中，累计参加人次数（人次）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本年度举办交易会、展览会、博览会、洽谈会数（项）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——其中，累计达成意向金额（万元）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本年度开展认定、鉴定和新技术、新产品推广数（项）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本年度提供技术、经济、管理、法律、政策等咨询服务数（次）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截至目前，累计制定职业道德准则、自律宣言倡议等自律规约数（项）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本年度配合行业主管部门参加行业检查数（次）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本年度协调行业内外纠纷数（次 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截至目前，推动建立行业领域产业集群数（个）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本年度反倾销、反补贴和保障措施应诉、申诉数（项 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本年度组织国内外商务考察数（次）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截至目前，参加行业领域国际组织数（个）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本年度帮助招商引资落地项目数（个）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——其中，达成意向金额（万元）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B5119CF-0322-45B4-BC03-3535B5DB9982}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A0629D-B4DB-4C5F-8F10-F135883A9A8B}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F1EDD92F-00B3-414C-8BE6-FB12931102A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DNhZmNlYTUxNTFkMjI5ZTQ4NGZlZDYwZjA4YTYifQ=="/>
  </w:docVars>
  <w:rsids>
    <w:rsidRoot w:val="39FA24E4"/>
    <w:rsid w:val="39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2023-10-26T08:59:00Z</dcterms:created>
  <dc:creator>欧阳冠洁</dc:creator>
  <cp:lastModifiedBy>欧阳冠洁</cp:lastModifiedBy>
  <dcterms:modified xsi:type="dcterms:W3CDTF">2023-10-26T09:00:08Z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00A445859C5F4989B0AFC5C0A8925B4D_11</vt:lpwstr>
  </property>
</Properties>
</file>