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textAlignment w:val="top"/>
        <w:rPr>
          <w:rFonts w:ascii="方正小标宋简体" w:eastAsia="方正小标宋简体" w:cs="Times New Roman"/>
          <w:sz w:val="72"/>
          <w:szCs w:val="72"/>
        </w:rPr>
      </w:pP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hint="eastAsia" w:ascii="黑体" w:eastAsia="黑体" w:cs="Times New Roman"/>
          <w:sz w:val="36"/>
          <w:szCs w:val="36"/>
        </w:rPr>
        <w:t>附件</w:t>
      </w:r>
      <w:r>
        <w:rPr>
          <w:rFonts w:eastAsia="仿宋_GB2312" w:cs="Times New Roman"/>
          <w:sz w:val="36"/>
          <w:szCs w:val="36"/>
        </w:rPr>
        <w:t>2</w:t>
      </w:r>
    </w:p>
    <w:p>
      <w:pPr>
        <w:spacing w:line="620" w:lineRule="exact"/>
        <w:textAlignment w:val="top"/>
        <w:rPr>
          <w:rFonts w:hint="eastAsia" w:ascii="方正小标宋简体" w:eastAsia="方正小标宋简体" w:cs="Times New Roman"/>
          <w:sz w:val="48"/>
          <w:szCs w:val="48"/>
        </w:rPr>
      </w:pPr>
    </w:p>
    <w:p>
      <w:pPr>
        <w:spacing w:line="620" w:lineRule="exact"/>
        <w:jc w:val="center"/>
        <w:textAlignment w:val="top"/>
        <w:rPr>
          <w:rFonts w:hint="eastAsia" w:ascii="方正小标宋简体" w:eastAsia="方正小标宋简体" w:cs="Times New Roman"/>
          <w:sz w:val="48"/>
          <w:szCs w:val="48"/>
        </w:rPr>
      </w:pPr>
      <w:bookmarkStart w:id="0" w:name="_GoBack"/>
      <w:r>
        <w:rPr>
          <w:rFonts w:eastAsia="方正小标宋简体"/>
          <w:sz w:val="48"/>
          <w:szCs w:val="48"/>
        </w:rPr>
        <w:t>2023</w:t>
      </w:r>
      <w:r>
        <w:rPr>
          <w:rFonts w:hint="eastAsia" w:ascii="方正小标宋简体" w:eastAsia="方正小标宋简体" w:cs="Times New Roman"/>
          <w:sz w:val="48"/>
          <w:szCs w:val="48"/>
        </w:rPr>
        <w:t>年度出版融合发展示范单位</w:t>
      </w:r>
    </w:p>
    <w:p>
      <w:pPr>
        <w:spacing w:line="620" w:lineRule="exact"/>
        <w:jc w:val="center"/>
        <w:textAlignment w:val="top"/>
        <w:rPr>
          <w:rFonts w:hint="eastAsia" w:ascii="方正小标宋简体" w:eastAsia="方正小标宋简体" w:cs="Times New Roman"/>
          <w:sz w:val="48"/>
          <w:szCs w:val="48"/>
        </w:rPr>
      </w:pPr>
      <w:r>
        <w:rPr>
          <w:rFonts w:hint="eastAsia" w:ascii="方正小标宋简体" w:eastAsia="方正小标宋简体" w:cs="Times New Roman"/>
          <w:sz w:val="48"/>
          <w:szCs w:val="48"/>
        </w:rPr>
        <w:t>遴选推荐计划入选名单</w:t>
      </w:r>
    </w:p>
    <w:bookmarkEnd w:id="0"/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</w:p>
    <w:p>
      <w:pPr>
        <w:spacing w:line="620" w:lineRule="exact"/>
        <w:textAlignment w:val="top"/>
        <w:rPr>
          <w:rFonts w:hint="eastAsia" w:ascii="黑体" w:eastAsia="黑体" w:cs="Times New Roman"/>
          <w:sz w:val="36"/>
          <w:szCs w:val="36"/>
        </w:rPr>
      </w:pPr>
      <w:r>
        <w:rPr>
          <w:rFonts w:hint="eastAsia" w:ascii="黑体" w:eastAsia="黑体" w:cs="Times New Roman"/>
          <w:sz w:val="36"/>
          <w:szCs w:val="36"/>
        </w:rPr>
        <w:t>一、出版融合发展旗舰示范单位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1. 人民交通出版社股份有限公司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2. 中国少年儿童新闻出版总社有限公司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3. 中国建筑出版传媒有限公司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4. 中原大地传媒股份有限公司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5. 电子工业出版社有限公司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6. 外语教学与研究出版社有限责任公司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7. 高等教育出版社有限公司</w:t>
      </w:r>
    </w:p>
    <w:p>
      <w:pPr>
        <w:spacing w:line="620" w:lineRule="exact"/>
        <w:textAlignment w:val="top"/>
        <w:rPr>
          <w:rFonts w:hint="eastAsia" w:ascii="黑体" w:eastAsia="黑体" w:cs="Times New Roman"/>
          <w:sz w:val="36"/>
          <w:szCs w:val="36"/>
        </w:rPr>
      </w:pPr>
      <w:r>
        <w:rPr>
          <w:rFonts w:hint="eastAsia" w:ascii="黑体" w:eastAsia="黑体" w:cs="Times New Roman"/>
          <w:sz w:val="36"/>
          <w:szCs w:val="36"/>
        </w:rPr>
        <w:t>二、出版融合发展特色示范单位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1. 人民法院电子音像出版社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2. 广东省出版集团数字出版有限公司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3. 上海辞书出版社有限公司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4. 长江少年儿童出版社（集团）有限公司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5. 中国人民大学出版社有限公司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6. 中国中医药出版社有限公司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7. 中国农业出版社有限公司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8. 中国图书进出口（集团）有限公司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9. 《中国国家地理》杂志社有限公司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10. 《中国循环杂志》社有限责任公司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11. 中国数字文化集团有限公司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12. 石油工业出版社有限公司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13. 北京师范大学出版社（集团）有限公司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14. 古联（北京）数字传媒科技有限公司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15. 华东师范大学出版社有限公司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16. 机械工业出版社有限公司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17. 学习出版社有限公司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18. 知识产权出版社有限责任公司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19. 咪咕数字传媒有限公司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20. 浙江教育出版社集团有限公司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21. 清华大学出版社有限公司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22. 湖南岳麓书社有限责任公司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  <w:r>
        <w:rPr>
          <w:rFonts w:eastAsia="仿宋_GB2312" w:cs="Times New Roman"/>
          <w:sz w:val="36"/>
          <w:szCs w:val="36"/>
        </w:rPr>
        <w:t>23. 新疆电子音像出版社</w:t>
      </w:r>
    </w:p>
    <w:p>
      <w:pPr>
        <w:spacing w:line="620" w:lineRule="exact"/>
        <w:textAlignment w:val="top"/>
        <w:rPr>
          <w:rFonts w:eastAsia="仿宋_GB2312" w:cs="Times New Roman"/>
          <w:sz w:val="36"/>
          <w:szCs w:val="36"/>
        </w:rPr>
      </w:pPr>
    </w:p>
    <w:p>
      <w:pPr>
        <w:spacing w:line="620" w:lineRule="exact"/>
        <w:textAlignment w:val="top"/>
      </w:pPr>
    </w:p>
    <w:sectPr>
      <w:footerReference r:id="rId7" w:type="first"/>
      <w:footerReference r:id="rId5" w:type="default"/>
      <w:footerReference r:id="rId6" w:type="even"/>
      <w:pgSz w:w="11907" w:h="16840"/>
      <w:pgMar w:top="1985" w:right="1701" w:bottom="1985" w:left="170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— 1 —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— 1 —</w: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— 1 —</w:t>
    </w:r>
    <w:r>
      <w:rPr>
        <w:rStyle w:val="8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NDA3MzE0ODg0ZTk5ZDM4MjkyMjRjMTdiYzkzN2E0N2IifQ=="/>
  </w:docVars>
  <w:rsids>
    <w:rsidRoot w:val="00000000"/>
    <w:rsid w:val="081C7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Times New Roman" w:hAnsi="Times New Roman" w:eastAsia="宋体"/>
      <w:kern w:val="2"/>
      <w:sz w:val="18"/>
      <w:szCs w:val="18"/>
      <w:lang w:val="en-US" w:eastAsia="zh-CN"/>
    </w:rPr>
  </w:style>
  <w:style w:type="character" w:styleId="8">
    <w:name w:val="page number"/>
    <w:uiPriority w:val="0"/>
  </w:style>
  <w:style w:type="paragraph" w:customStyle="1" w:styleId="9">
    <w:name w:val="样式1"/>
    <w:basedOn w:val="1"/>
    <w:uiPriority w:val="0"/>
    <w:pPr>
      <w:spacing w:line="560" w:lineRule="exact"/>
      <w:textAlignment w:val="center"/>
      <w:outlineLvl w:val="0"/>
    </w:pPr>
    <w:rPr>
      <w:rFonts w:ascii="黑体" w:eastAsia="黑体"/>
      <w:b/>
      <w:bCs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41C02C24-3AF9-4071-BD5B-26F9422D28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</Words>
  <Characters>7</Characters>
  <Lines>1</Lines>
  <Paragraphs>1</Paragraphs>
  <TotalTime>562</TotalTime>
  <ScaleCrop>false</ScaleCrop>
  <LinksUpToDate>false</LinksUpToDate>
  <CharactersWithSpaces>7</CharactersWithSpaces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2021-07-09T01:38:00Z</dcterms:created>
  <dc:creator>Cynthia</dc:creator>
  <cp:lastModifiedBy>WL</cp:lastModifiedBy>
  <cp:lastPrinted>2023-09-15T04:02:00Z</cp:lastPrinted>
  <dcterms:modified xsi:type="dcterms:W3CDTF">2023-09-18T07:57:07Z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E8926006EF4B4A6AAAA0466E4DA00A18_13</vt:lpwstr>
  </property>
</Properties>
</file>