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交通强国邮政专项试点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任务验收申请报告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bCs/>
          <w:spacing w:val="40"/>
          <w:sz w:val="48"/>
          <w:szCs w:val="48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Cs/>
          <w:sz w:val="32"/>
          <w:szCs w:val="48"/>
          <w:u w:val="single"/>
          <w:shd w:val="clear" w:color="auto" w:fill="FFFFFF"/>
        </w:rPr>
        <w:t>（试点任务名称</w:t>
      </w:r>
      <w:r>
        <w:rPr>
          <w:rFonts w:hint="default" w:ascii="Times New Roman" w:hAnsi="Times New Roman" w:eastAsia="楷体_GB2312" w:cs="Times New Roman"/>
          <w:bCs/>
          <w:spacing w:val="40"/>
          <w:sz w:val="32"/>
          <w:szCs w:val="48"/>
          <w:u w:val="single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（一）试点组织情况。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简述试点任务的组织单位、实施单位围绕该项试点任务采取的组织方式、建立的工作机制等。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（二）试点任务推进情况。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概括该项试点任务在实施过程中开展的主要工作。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二、验收指标得分情况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按照《交通强国邮政专项试点任务验收自评估评分表》</w:t>
      </w:r>
      <w:r>
        <w:rPr>
          <w:rFonts w:ascii="Times New Roman" w:hAnsi="Times New Roman" w:eastAsia="仿宋_GB2312" w:cs="Times New Roman"/>
          <w:sz w:val="32"/>
          <w:szCs w:val="24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要求，分别测算各项得分值，并简述得分理由。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（一）试点组织情况。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（二）试点完成情况。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（三）贯彻落实情况。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（四）成果的实际效果。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（五）成果的创新性。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（六）成果的引领性。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（七）成果的可复制性。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（八）成果的示范推广性。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（九）成果的影响性。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三、试点先进经验和典型成果总结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聚焦试点成果先进性、示范性，重点围绕可复制、可推广，总结归纳试点实施过程及取得的先进经验和典型成果。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四、存在问题及相关建议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总结该试点任务推进过程中出现的问题并提出解决建议。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重点提供验收指标得分情况的相关证明材料。</w:t>
      </w:r>
    </w:p>
    <w:p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01F30F32"/>
    <w:rsid w:val="01F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403</Characters>
  <Lines>0</Lines>
  <Paragraphs>0</Paragraphs>
  <TotalTime>0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2023-09-01T04:11:00Z</dcterms:created>
  <dc:creator> </dc:creator>
  <cp:lastModifiedBy> </cp:lastModifiedBy>
  <dcterms:modified xsi:type="dcterms:W3CDTF">2023-09-01T04:11:57Z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9BBC323762344B37AF1763453E53849F_11</vt:lpwstr>
  </property>
</Properties>
</file>