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eastAsia="方正小标宋简体" w:cs="Times New Roman"/>
          <w:color w:val="000000"/>
          <w:sz w:val="44"/>
          <w:szCs w:val="44"/>
          <w:highlight w:val="none"/>
          <w:lang w:eastAsia="zh-CN"/>
        </w:rPr>
        <w:t>湖南省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典当行分类监管评级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自</w:t>
      </w:r>
      <w:r>
        <w:rPr>
          <w:rFonts w:hint="default" w:eastAsia="方正小标宋简体" w:cs="Times New Roman"/>
          <w:color w:val="000000"/>
          <w:sz w:val="44"/>
          <w:szCs w:val="44"/>
          <w:highlight w:val="none"/>
          <w:lang w:eastAsia="zh-CN"/>
        </w:rPr>
        <w:t>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表</w:t>
      </w:r>
    </w:p>
    <w:bookmarkEnd w:id="0"/>
    <w:p>
      <w:pPr>
        <w:pStyle w:val="2"/>
        <w:rPr>
          <w:rFonts w:hint="default"/>
          <w:color w:val="00000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</w:rPr>
        <w:t>机构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名称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（盖章）：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149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19"/>
        <w:gridCol w:w="1341"/>
        <w:gridCol w:w="6970"/>
        <w:gridCol w:w="1113"/>
        <w:gridCol w:w="2887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考核评分标准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自评情况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  <w:t>自评得分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法人治理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（3分）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依照《公司法》和公司章程规定，公司治理结构健全，法人股东符合要求，股东、高管权责清晰的得1分，否则不得分；董事、监事、高管人员无缺位，信贷、风控、财务等部门职能明确、人员完备的得2分，否则不得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决策事项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按法律法规和公司章程规定，定期召开股东会、董事会、监事会审查公司经营情况的得1分，否则不得分；公司重大问题决策、重要人事任免、大额资金使用等经股东会或者董事会研究同意的得1分，否则不得分。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制度建设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（3分）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制度完善，有严格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的信贷、风控、业务、安全管理及会计制度和内部审计制度等各项内控制度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的，得3分；制度不完善的，每缺少1项扣1分，扣完为止。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从业人员素质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有熟悉业务的从业人员，员工大专以上占90%以上，典当从业时间3年以上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占70%以上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年参加从业资格培训，并持有专业资格证书人员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60%以上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发展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（25分）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发展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（25分）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新增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典当业务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eastAsia="zh-CN" w:bidi="ar-SA"/>
              </w:rPr>
              <w:t>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全年新增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典当总额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/净资产≥200%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，得5分；150%-200%（不含），得4分；100%-150%（不含），得3分；50%-100%（不含），得2分；30%-50%（不含），得1分；30%（不含）以下，不得分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发放率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（5分）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贷款发放率（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年度平均典当余额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/净资产）达到70%以上的，得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分；每下降10个百分点 (不足10个百分点按10个百分点计算)扣1分，扣完为止。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贷款投向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（10分）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普惠金融投放：中小微企业、个体工商户、农民和城镇低收入人群等弱势群体投放占比超过70%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得5分，每下降10个百分点扣1分，扣完为止。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业务：当年开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展民品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典当业务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100笔得5分，每减少20笔扣1分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净资产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收益率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净资产收益率≥2%，得5分；1.5%-2%（不含），得4分； 1%-1.5%(不含)，得3分；0-1%(不含)，得2分；否则不得分。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合规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净资产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注册资本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eastAsia="zh-CN" w:bidi="ar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90%，扣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股东及其关联方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挪用公司注册资本金6个月以上，每笔扣1分，扣完为止。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经营场所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（3分）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店堂公示《典当须知》《典当行经营十不准》《典当行经营许可证》、监管部门投诉举报电话等基础业务流程和相关监管要求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，得1分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。每少一项扣0.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经营场所配备报警装置、消防设施及器材，门窗、营业柜台设置防护设施，录像设备（录像资料至少保存2个月）且运行良好,有符合安全要求的典当物品保管库房和保险箱（柜、库）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，得2分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。违反监管细则要求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项扣0.5分，扣完为止。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资产比例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  <w:t>（4分）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 w:val="0"/>
                <w:bCs/>
                <w:color w:val="000000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房地产抵押典当余额超过注册资本，扣1分。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房地产抵押典当单笔当金超过注册资本10%，扣1分。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合规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资产比例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  <w:t>（4分）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财产权利质押典当余额超过注册资本的50%，扣1分。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对同一法人或者自然人的典当余额超过注册资本的25%，扣1分。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息费率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（6分）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动产质押典当的月综合费率超过当金的42‰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，每笔扣0.5分，扣完为止。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房地产抵押典当的月综合费率超过当金的27‰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，每笔扣0.5分，扣完为止。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财产权利质押典当的月综合费率超过当金的24‰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，每笔扣0.5分，扣完为止。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资金管理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当金利息预扣、账外收取息费，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笔扣1分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存在个人账户、非公司账户收款、收息的，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扣3分。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当票管理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未按规定开具统一当票及续当凭证，当票信息未录入到典当系统，以合同代替当票和“账外挂账”现象，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笔扣1分；扣完为止。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  <w:t>管理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建立规范的财务管理制度，账务处理规范，财务核算方法符合有关规定，得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分；财务管理制度不健全或者财务管理混乱、账务处理不规范的，每项扣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风险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防控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风险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防控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当金风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险分类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建立了规范的贷款风险五级分类制度，准确进行资产分类的得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 资产分类制度不健全或者执行不到位的酌情扣分。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资产质量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逾期90天以上典当余额/上年度末典当余额＜5%，得5分；5%-10%（不含），得4分；10%-30%（不含），得2分；30%-50%（不含），得1分；50%以上，不得分。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信贷管理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有熟悉业务的从业人员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对当物有严格审慎的评估制度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建立有应对不同风险当物的管理应对制度和举措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的，得3分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；无评估应对管理制度的扣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对特定当物有严格的保管措施，典当手续完备，合同、票据要素齐全、规范，资料完整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的，得5分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；不合规业务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color w:val="000000"/>
                <w:sz w:val="24"/>
                <w:szCs w:val="24"/>
              </w:rPr>
              <w:t>诚信记录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（3分）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及其法定代表人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被纳入严重违法失信企业名单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的；扣3分；被纳入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失信被执行人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、限制高消费的，扣2分，被列入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企业经营异常名录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的，扣1分。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color w:val="000000"/>
                <w:sz w:val="24"/>
                <w:szCs w:val="24"/>
              </w:rPr>
              <w:t>投诉举报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（2分）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发生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典当行有责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投诉，查证属实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，每起扣1分，扣完为止。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信息报送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业务系统接入省典当监管信息系统，实时报送业务数据，实现监管数据实时监测的，得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未按时报送的，每次扣0.5分；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接入监管信息系统但报送数据不完整的，每次扣0.5分；未接入监管信息系统的，本项不得分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，扣分事项均扣完为止。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重大事项报告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（2分）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认真执行事前同意、事后报告制度，及时向监管部门报送公司重大事项的，得2分；未认真执行报告制度，每次扣0.5分，扣完为止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服从监管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（9分）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服从监管部门要求，执行相关监管规定，认真配合开展现场检查及非现场监管工作，对监管提示问题及时改正，得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；不予配合的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未在规定期限整改到位的不得分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控股股权变更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年内注册资本未达到辖区内最低注册资本要求的，扣1分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2年内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注册资本未达到辖区内最低注册资本要求的，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擅自变更相关事项，未按规定报送审批的，扣2分。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36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  <w:t>行业自律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/>
                <w:color w:val="000000"/>
              </w:rPr>
            </w:pP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eastAsia="zh-CN"/>
              </w:rPr>
              <w:t>（2分）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加入省级以上行业自律组织并履行会员义务，接受行业自律管理的， 得2分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；未做到的酌情扣分。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  <w:t>得分项小计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目（同一事项不得重复加分，以最高分计）（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情况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受到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县级以上政府部门、省典当行业协会表彰奖励的，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，最高加4分。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履行社会责任情况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履行社会责任。参与救灾、乡村振兴、扶贫助学等公益事业。经省监管部门审核、省典当行业协会认定的，每参与一项加2分，最高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加4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纳税情况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当年上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缴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税金20万-50万（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含），加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分；50万-100万（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含），加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分；100万-200万（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含），加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分；200万以上加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4"/>
                <w:u w:val="none"/>
                <w:lang w:bidi="ar"/>
              </w:rPr>
              <w:t>注册资本金情况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注册资本金达到《湖南省典当行监督管理实施细则》规定的所在地注册资本金要求的，加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分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  <w:t>加分项小计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得分总计</w:t>
            </w:r>
          </w:p>
        </w:tc>
        <w:tc>
          <w:tcPr>
            <w:tcW w:w="5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5"/>
        <w:tblW w:w="14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080"/>
        <w:gridCol w:w="8479"/>
        <w:gridCol w:w="3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top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调级事项</w:t>
            </w: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具体情形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典当行存在以下情形，评级结果不得为A类</w:t>
            </w: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上一年度公司因违规经营受到行政处罚的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上一年度连续2次或者累计3次以上未通过指定的监管信息系统及时报送数据信息的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上一年度监管部门收到涉及公司的投诉、举报2次以上，经调查属实的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截至上年度末，典当行及其法定代表人、董事、监事、高级管理人员存在被纳入失信被执行人名单、被采取限制高消费措施、被列入经营异常名录等相关情况的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存在其他违规经营行为或者风险事项的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黑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典当行存在以下情形，评级结果不得为B类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以上</w:t>
            </w: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非绝当物品的销售以及旧物收购、寄售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动产抵押业务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发放信用贷款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超出核准的行政区域、业务范围开展业务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出借、出租或者变相出借、出租典当经营许可证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从商业银行以外的单位和个人借款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超过规定限额从商业银行贷款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与其他典当行拆借或者变相拆借资金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在当期内出租、质押、抵押和使用当物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对外投资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2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法律、行政法规和国家禁止的其他业务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和行为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重大风险事项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（一票否决，有情形之一的）</w:t>
            </w:r>
          </w:p>
        </w:tc>
        <w:tc>
          <w:tcPr>
            <w:tcW w:w="8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经司法机关查证属实，有下列情形之一的：吸收或者变相吸收公众存款、集资诈骗、非法催收、暴力收贷等严重违法行为或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涉黑涉恶等行为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违反《湖南省典当行监督管理实施细则》第二十六条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列明的行为之一的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无正当理由，拒绝或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阻碍监管部门依法实施监督检查，不按要求向监管部门提供或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提供虚假、隐瞒重要事实的报表、报告等文件、资料的，或者未报告发生的重大风险事件的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重大风险事项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（一票否决，有情形之一的）</w:t>
            </w: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对监管部门提出的问题拒不整改的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恶意抽逃注册资本金的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“失联”或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“空壳”等非正常经营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的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明显丧失持续经营能力、存在其他严重违规经营行为或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风险事项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宋体" w:hAnsi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其他重大违法违规行为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3FCDB1"/>
    <w:rsid w:val="FB3FC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2023-08-04T15:34:00Z</dcterms:created>
  <dc:creator>kylin</dc:creator>
  <cp:lastModifiedBy>kylin</cp:lastModifiedBy>
  <dcterms:modified xsi:type="dcterms:W3CDTF">2023-08-04T15:35:14Z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