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湖南省产业技术基础公共服务平台的功能定位</w:t>
      </w:r>
    </w:p>
    <w:p>
      <w:pPr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湖南省产业技术基础公共服务平台分为试验检测平台、信息服务平台和创新成果产业化平台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三种类型，其功能定位分别是：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B3B3B"/>
          <w:spacing w:val="0"/>
          <w:sz w:val="32"/>
          <w:szCs w:val="32"/>
          <w:shd w:val="clear" w:color="auto" w:fill="FFFFFF"/>
        </w:rPr>
        <w:t>试验检测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平台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围绕制造强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、网络强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省、质量强省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建设的重点领域，提供试验检测方面的技术基础支撑服务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主要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功能包括：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推动试验检测基础设施建设，开展标准验证、计量校准、检验检测、试验验证等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基础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关键技术研究，推动仪器设备研发应用，制定相关方法和标准，推动检测结果互认共享。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为企业从研发到产业化各环节的技术创新活动提供检验检测等服务，支撑企业提升产品性能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质量和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竞争力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为重点产业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链群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提供试验检测服务，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搭建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新兴技术应用验证环境，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促进产业链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整机与部件匹配、产品与应用迭代发展，支撑产业生态建设。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二、信息服务平台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围绕制造强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、网络强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、质量强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建设的重点领域，提供信息服务方面的技术基础支撑服务，主要功能包括：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加强产业信息基础数据库建设，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构建专题信息库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知识产权资源数据库和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标准数据库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为企业技术创新活动提供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产业信息、知识产权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分析评估和运用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、产业基础调查与供应链安全评估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等服务。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为重点产业创新发展提供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政策研究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与决策支持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产业咨询、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知识产权风险预警等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服务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，支撑产业链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供应链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打造。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三、创新成果产业化平台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 w:firstLineChars="200"/>
        <w:rPr>
          <w:rFonts w:hint="default" w:ascii="仿宋_GB2312" w:hAnsi="仿宋_GB2312" w:eastAsia="仿宋_GB2312" w:cs="仿宋_GB2312"/>
          <w:i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围绕制造强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、网络强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、质量强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重点领域，提供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成果转化及产业化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方面的技术基础支撑服务，主要功能包括：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从产业需求端出发，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建立“中心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承载区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的创新成果产业化模式，推动创新成果评价、新技术新产品应用。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为企业提供成果供需对接、成果评价、知识产权交易、试验验证等服务，推动应用场景转化为技术需求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推动创新成果向中小企业转移转化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为重点产业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创新发展提供成果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转化和产业化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服务，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聚焦地方优势产业开展产学研深度合作，推动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成果在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优势地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区落地转化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及产业化。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247" w:bottom="1418" w:left="1588" w:header="964" w:footer="124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14000D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文鼎CS仿宋体" w:eastAsia="文鼎CS仿宋体"/>
        <w:sz w:val="28"/>
        <w:szCs w:val="28"/>
      </w:rPr>
    </w:pPr>
    <w:r>
      <w:rPr>
        <w:rStyle w:val="9"/>
        <w:rFonts w:hint="eastAsia" w:ascii="文鼎CS仿宋体" w:eastAsia="文鼎CS仿宋体"/>
        <w:sz w:val="28"/>
        <w:szCs w:val="28"/>
      </w:rPr>
      <w:t>—</w:t>
    </w:r>
    <w:r>
      <w:rPr>
        <w:rStyle w:val="9"/>
        <w:rFonts w:hint="eastAsia" w:ascii="文鼎CS仿宋体" w:eastAsia="文鼎CS仿宋体"/>
        <w:sz w:val="28"/>
        <w:szCs w:val="28"/>
      </w:rPr>
      <w:fldChar w:fldCharType="begin"/>
    </w:r>
    <w:r>
      <w:rPr>
        <w:rStyle w:val="9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9"/>
        <w:rFonts w:hint="eastAsia" w:ascii="文鼎CS仿宋体" w:eastAsia="文鼎CS仿宋体"/>
        <w:sz w:val="28"/>
        <w:szCs w:val="28"/>
      </w:rPr>
      <w:fldChar w:fldCharType="separate"/>
    </w:r>
    <w:r>
      <w:rPr>
        <w:rStyle w:val="9"/>
        <w:rFonts w:ascii="文鼎CS仿宋体" w:eastAsia="文鼎CS仿宋体"/>
        <w:sz w:val="28"/>
        <w:szCs w:val="28"/>
      </w:rPr>
      <w:t>2</w:t>
    </w:r>
    <w:r>
      <w:rPr>
        <w:rStyle w:val="9"/>
        <w:rFonts w:hint="eastAsia" w:ascii="文鼎CS仿宋体" w:eastAsia="文鼎CS仿宋体"/>
        <w:sz w:val="28"/>
        <w:szCs w:val="28"/>
      </w:rPr>
      <w:fldChar w:fldCharType="end"/>
    </w:r>
    <w:r>
      <w:rPr>
        <w:rStyle w:val="9"/>
        <w:rFonts w:hint="eastAsia" w:ascii="文鼎CS仿宋体" w:eastAsia="文鼎CS仿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F3348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7BB370A4"/>
    <w:rsid w:val="FF2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2023-05-17T01:17:00Z</dcterms:created>
  <dc:creator>greatwall</dc:creator>
  <cp:lastModifiedBy>greatwall</cp:lastModifiedBy>
  <dcterms:modified xsi:type="dcterms:W3CDTF">2023-05-17T01:47:18Z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