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lang w:eastAsia="zh-CN"/>
        </w:rPr>
        <w:t>附件</w:t>
      </w:r>
    </w:p>
    <w:p>
      <w:pPr>
        <w:pStyle w:val="6"/>
        <w:bidi w:val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2023年科技活动周开展情况统计表</w:t>
      </w:r>
    </w:p>
    <w:bookmarkEnd w:id="0"/>
    <w:p>
      <w:pPr>
        <w:pStyle w:val="6"/>
        <w:bidi w:val="0"/>
        <w:rPr>
          <w:rFonts w:hint="default" w:ascii="Times New Roman" w:hAnsi="Times New Roman" w:cs="Times New Roman"/>
          <w:b/>
          <w:bCs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47" w:afterLines="25" w:line="240" w:lineRule="auto"/>
        <w:ind w:left="210" w:leftChars="100" w:firstLine="0" w:firstLineChars="0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（盖章）：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29"/>
        <w:gridCol w:w="3516"/>
        <w:gridCol w:w="26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活动开展情况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科普活动开展次数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举办活动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详单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活动经费投入数量（单位：万元）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中央财政经费投入情况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中央在湘单位、省直部门填写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省级财政经费投入情况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市级财政经费投入情况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县级财政经费投入情况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企业赞助经费情况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实物投入情况（如：捐赠图书、光盘、创新操作室等）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其他经费情况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科普工作人员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参与数量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科普专职人员数量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科技工作者参与数量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招募科技志愿者数量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其他人员数量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院士、专家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及参加活动详单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群众参与数量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线下活动群众参与数量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线上活动群众参与数量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宣传报道情况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媒体数量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宣传报道数量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新闻标题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40" w:hangingChars="1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科技创新基地、科普场馆开放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开放的科普场馆数量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及名单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开放活动的科研机构数量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及名单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开放活动的大学数量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及名单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/>
    <w:sectPr>
      <w:pgSz w:w="11906" w:h="16838"/>
      <w:pgMar w:top="1814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FDBFA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customStyle="1" w:styleId="6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2023-05-08T15:08:17Z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