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pPr>
      <w:bookmarkStart w:id="0" w:name="OLE_LINK1"/>
      <w:r>
        <w:rPr>
          <w:rFonts w:hint="eastAsia"/>
        </w:rPr>
        <w:t>HNPR-2022-17014</w:t>
      </w:r>
    </w:p>
    <w:p>
      <w:pPr>
        <w:spacing w:after="120" w:line="760" w:lineRule="exact"/>
        <w:ind w:left="0" w:leftChars="0" w:firstLine="0" w:firstLineChars="0"/>
        <w:jc w:val="center"/>
        <w:rPr>
          <w:color w:val="000000"/>
        </w:rPr>
      </w:pPr>
      <w:r>
        <w:rPr>
          <w:color w:val="000000"/>
          <w:sz w:val="32"/>
          <w:szCs w:val="32"/>
        </w:rPr>
        <w:t>湘农</w:t>
      </w:r>
      <w:r>
        <w:rPr>
          <w:rFonts w:hint="eastAsia"/>
          <w:color w:val="000000"/>
          <w:sz w:val="32"/>
          <w:szCs w:val="32"/>
        </w:rPr>
        <w:t>发</w:t>
      </w:r>
      <w:r>
        <w:rPr>
          <w:color w:val="000000"/>
          <w:sz w:val="32"/>
          <w:szCs w:val="32"/>
        </w:rPr>
        <w:t>〔20</w:t>
      </w:r>
      <w:r>
        <w:rPr>
          <w:rFonts w:hint="eastAsia"/>
          <w:color w:val="000000"/>
          <w:sz w:val="32"/>
          <w:szCs w:val="32"/>
        </w:rPr>
        <w:t>22</w:t>
      </w:r>
      <w:r>
        <w:rPr>
          <w:color w:val="000000"/>
          <w:sz w:val="32"/>
          <w:szCs w:val="32"/>
        </w:rPr>
        <w:t>〕</w:t>
      </w:r>
      <w:r>
        <w:rPr>
          <w:rFonts w:hint="eastAsia"/>
          <w:color w:val="000000"/>
          <w:sz w:val="32"/>
          <w:szCs w:val="32"/>
        </w:rPr>
        <w:t>109</w:t>
      </w:r>
      <w:r>
        <w:rPr>
          <w:color w:val="000000"/>
          <w:sz w:val="32"/>
          <w:szCs w:val="32"/>
        </w:rPr>
        <w:t>号</w:t>
      </w:r>
      <w:bookmarkStart w:id="1" w:name="_GoBack"/>
      <w:bookmarkEnd w:id="1"/>
    </w:p>
    <w:p>
      <w:pPr>
        <w:ind w:firstLine="640"/>
      </w:pPr>
    </w:p>
    <w:p>
      <w:pPr>
        <w:pStyle w:val="2"/>
        <w:rPr>
          <w:rFonts w:hint="eastAsia"/>
          <w:color w:val="000000"/>
          <w:spacing w:val="20"/>
        </w:rPr>
      </w:pPr>
      <w:r>
        <w:rPr>
          <w:color w:val="000000"/>
          <w:spacing w:val="20"/>
        </w:rPr>
        <w:t>湖南省农业</w:t>
      </w:r>
      <w:r>
        <w:rPr>
          <w:rFonts w:hint="eastAsia"/>
          <w:color w:val="000000"/>
          <w:spacing w:val="20"/>
        </w:rPr>
        <w:t>农村厅</w:t>
      </w:r>
    </w:p>
    <w:bookmarkEnd w:id="0"/>
    <w:p>
      <w:pPr>
        <w:pStyle w:val="2"/>
        <w:rPr>
          <w:kern w:val="0"/>
        </w:rPr>
      </w:pPr>
      <w:r>
        <w:rPr>
          <w:kern w:val="0"/>
        </w:rPr>
        <w:t>关于进一步推进规模以下畜禽养殖</w:t>
      </w:r>
    </w:p>
    <w:p>
      <w:pPr>
        <w:pStyle w:val="2"/>
        <w:rPr>
          <w:kern w:val="0"/>
        </w:rPr>
      </w:pPr>
      <w:r>
        <w:rPr>
          <w:kern w:val="0"/>
        </w:rPr>
        <w:t>废弃物资源化利用的通知</w:t>
      </w:r>
    </w:p>
    <w:p>
      <w:pPr>
        <w:ind w:firstLine="640"/>
        <w:rPr>
          <w:kern w:val="0"/>
        </w:rPr>
      </w:pPr>
    </w:p>
    <w:p>
      <w:pPr>
        <w:ind w:firstLine="0" w:firstLineChars="0"/>
        <w:rPr>
          <w:kern w:val="0"/>
        </w:rPr>
      </w:pPr>
      <w:r>
        <w:rPr>
          <w:kern w:val="0"/>
        </w:rPr>
        <w:t>各市州农业农村局（畜牧水产事务中心）：</w:t>
      </w:r>
    </w:p>
    <w:p>
      <w:pPr>
        <w:ind w:firstLine="640"/>
        <w:rPr>
          <w:kern w:val="0"/>
        </w:rPr>
      </w:pPr>
      <w:r>
        <w:rPr>
          <w:kern w:val="0"/>
        </w:rPr>
        <w:t>为认真贯彻落实习近平总书记关于加快推进畜禽养殖废弃物资源化利用的重要指示批示精神，进一步做好规模以下畜禽养殖废弃物资源化利用工作，整体提升我省畜禽养殖废弃物资源化综合利用水平，现就有关事项通知如下：</w:t>
      </w:r>
    </w:p>
    <w:p>
      <w:pPr>
        <w:ind w:firstLine="640"/>
        <w:rPr>
          <w:kern w:val="0"/>
        </w:rPr>
      </w:pPr>
      <w:r>
        <w:rPr>
          <w:rFonts w:eastAsia="黑体"/>
          <w:kern w:val="0"/>
        </w:rPr>
        <w:t>一、强化属地管理责任。</w:t>
      </w:r>
      <w:r>
        <w:rPr>
          <w:kern w:val="0"/>
        </w:rPr>
        <w:t>各地要按照省委、省政府的决策部署，切实把规模以下畜禽养殖废弃物资源化利用作为养殖污染防治、改善农村人居环境、促进现代畜牧业高质量发展的重要内容。按照《湖南省人民政府办公厅关于印发</w:t>
      </w:r>
      <w:r>
        <w:rPr>
          <w:rFonts w:hAnsi="Arial Unicode MS" w:eastAsia="Arial Unicode MS"/>
          <w:kern w:val="0"/>
        </w:rPr>
        <w:t>〈</w:t>
      </w:r>
      <w:r>
        <w:rPr>
          <w:kern w:val="0"/>
        </w:rPr>
        <w:t>湖南省畜禽规模养殖污染防治规定</w:t>
      </w:r>
      <w:r>
        <w:rPr>
          <w:rFonts w:hAnsi="Arial Unicode MS" w:eastAsia="Arial Unicode MS"/>
          <w:kern w:val="0"/>
        </w:rPr>
        <w:t>〉</w:t>
      </w:r>
      <w:r>
        <w:rPr>
          <w:kern w:val="0"/>
        </w:rPr>
        <w:t>的通知》（湘政办发〔2022〕46号）要求，强化属地管理责任，</w:t>
      </w:r>
      <w:r>
        <w:t>县级人民政府对畜禽养殖污染防治和</w:t>
      </w:r>
      <w:r>
        <w:rPr>
          <w:kern w:val="0"/>
        </w:rPr>
        <w:t>废弃物资源化利用</w:t>
      </w:r>
      <w:r>
        <w:t>工作</w:t>
      </w:r>
      <w:r>
        <w:rPr>
          <w:kern w:val="0"/>
        </w:rPr>
        <w:t>负总责，</w:t>
      </w:r>
      <w:r>
        <w:t>乡镇人民政府、街道办事处负责本行政区域内规模以下畜禽养殖污染防治和</w:t>
      </w:r>
      <w:r>
        <w:rPr>
          <w:kern w:val="0"/>
        </w:rPr>
        <w:t>废弃物资源化利用</w:t>
      </w:r>
      <w:r>
        <w:t>工作</w:t>
      </w:r>
      <w:r>
        <w:rPr>
          <w:kern w:val="0"/>
        </w:rPr>
        <w:t>；</w:t>
      </w:r>
      <w:r>
        <w:t>农业农村部门负责畜禽养殖废弃物综合利用的指导与服务，生态环境部门负责畜禽养殖污染防治的统一监督管理。督促规模以下畜禽养殖户切实履行畜禽养殖污染防治和废弃物资源化利用的主体责任</w:t>
      </w:r>
      <w:r>
        <w:rPr>
          <w:kern w:val="0"/>
        </w:rPr>
        <w:t>。</w:t>
      </w:r>
    </w:p>
    <w:p>
      <w:pPr>
        <w:ind w:firstLine="640"/>
      </w:pPr>
      <w:r>
        <w:rPr>
          <w:rFonts w:eastAsia="黑体"/>
          <w:kern w:val="0"/>
        </w:rPr>
        <w:t>二、完善粪污处理利用设施。</w:t>
      </w:r>
      <w:r>
        <w:t>各地要按照《湖南省规模以下养殖户粪污处理设施建设技术指南》（见附件）</w:t>
      </w:r>
      <w:r>
        <w:rPr>
          <w:kern w:val="0"/>
        </w:rPr>
        <w:t>，</w:t>
      </w:r>
      <w:r>
        <w:t>组织开展规模以下畜禽养殖粪污处理和资源化利用设施排查，指导规</w:t>
      </w:r>
      <w:r>
        <w:rPr>
          <w:rFonts w:eastAsia="仿宋"/>
          <w:kern w:val="0"/>
        </w:rPr>
        <w:t>模</w:t>
      </w:r>
      <w:r>
        <w:t>以下畜禽养殖户围绕生产沼气、沼肥、肥水、堆肥、沤肥、垫料、基质等以资源化利用为目的的处理方式，科学建设粪污处理和资源化利用设施，提高设施装备配套和整体建设水平。规模以下畜禽养殖户和散养户应配套建设雨污分流设施、粪污暂存设施，以及与其养殖生产能力相匹配的粪污减量设施、固体粪肥堆肥沤肥等发酵处理设施、液体粪肥存贮发酵利用设施，并满足防雨、防渗、防溢流和安全防护要求，确保正常运行。交由第三方处理机构处理畜禽粪污的，应按照转运时间间隔建设粪污暂存设施。</w:t>
      </w:r>
    </w:p>
    <w:p>
      <w:pPr>
        <w:ind w:firstLine="640"/>
        <w:rPr>
          <w:kern w:val="0"/>
        </w:rPr>
      </w:pPr>
      <w:r>
        <w:rPr>
          <w:rFonts w:eastAsia="黑体"/>
          <w:kern w:val="0"/>
        </w:rPr>
        <w:t>三、加快推进种养结合。</w:t>
      </w:r>
      <w:r>
        <w:rPr>
          <w:kern w:val="0"/>
        </w:rPr>
        <w:t>规模以下畜禽养殖的种养结合优势十分明显，实施种养结合是其粪污资源化利用的最有效方式。各地要统筹考虑环境承载、种养传统等因素，加快推进种养结合型循环农业发展。支持规模以下畜禽养殖户、散养户发展种养结合型家庭农场，或与农林产业合作组织、种植大户建立紧密型的种养结合绿色产业发展联盟，打通农牧循环通道。支持粮食、林果、茶叶、蔬菜等种植基地，按照种养匹配原则发展适度规模养殖，配套建设粪污处理和资源化利用设施，推进养殖废弃物就地就近处理利用。支持现代农业产业集群、现代农业特色产业园、绿色种养示范基地以及绿色农产品、有机农产品生产基地，集成推广应用有机肥、水肥一体化等关键技术，全面推广施用有机肥，全面提升种养业布局协调、生产配套、产业融合的绿色发展水平。</w:t>
      </w:r>
    </w:p>
    <w:p>
      <w:pPr>
        <w:ind w:firstLine="648"/>
        <w:rPr>
          <w:spacing w:val="2"/>
          <w:kern w:val="0"/>
        </w:rPr>
      </w:pPr>
      <w:r>
        <w:rPr>
          <w:rFonts w:eastAsia="黑体"/>
          <w:spacing w:val="2"/>
          <w:kern w:val="0"/>
        </w:rPr>
        <w:t>四、建立健全台账管理制度。</w:t>
      </w:r>
      <w:r>
        <w:rPr>
          <w:spacing w:val="2"/>
          <w:kern w:val="0"/>
        </w:rPr>
        <w:t>各级农业农村部门要督促规模以下畜禽养殖户建立畜禽粪污资源化利用台账，台账应当载明畜禽养殖畜种、规模以及养殖废弃物产生数量、处理方式以及去向等内容，作为规范生产的重要制度和环境执法监管的重要依据，由乡镇指导建档并管理。配套土地面积不足无法就地就近还田利用的畜禽养殖户，应委托满足相关环保要求，并具有相应的处理设施和能力的第三方单位代为实现粪污资源化利用，并建立畜禽养殖粪污交接和处理台账，及时准确记录有关信息。组织开展规模以下畜禽粪污资源化利用监督检查，确保符合畜禽粪肥还田要求。</w:t>
      </w:r>
    </w:p>
    <w:p>
      <w:pPr>
        <w:ind w:firstLine="640"/>
        <w:rPr>
          <w:kern w:val="0"/>
        </w:rPr>
      </w:pPr>
      <w:r>
        <w:rPr>
          <w:rFonts w:eastAsia="黑体"/>
          <w:kern w:val="0"/>
        </w:rPr>
        <w:t>五、加大项目资金支持力度。</w:t>
      </w:r>
      <w:r>
        <w:rPr>
          <w:kern w:val="0"/>
        </w:rPr>
        <w:t xml:space="preserve">各地要协同推进养殖生产和环境保护，加大对规模以下畜禽养殖粪污处理和资源化利用的政策支持，统筹农业面源污染治理项目、绿色种养循环农业试点项目、生猪调出大县奖励资金、畜禽粪污资源化利用整县推进项目等项目资金，支持规模以下畜禽养殖户完善、改造粪污处理和资源化利用设施。生猪调出大县要将规模以下畜禽养殖废弃物资源化利用作为奖励资金使用的重点支持范围，率先实现县域内畜禽粪污处理和资源化利用设施全覆盖。 </w:t>
      </w:r>
    </w:p>
    <w:p>
      <w:pPr>
        <w:ind w:firstLine="640"/>
        <w:rPr>
          <w:kern w:val="0"/>
        </w:rPr>
      </w:pPr>
      <w:r>
        <w:rPr>
          <w:rFonts w:eastAsia="黑体"/>
          <w:kern w:val="0"/>
        </w:rPr>
        <w:t>六、严格养殖污染执法监督。</w:t>
      </w:r>
      <w:r>
        <w:rPr>
          <w:kern w:val="0"/>
        </w:rPr>
        <w:t>各地对规模以下畜禽粪污处理不到位，造成粪污直排、环境污染的，应及时向生态环境执法部门移交问题线索，依法打击各类养殖环境违法犯罪行为。配合生态环境执法大队加强规模以下畜禽养殖污染执法监管，强化监督性监测，防止发生养殖污染事件。</w:t>
      </w:r>
    </w:p>
    <w:p>
      <w:pPr>
        <w:ind w:firstLine="640"/>
        <w:rPr>
          <w:rFonts w:hint="eastAsia"/>
          <w:kern w:val="0"/>
        </w:rPr>
      </w:pPr>
      <w:r>
        <w:rPr>
          <w:rFonts w:hint="eastAsia"/>
          <w:kern w:val="0"/>
        </w:rPr>
        <w:t>本文件自发布之日起施行，有效期五年。</w:t>
      </w:r>
    </w:p>
    <w:p>
      <w:pPr>
        <w:ind w:firstLine="640"/>
        <w:rPr>
          <w:kern w:val="0"/>
        </w:rPr>
      </w:pPr>
    </w:p>
    <w:p>
      <w:pPr>
        <w:ind w:firstLine="640"/>
        <w:rPr>
          <w:rFonts w:hint="eastAsia" w:eastAsia="华文仿宋"/>
          <w:color w:val="000000"/>
          <w:szCs w:val="32"/>
        </w:rPr>
      </w:pPr>
      <w:r>
        <w:rPr>
          <w:kern w:val="0"/>
        </w:rPr>
        <w:t>附件：湖南省规模以下养殖户粪污处理设施建设技术指南</w:t>
      </w:r>
      <w:r>
        <w:rPr>
          <w:rFonts w:eastAsia="华文仿宋"/>
          <w:color w:val="000000"/>
          <w:szCs w:val="32"/>
        </w:rPr>
        <w:t xml:space="preserve"> </w:t>
      </w:r>
    </w:p>
    <w:p>
      <w:pPr>
        <w:ind w:firstLine="640"/>
        <w:rPr>
          <w:rFonts w:hint="eastAsia" w:eastAsia="华文仿宋"/>
          <w:color w:val="000000"/>
          <w:szCs w:val="32"/>
        </w:rPr>
      </w:pPr>
    </w:p>
    <w:p>
      <w:pPr>
        <w:ind w:firstLine="640"/>
        <w:rPr>
          <w:rFonts w:eastAsia="华文仿宋"/>
          <w:color w:val="000000"/>
          <w:szCs w:val="32"/>
        </w:rPr>
      </w:pPr>
    </w:p>
    <w:p>
      <w:pPr>
        <w:ind w:right="640" w:rightChars="200" w:firstLine="0" w:firstLineChars="0"/>
        <w:rPr>
          <w:rFonts w:hint="eastAsia"/>
          <w:spacing w:val="20"/>
          <w:szCs w:val="32"/>
        </w:rPr>
      </w:pPr>
      <w:r>
        <w:rPr>
          <w:spacing w:val="20"/>
        </w:rPr>
        <w:t xml:space="preserve">                        </w:t>
      </w:r>
      <w:r>
        <w:rPr>
          <w:spacing w:val="20"/>
          <w:szCs w:val="32"/>
        </w:rPr>
        <w:t xml:space="preserve">  湖南省农业</w:t>
      </w:r>
      <w:r>
        <w:rPr>
          <w:rFonts w:hint="eastAsia"/>
          <w:spacing w:val="20"/>
          <w:szCs w:val="32"/>
        </w:rPr>
        <w:t>农村厅</w:t>
      </w:r>
    </w:p>
    <w:p>
      <w:pPr>
        <w:ind w:firstLine="640"/>
      </w:pPr>
      <w:r>
        <w:t xml:space="preserve">                             20</w:t>
      </w:r>
      <w:r>
        <w:rPr>
          <w:rFonts w:hint="eastAsia"/>
        </w:rPr>
        <w:t>22</w:t>
      </w:r>
      <w:r>
        <w:t>年</w:t>
      </w:r>
      <w:r>
        <w:rPr>
          <w:rFonts w:hint="eastAsia"/>
        </w:rPr>
        <w:t>11</w:t>
      </w:r>
      <w:r>
        <w:t>月2</w:t>
      </w:r>
      <w:r>
        <w:rPr>
          <w:rFonts w:hint="eastAsia"/>
        </w:rPr>
        <w:t>8</w:t>
      </w:r>
      <w:r>
        <w:t>日</w:t>
      </w:r>
    </w:p>
    <w:p>
      <w:pPr>
        <w:pStyle w:val="3"/>
        <w:ind w:firstLine="0" w:firstLineChars="0"/>
        <w:rPr>
          <w:kern w:val="0"/>
        </w:rPr>
      </w:pPr>
      <w:r>
        <w:br w:type="page"/>
      </w:r>
      <w:r>
        <w:rPr>
          <w:kern w:val="0"/>
        </w:rPr>
        <w:t>附件</w:t>
      </w:r>
    </w:p>
    <w:p>
      <w:pPr>
        <w:ind w:firstLine="640"/>
        <w:rPr>
          <w:kern w:val="0"/>
        </w:rPr>
      </w:pPr>
    </w:p>
    <w:p>
      <w:pPr>
        <w:pStyle w:val="2"/>
        <w:rPr>
          <w:kern w:val="0"/>
        </w:rPr>
      </w:pPr>
      <w:r>
        <w:rPr>
          <w:kern w:val="0"/>
        </w:rPr>
        <w:t>湖南省规模以下养殖户粪污处理设施建设</w:t>
      </w:r>
    </w:p>
    <w:p>
      <w:pPr>
        <w:pStyle w:val="2"/>
        <w:rPr>
          <w:kern w:val="0"/>
        </w:rPr>
      </w:pPr>
      <w:r>
        <w:rPr>
          <w:kern w:val="0"/>
        </w:rPr>
        <w:t>技 术 指 南</w:t>
      </w:r>
    </w:p>
    <w:p>
      <w:pPr>
        <w:ind w:firstLine="640"/>
        <w:rPr>
          <w:kern w:val="0"/>
        </w:rPr>
      </w:pPr>
    </w:p>
    <w:p>
      <w:pPr>
        <w:ind w:firstLine="640"/>
        <w:rPr>
          <w:kern w:val="0"/>
        </w:rPr>
      </w:pPr>
      <w:r>
        <w:rPr>
          <w:kern w:val="0"/>
        </w:rPr>
        <w:t>为贯彻落实湖南省人民政府办公厅印发的《湖南省畜禽规模养殖污染防治规定》（湘政办发</w:t>
      </w:r>
      <w:r>
        <w:rPr>
          <w:rFonts w:eastAsia="楷体_GB2312"/>
          <w:kern w:val="0"/>
        </w:rPr>
        <w:t>〔</w:t>
      </w:r>
      <w:r>
        <w:rPr>
          <w:kern w:val="0"/>
        </w:rPr>
        <w:t>2022</w:t>
      </w:r>
      <w:r>
        <w:rPr>
          <w:rFonts w:eastAsia="楷体_GB2312"/>
          <w:kern w:val="0"/>
        </w:rPr>
        <w:t>〕</w:t>
      </w:r>
      <w:r>
        <w:rPr>
          <w:kern w:val="0"/>
        </w:rPr>
        <w:t>46号）、《湖南省畜禽养殖污染防治规划（2021年-2025年）》（湘环发〔2022〕21号）精神，按照农业农村部办公厅生态环境部办公厅《关于印发〈畜禽养殖场（户）粪污处理设施建设技术指南〉的通知》要求，为进一步规范规模以下畜禽养殖生产行为，指导规模以下养殖户科学合理建设畜禽粪污处理利用设施，特制定本技术指南。</w:t>
      </w:r>
    </w:p>
    <w:p>
      <w:pPr>
        <w:pStyle w:val="3"/>
        <w:ind w:firstLine="640"/>
        <w:rPr>
          <w:kern w:val="0"/>
        </w:rPr>
      </w:pPr>
      <w:r>
        <w:rPr>
          <w:kern w:val="0"/>
        </w:rPr>
        <w:t>一、畜禽养殖户和散养户的定义与界定标准</w:t>
      </w:r>
    </w:p>
    <w:p>
      <w:pPr>
        <w:ind w:firstLine="643"/>
        <w:rPr>
          <w:kern w:val="0"/>
        </w:rPr>
      </w:pPr>
      <w:r>
        <w:rPr>
          <w:rStyle w:val="23"/>
        </w:rPr>
        <w:t>1.规模以下养殖户。</w:t>
      </w:r>
      <w:r>
        <w:rPr>
          <w:kern w:val="0"/>
        </w:rPr>
        <w:t>指养殖数量未达到畜禽规模养殖场标准的畜禽养殖户。畜禽养殖户标准按照《湖南省畜禽规模养殖污染防治规定》的划分标准：50头</w:t>
      </w:r>
      <w:r>
        <w:rPr>
          <w:rFonts w:hAnsi="仿宋"/>
          <w:kern w:val="0"/>
        </w:rPr>
        <w:t>≦</w:t>
      </w:r>
      <w:r>
        <w:rPr>
          <w:kern w:val="0"/>
        </w:rPr>
        <w:t>生猪年出栏量＜500头、5头</w:t>
      </w:r>
      <w:r>
        <w:rPr>
          <w:rFonts w:hAnsi="仿宋"/>
          <w:kern w:val="0"/>
        </w:rPr>
        <w:t>≦</w:t>
      </w:r>
      <w:r>
        <w:rPr>
          <w:kern w:val="0"/>
        </w:rPr>
        <w:t>奶牛存栏量＜50头、10头</w:t>
      </w:r>
      <w:r>
        <w:rPr>
          <w:rFonts w:hAnsi="仿宋"/>
          <w:kern w:val="0"/>
        </w:rPr>
        <w:t>≦</w:t>
      </w:r>
      <w:r>
        <w:rPr>
          <w:kern w:val="0"/>
        </w:rPr>
        <w:t>肉牛年出栏量＜100头、150只</w:t>
      </w:r>
      <w:r>
        <w:rPr>
          <w:rFonts w:hAnsi="仿宋"/>
          <w:kern w:val="0"/>
        </w:rPr>
        <w:t>≦</w:t>
      </w:r>
      <w:r>
        <w:rPr>
          <w:kern w:val="0"/>
        </w:rPr>
        <w:t>羊年出栏量＜1500只、1500只</w:t>
      </w:r>
      <w:r>
        <w:rPr>
          <w:rFonts w:hAnsi="仿宋"/>
          <w:kern w:val="0"/>
        </w:rPr>
        <w:t>≦</w:t>
      </w:r>
      <w:r>
        <w:rPr>
          <w:kern w:val="0"/>
        </w:rPr>
        <w:t>兔年出栏量＜15000只、2000羽</w:t>
      </w:r>
      <w:r>
        <w:rPr>
          <w:rFonts w:hAnsi="仿宋"/>
          <w:kern w:val="0"/>
        </w:rPr>
        <w:t>≦</w:t>
      </w:r>
      <w:r>
        <w:rPr>
          <w:kern w:val="0"/>
        </w:rPr>
        <w:t>肉鸡年出栏量＜30000羽、500羽</w:t>
      </w:r>
      <w:r>
        <w:rPr>
          <w:rFonts w:hAnsi="仿宋"/>
          <w:kern w:val="0"/>
        </w:rPr>
        <w:t>≦</w:t>
      </w:r>
      <w:r>
        <w:rPr>
          <w:kern w:val="0"/>
        </w:rPr>
        <w:t>蛋鸡存栏量＜15000羽、2000羽</w:t>
      </w:r>
      <w:r>
        <w:rPr>
          <w:rFonts w:hAnsi="仿宋"/>
          <w:kern w:val="0"/>
        </w:rPr>
        <w:t>≦</w:t>
      </w:r>
      <w:r>
        <w:rPr>
          <w:kern w:val="0"/>
        </w:rPr>
        <w:t>肉鸭年出栏量＜30000羽、500羽</w:t>
      </w:r>
      <w:r>
        <w:rPr>
          <w:rFonts w:hAnsi="仿宋"/>
          <w:kern w:val="0"/>
        </w:rPr>
        <w:t>≦</w:t>
      </w:r>
      <w:r>
        <w:rPr>
          <w:kern w:val="0"/>
        </w:rPr>
        <w:t>蛋鸭存栏量＜15000羽、2000羽</w:t>
      </w:r>
      <w:r>
        <w:rPr>
          <w:rFonts w:hAnsi="仿宋"/>
          <w:kern w:val="0"/>
        </w:rPr>
        <w:t>≦</w:t>
      </w:r>
      <w:r>
        <w:rPr>
          <w:kern w:val="0"/>
        </w:rPr>
        <w:t>肉鹅年出栏量＜15000羽、500羽</w:t>
      </w:r>
      <w:r>
        <w:rPr>
          <w:rFonts w:hAnsi="仿宋"/>
          <w:kern w:val="0"/>
        </w:rPr>
        <w:t>≦</w:t>
      </w:r>
      <w:r>
        <w:rPr>
          <w:kern w:val="0"/>
        </w:rPr>
        <w:t>蛋鹅存栏量＜7500羽；其他畜禽种类畜禽养殖户标准由各市州结合实际确定。</w:t>
      </w:r>
    </w:p>
    <w:p>
      <w:pPr>
        <w:ind w:firstLine="643"/>
        <w:rPr>
          <w:kern w:val="0"/>
        </w:rPr>
      </w:pPr>
      <w:r>
        <w:rPr>
          <w:rStyle w:val="23"/>
        </w:rPr>
        <w:t>2.散养户。</w:t>
      </w:r>
      <w:r>
        <w:rPr>
          <w:kern w:val="0"/>
        </w:rPr>
        <w:t>指养殖数量在畜禽养殖户标准以下的为散养户。散养户应具备与之饲养规模相匹配的场地环境条件。</w:t>
      </w:r>
    </w:p>
    <w:p>
      <w:pPr>
        <w:pStyle w:val="3"/>
        <w:ind w:firstLine="640"/>
        <w:rPr>
          <w:kern w:val="0"/>
        </w:rPr>
      </w:pPr>
      <w:r>
        <w:rPr>
          <w:kern w:val="0"/>
        </w:rPr>
        <w:t>二、主要建设内容</w:t>
      </w:r>
    </w:p>
    <w:p>
      <w:pPr>
        <w:ind w:firstLine="643"/>
        <w:rPr>
          <w:kern w:val="0"/>
        </w:rPr>
      </w:pPr>
      <w:r>
        <w:rPr>
          <w:rStyle w:val="23"/>
        </w:rPr>
        <w:t>1.源头节水设施。</w:t>
      </w:r>
      <w:r>
        <w:rPr>
          <w:kern w:val="0"/>
        </w:rPr>
        <w:t>畜禽养殖户应采用节水型饮水器，改鸭嘴式饮水器为节水碗或限位式饮水器。新建、改扩建的畜禽栏舍应采用干清粪工艺；现有采用水冲粪、水泡粪工艺的，要控制用水量，减少粪污产生总量，鼓励改为干清粪工艺；畜禽栏舍冲洗尽量采用高压冲洗设备，减少冲洗用水量。</w:t>
      </w:r>
    </w:p>
    <w:p>
      <w:pPr>
        <w:ind w:firstLine="643"/>
        <w:rPr>
          <w:kern w:val="0"/>
        </w:rPr>
      </w:pPr>
      <w:r>
        <w:rPr>
          <w:rStyle w:val="23"/>
        </w:rPr>
        <w:t>2.雨污分流设施。</w:t>
      </w:r>
      <w:r>
        <w:rPr>
          <w:kern w:val="0"/>
        </w:rPr>
        <w:t>饲养区应建雨污分流设施，在畜禽栏舍的屋檐水收集侧，修建雨水明沟明渠，屋面雨水也可采用导水槽收集后，经排水管道汇入雨水收集池，鼓励收集后的雨水循环利用。污水沟应设置在畜禽栏舍内或屋檐内侧，畜禽尿液和冲洗污水由栏舍内污水沟经暗管或暗沟与舍外收集暗管（沟）相连，最后汇集进入污水储存设施。</w:t>
      </w:r>
    </w:p>
    <w:p>
      <w:pPr>
        <w:ind w:firstLine="643"/>
        <w:rPr>
          <w:kern w:val="0"/>
        </w:rPr>
      </w:pPr>
      <w:r>
        <w:rPr>
          <w:rStyle w:val="23"/>
        </w:rPr>
        <w:t>3.固体粪便贮存与处理设施。</w:t>
      </w:r>
      <w:r>
        <w:rPr>
          <w:kern w:val="0"/>
        </w:rPr>
        <w:t>畜禽养殖户应建设堆粪棚（干粪棚），堆粪棚宜为独立基础和框架结构、屋檐高度根据粪污粪肥进出方便确定；矮墙高度应在1.0m－1.5m之间，墙体应采用砖混或混泥土结构，墙面应用水泥抹面并做防潮防水处理；地面应做硬化处理，并做好防水、防渗漏处理；屋面宜采用阳光板等耐高温防腐蚀材料；堆粪棚应具有一定程度的防风和抗压能力。</w:t>
      </w:r>
    </w:p>
    <w:p>
      <w:pPr>
        <w:ind w:firstLine="643"/>
        <w:rPr>
          <w:kern w:val="0"/>
        </w:rPr>
      </w:pPr>
      <w:r>
        <w:rPr>
          <w:rStyle w:val="23"/>
        </w:rPr>
        <w:t>4.液体粪污储存与处理设施。</w:t>
      </w:r>
      <w:r>
        <w:rPr>
          <w:kern w:val="0"/>
        </w:rPr>
        <w:t>畜禽养殖户根据自身具体情况，合理确定建设液体粪污储存设施。封闭式储存池，建议采用三级或多级沉淀池，池体采用混泥土或砖混结构的，要做好防渗处理，同时要设置排气管（孔）；敞口式储存池可采用PE黑膜材料制作，要做好防雨措施；储存池应具有一定程度的抗侧压、抗洪能力。畜禽养殖户购置成品液体粪污储存处理设施，应为正规厂家产品，质量合格。固体、液体粪污储存与处理设施周围均应建设安全防护设施，并设置明显的警示标志，防止人、畜跌落，防燃防爆。</w:t>
      </w:r>
    </w:p>
    <w:p>
      <w:pPr>
        <w:pStyle w:val="3"/>
        <w:ind w:firstLine="640"/>
        <w:rPr>
          <w:kern w:val="0"/>
        </w:rPr>
      </w:pPr>
      <w:r>
        <w:rPr>
          <w:rFonts w:hint="eastAsia"/>
          <w:kern w:val="0"/>
        </w:rPr>
        <w:t>三</w:t>
      </w:r>
      <w:r>
        <w:rPr>
          <w:kern w:val="0"/>
        </w:rPr>
        <w:t>、设施建设容积标准</w:t>
      </w:r>
    </w:p>
    <w:p>
      <w:pPr>
        <w:ind w:firstLine="0" w:firstLineChars="0"/>
        <w:rPr>
          <w:rFonts w:hint="eastAsia"/>
        </w:rPr>
      </w:pPr>
      <w:r>
        <w:rPr>
          <w:kern w:val="0"/>
        </w:rPr>
        <w:t>鼓励畜禽养殖户采取种养结合模式就近就地消纳，也可将畜禽养殖废弃物交给第三方处理。原则上固体粪污贮存时间不低于60天、液体粪污贮存时间不低于90天，根据养殖畜种、存栏量、粪污处理工艺等情况，确定设施建设的有效容积。畜禽粪污储存处理设施有效容积和种养结合配套消纳面积标准，具体参照农业农村部《畜禽粪污土地承载力测算技术指南》（农办牧〔2018〕1号）。</w:t>
      </w:r>
    </w:p>
    <w:p>
      <w:pPr>
        <w:ind w:firstLine="640"/>
      </w:pPr>
    </w:p>
    <w:p>
      <w:pPr>
        <w:ind w:firstLine="640"/>
      </w:pPr>
    </w:p>
    <w:p>
      <w:pPr>
        <w:pStyle w:val="5"/>
        <w:spacing w:before="289" w:after="289"/>
        <w:ind w:firstLine="640"/>
        <w:rPr>
          <w:color w:val="00000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widowControl/>
        <w:shd w:val="clear" w:color="auto" w:fill="FFFFFF"/>
        <w:spacing w:line="560" w:lineRule="exact"/>
        <w:ind w:firstLine="0" w:firstLineChars="0"/>
        <w:jc w:val="left"/>
        <w:rPr>
          <w:rFonts w:eastAsia="仿宋"/>
          <w:color w:val="000000"/>
          <w:kern w:val="0"/>
          <w:szCs w:val="32"/>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rFonts w:hint="eastAsia"/>
          <w:color w:val="000000"/>
        </w:rPr>
      </w:pPr>
    </w:p>
    <w:p>
      <w:pPr>
        <w:ind w:firstLine="640"/>
        <w:rPr>
          <w:rFonts w:hint="eastAsia"/>
          <w:color w:val="000000"/>
        </w:rPr>
      </w:pPr>
    </w:p>
    <w:p>
      <w:pPr>
        <w:ind w:firstLine="640"/>
        <w:rPr>
          <w:rFonts w:hint="eastAsia"/>
          <w:color w:val="000000"/>
        </w:rPr>
      </w:pPr>
    </w:p>
    <w:p>
      <w:pPr>
        <w:ind w:firstLine="640"/>
        <w:rPr>
          <w:rFonts w:hint="eastAsia"/>
          <w:color w:val="000000"/>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hint="eastAsia" w:ascii="Times New Roman" w:hAnsi="Times New Roman" w:eastAsia="仿宋_GB2312" w:cs="Times New Roman"/>
          <w:color w:val="000000"/>
          <w:sz w:val="32"/>
          <w:szCs w:val="32"/>
        </w:rPr>
      </w:pPr>
    </w:p>
    <w:p>
      <w:pPr>
        <w:pStyle w:val="8"/>
        <w:spacing w:line="40" w:lineRule="exact"/>
        <w:ind w:firstLine="640" w:firstLineChars="200"/>
        <w:rPr>
          <w:rFonts w:hint="eastAsia" w:ascii="Times New Roman" w:hAnsi="Times New Roman" w:eastAsia="仿宋_GB2312" w:cs="Times New Roman"/>
          <w:color w:val="000000"/>
          <w:sz w:val="32"/>
          <w:szCs w:val="32"/>
        </w:rPr>
      </w:pPr>
    </w:p>
    <w:p>
      <w:pPr>
        <w:pStyle w:val="8"/>
        <w:spacing w:line="40" w:lineRule="exact"/>
        <w:ind w:firstLine="640" w:firstLineChars="200"/>
        <w:rPr>
          <w:rFonts w:hint="eastAsia" w:ascii="Times New Roman" w:hAnsi="Times New Roman" w:eastAsia="仿宋_GB2312" w:cs="Times New Roman"/>
          <w:color w:val="000000"/>
          <w:sz w:val="32"/>
          <w:szCs w:val="32"/>
        </w:rPr>
      </w:pPr>
    </w:p>
    <w:p>
      <w:pPr>
        <w:pStyle w:val="8"/>
        <w:spacing w:line="40" w:lineRule="exact"/>
        <w:ind w:firstLine="640" w:firstLineChars="200"/>
        <w:rPr>
          <w:rFonts w:hint="eastAsia"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spacing w:line="520" w:lineRule="exact"/>
        <w:ind w:firstLine="0" w:firstLineChars="0"/>
        <w:rPr>
          <w:rFonts w:eastAsia="方正小标宋简体"/>
          <w:color w:val="000000"/>
          <w:sz w:val="28"/>
          <w:szCs w:val="28"/>
        </w:rPr>
      </w:pPr>
      <w:r>
        <w:rPr>
          <w:rFonts w:hint="eastAsia" w:eastAsia="黑体"/>
          <w:color w:val="000000"/>
          <w:sz w:val="28"/>
          <w:szCs w:val="28"/>
        </w:rPr>
        <w:t>信息公开选项：</w:t>
      </w:r>
      <w:r>
        <w:rPr>
          <w:rFonts w:hint="eastAsia" w:eastAsia="方正小标宋简体"/>
          <w:color w:val="000000"/>
          <w:sz w:val="28"/>
          <w:szCs w:val="28"/>
        </w:rPr>
        <w:t>公开</w:t>
      </w:r>
    </w:p>
    <w:p>
      <w:pPr>
        <w:spacing w:line="560" w:lineRule="exact"/>
        <w:ind w:firstLine="320" w:firstLineChars="100"/>
        <w:rPr>
          <w:rFonts w:hint="eastAsia"/>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5615940" cy="0"/>
                <wp:effectExtent l="0" t="0" r="0" b="0"/>
                <wp:wrapNone/>
                <wp:docPr id="1" name="直线 42"/>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0pt;margin-top:1.05pt;height:0pt;width:442.2pt;z-index:251659264;mso-width-relative:page;mso-height-relative:page;" filled="f" stroked="t" coordsize="21600,21600" o:gfxdata="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5h1ftMAAAAE&#10;AQAADwAAAAAAAAABACAAAAAiAAAAZHJzL2Rvd25yZXYueG1sUEsBAhQAFAAAAAgAh07iQArt4Tro&#10;AQAA3AMAAA4AAAAAAAAAAQAgAAAAIgEAAGRycy9lMm9Eb2MueG1sUEsFBgAAAAAGAAYAWQEAAHwF&#10;AAAAAA==&#10;">
                <v:fill on="f" focussize="0,0"/>
                <v:stroke weight="0.35pt" color="#000000" joinstyle="round"/>
                <v:imagedata o:title=""/>
                <o:lock v:ext="edit" aspectratio="f"/>
              </v:lin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15940" cy="0"/>
                <wp:effectExtent l="0" t="0" r="0" b="0"/>
                <wp:wrapNone/>
                <wp:docPr id="2" name="直线 43"/>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0pt;margin-top:30.95pt;height:0pt;width:442.2pt;z-index:251660288;mso-width-relative:page;mso-height-relative:page;" filled="f" stroked="t" coordsize="21600,21600" o:gfxdata="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KrxHtUA&#10;AAAGAQAADwAAAAAAAAABACAAAAAiAAAAZHJzL2Rvd25yZXYueG1sUEsBAhQAFAAAAAgAh07iQDxX&#10;ha7pAQAA3AMAAA4AAAAAAAAAAQAgAAAAJAEAAGRycy9lMm9Eb2MueG1sUEsFBgAAAAAGAAYAWQEA&#10;AH8FAAAAAA==&#10;">
                <v:fill on="f" focussize="0,0"/>
                <v:stroke weight="0.35pt" color="#000000" joinstyle="round"/>
                <v:imagedata o:title=""/>
                <o:lock v:ext="edit" aspectratio="f"/>
              </v:line>
            </w:pict>
          </mc:Fallback>
        </mc:AlternateContent>
      </w:r>
      <w:r>
        <w:rPr>
          <w:rFonts w:hint="eastAsia"/>
          <w:color w:val="000000"/>
          <w:sz w:val="28"/>
          <w:szCs w:val="28"/>
        </w:rPr>
        <w:t>湖南省农业农村厅办公室</w:t>
      </w:r>
      <w:r>
        <w:rPr>
          <w:color w:val="000000"/>
          <w:sz w:val="28"/>
          <w:szCs w:val="28"/>
        </w:rPr>
        <w:t xml:space="preserve">                20</w:t>
      </w:r>
      <w:r>
        <w:rPr>
          <w:rFonts w:hint="eastAsia"/>
          <w:color w:val="000000"/>
          <w:sz w:val="28"/>
          <w:szCs w:val="28"/>
        </w:rPr>
        <w:t>22年12月27日印发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0" w:firstLineChars="0"/>
      <w:rPr>
        <w:rStyle w:val="19"/>
        <w:sz w:val="28"/>
        <w:szCs w:val="28"/>
      </w:rPr>
    </w:pPr>
    <w:r>
      <w:rPr>
        <w:rStyle w:val="19"/>
        <w:rFonts w:hint="eastAsia"/>
        <w:sz w:val="28"/>
        <w:szCs w:val="28"/>
      </w:rPr>
      <w:t>—</w:t>
    </w:r>
    <w:r>
      <w:rPr>
        <w:sz w:val="28"/>
        <w:szCs w:val="28"/>
      </w:rPr>
      <w:fldChar w:fldCharType="begin"/>
    </w:r>
    <w:r>
      <w:rPr>
        <w:rStyle w:val="19"/>
        <w:sz w:val="28"/>
        <w:szCs w:val="28"/>
      </w:rPr>
      <w:instrText xml:space="preserve">PAGE  </w:instrText>
    </w:r>
    <w:r>
      <w:rPr>
        <w:sz w:val="28"/>
        <w:szCs w:val="28"/>
      </w:rPr>
      <w:fldChar w:fldCharType="separate"/>
    </w:r>
    <w:r>
      <w:rPr>
        <w:rStyle w:val="19"/>
        <w:sz w:val="28"/>
        <w:szCs w:val="28"/>
        <w:lang/>
      </w:rPr>
      <w:t>1</w:t>
    </w:r>
    <w:r>
      <w:rPr>
        <w:sz w:val="28"/>
        <w:szCs w:val="28"/>
      </w:rPr>
      <w:fldChar w:fldCharType="end"/>
    </w:r>
    <w:r>
      <w:rPr>
        <w:rStyle w:val="19"/>
        <w:rFonts w:hint="eastAsia"/>
        <w:sz w:val="28"/>
        <w:szCs w:val="28"/>
      </w:rPr>
      <w:t>—</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360"/>
      <w:rPr>
        <w:rStyle w:val="19"/>
      </w:rPr>
    </w:pPr>
    <w:r>
      <w:fldChar w:fldCharType="begin"/>
    </w:r>
    <w:r>
      <w:rPr>
        <w:rStyle w:val="19"/>
      </w:rPr>
      <w:instrText xml:space="preserve">PAGE  </w:instrText>
    </w:r>
    <w:r>
      <w:fldChar w:fldCharType="separate"/>
    </w:r>
    <w:r>
      <w:rPr>
        <w:rStyle w:val="19"/>
        <w:lang/>
      </w:rPr>
      <w:t>2</w: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16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251ED1"/>
    <w:rsid w:val="00001D0D"/>
    <w:rsid w:val="00006C32"/>
    <w:rsid w:val="000070BB"/>
    <w:rsid w:val="00007908"/>
    <w:rsid w:val="00007A2A"/>
    <w:rsid w:val="0004127B"/>
    <w:rsid w:val="00061E0A"/>
    <w:rsid w:val="000651D7"/>
    <w:rsid w:val="00081764"/>
    <w:rsid w:val="00090311"/>
    <w:rsid w:val="00091522"/>
    <w:rsid w:val="000C1B41"/>
    <w:rsid w:val="000D695F"/>
    <w:rsid w:val="000D7E84"/>
    <w:rsid w:val="000F43A1"/>
    <w:rsid w:val="00105649"/>
    <w:rsid w:val="0010709A"/>
    <w:rsid w:val="001268CD"/>
    <w:rsid w:val="00130888"/>
    <w:rsid w:val="00136317"/>
    <w:rsid w:val="00137536"/>
    <w:rsid w:val="001377BA"/>
    <w:rsid w:val="0015554F"/>
    <w:rsid w:val="0019261B"/>
    <w:rsid w:val="001B6E9A"/>
    <w:rsid w:val="001C22AE"/>
    <w:rsid w:val="001C7FE3"/>
    <w:rsid w:val="001D4AFD"/>
    <w:rsid w:val="001E56FA"/>
    <w:rsid w:val="001F7E44"/>
    <w:rsid w:val="0020637D"/>
    <w:rsid w:val="002121D0"/>
    <w:rsid w:val="00215AAE"/>
    <w:rsid w:val="002450AD"/>
    <w:rsid w:val="00251ED1"/>
    <w:rsid w:val="00292204"/>
    <w:rsid w:val="00293EAF"/>
    <w:rsid w:val="00293F32"/>
    <w:rsid w:val="002A3CA4"/>
    <w:rsid w:val="002C02DE"/>
    <w:rsid w:val="002C2BE9"/>
    <w:rsid w:val="002C6F29"/>
    <w:rsid w:val="002D5F5D"/>
    <w:rsid w:val="002E37FF"/>
    <w:rsid w:val="002F4908"/>
    <w:rsid w:val="002F4C64"/>
    <w:rsid w:val="002F5464"/>
    <w:rsid w:val="003326BD"/>
    <w:rsid w:val="00340785"/>
    <w:rsid w:val="00346980"/>
    <w:rsid w:val="00354E3D"/>
    <w:rsid w:val="00361BA3"/>
    <w:rsid w:val="003837BF"/>
    <w:rsid w:val="003A225C"/>
    <w:rsid w:val="003B61D2"/>
    <w:rsid w:val="003B68C1"/>
    <w:rsid w:val="003D1A2E"/>
    <w:rsid w:val="003D383D"/>
    <w:rsid w:val="003D4160"/>
    <w:rsid w:val="003E6E7A"/>
    <w:rsid w:val="003F569A"/>
    <w:rsid w:val="003F6070"/>
    <w:rsid w:val="003F6FAE"/>
    <w:rsid w:val="003F7FA2"/>
    <w:rsid w:val="0041133A"/>
    <w:rsid w:val="0042011E"/>
    <w:rsid w:val="0042601C"/>
    <w:rsid w:val="00427D75"/>
    <w:rsid w:val="00435CF9"/>
    <w:rsid w:val="00447ED8"/>
    <w:rsid w:val="00457133"/>
    <w:rsid w:val="00460443"/>
    <w:rsid w:val="004645D7"/>
    <w:rsid w:val="00470C1E"/>
    <w:rsid w:val="0048169E"/>
    <w:rsid w:val="00491265"/>
    <w:rsid w:val="004A4F35"/>
    <w:rsid w:val="004B4FE9"/>
    <w:rsid w:val="004D0131"/>
    <w:rsid w:val="004E6FE0"/>
    <w:rsid w:val="00520B7F"/>
    <w:rsid w:val="00527AFA"/>
    <w:rsid w:val="005357A5"/>
    <w:rsid w:val="00547ADF"/>
    <w:rsid w:val="005513D6"/>
    <w:rsid w:val="00562F03"/>
    <w:rsid w:val="005630F8"/>
    <w:rsid w:val="00570F7F"/>
    <w:rsid w:val="00576DA7"/>
    <w:rsid w:val="005B16E7"/>
    <w:rsid w:val="005F0127"/>
    <w:rsid w:val="005F5909"/>
    <w:rsid w:val="00606BEA"/>
    <w:rsid w:val="00620A06"/>
    <w:rsid w:val="00623F5C"/>
    <w:rsid w:val="00635979"/>
    <w:rsid w:val="006867BE"/>
    <w:rsid w:val="00687D51"/>
    <w:rsid w:val="00690E4B"/>
    <w:rsid w:val="0069343F"/>
    <w:rsid w:val="006B0675"/>
    <w:rsid w:val="006B2A1B"/>
    <w:rsid w:val="006B44B2"/>
    <w:rsid w:val="006C1646"/>
    <w:rsid w:val="006C1E2E"/>
    <w:rsid w:val="006C285B"/>
    <w:rsid w:val="006C38AC"/>
    <w:rsid w:val="006C5097"/>
    <w:rsid w:val="006D159C"/>
    <w:rsid w:val="006D180D"/>
    <w:rsid w:val="006D57C6"/>
    <w:rsid w:val="006E5060"/>
    <w:rsid w:val="006E5C7E"/>
    <w:rsid w:val="006E6528"/>
    <w:rsid w:val="0070643A"/>
    <w:rsid w:val="00706782"/>
    <w:rsid w:val="00711091"/>
    <w:rsid w:val="007130C8"/>
    <w:rsid w:val="0073058D"/>
    <w:rsid w:val="00731FD8"/>
    <w:rsid w:val="00733089"/>
    <w:rsid w:val="0073790C"/>
    <w:rsid w:val="0074608C"/>
    <w:rsid w:val="0075390B"/>
    <w:rsid w:val="007568E8"/>
    <w:rsid w:val="00773DAA"/>
    <w:rsid w:val="00783D94"/>
    <w:rsid w:val="00791964"/>
    <w:rsid w:val="007B6D99"/>
    <w:rsid w:val="007D10F7"/>
    <w:rsid w:val="007F4C07"/>
    <w:rsid w:val="007F732C"/>
    <w:rsid w:val="0080406F"/>
    <w:rsid w:val="008053E0"/>
    <w:rsid w:val="00812925"/>
    <w:rsid w:val="00821DD4"/>
    <w:rsid w:val="00822CC0"/>
    <w:rsid w:val="00823403"/>
    <w:rsid w:val="00825531"/>
    <w:rsid w:val="008413A8"/>
    <w:rsid w:val="008623AE"/>
    <w:rsid w:val="008801BC"/>
    <w:rsid w:val="0088031F"/>
    <w:rsid w:val="008849F7"/>
    <w:rsid w:val="00891B53"/>
    <w:rsid w:val="00894C34"/>
    <w:rsid w:val="008B6A32"/>
    <w:rsid w:val="008C17DA"/>
    <w:rsid w:val="008E7182"/>
    <w:rsid w:val="008F5E38"/>
    <w:rsid w:val="008F7A7F"/>
    <w:rsid w:val="00901CF8"/>
    <w:rsid w:val="0090777C"/>
    <w:rsid w:val="00917217"/>
    <w:rsid w:val="0093506A"/>
    <w:rsid w:val="00962E71"/>
    <w:rsid w:val="00964ADC"/>
    <w:rsid w:val="0097251B"/>
    <w:rsid w:val="00975EF5"/>
    <w:rsid w:val="00977FED"/>
    <w:rsid w:val="009A23D6"/>
    <w:rsid w:val="009A6FFC"/>
    <w:rsid w:val="009B48A8"/>
    <w:rsid w:val="009B6E9B"/>
    <w:rsid w:val="009C269B"/>
    <w:rsid w:val="009C4BA5"/>
    <w:rsid w:val="009F168E"/>
    <w:rsid w:val="009F1EF4"/>
    <w:rsid w:val="00A0669D"/>
    <w:rsid w:val="00A32391"/>
    <w:rsid w:val="00A36FEC"/>
    <w:rsid w:val="00A43102"/>
    <w:rsid w:val="00A70CA8"/>
    <w:rsid w:val="00A75C4C"/>
    <w:rsid w:val="00A86E3A"/>
    <w:rsid w:val="00AA1884"/>
    <w:rsid w:val="00AA65DD"/>
    <w:rsid w:val="00AA771C"/>
    <w:rsid w:val="00AB6476"/>
    <w:rsid w:val="00AB7578"/>
    <w:rsid w:val="00AC42EF"/>
    <w:rsid w:val="00AD233F"/>
    <w:rsid w:val="00AD4BBF"/>
    <w:rsid w:val="00AD7358"/>
    <w:rsid w:val="00AE253A"/>
    <w:rsid w:val="00AF2506"/>
    <w:rsid w:val="00B01682"/>
    <w:rsid w:val="00B06F20"/>
    <w:rsid w:val="00B10150"/>
    <w:rsid w:val="00B147B6"/>
    <w:rsid w:val="00B15CE7"/>
    <w:rsid w:val="00B235FD"/>
    <w:rsid w:val="00B23B84"/>
    <w:rsid w:val="00B24AE3"/>
    <w:rsid w:val="00B32A8A"/>
    <w:rsid w:val="00B4037B"/>
    <w:rsid w:val="00B54BBB"/>
    <w:rsid w:val="00B624A4"/>
    <w:rsid w:val="00B663B8"/>
    <w:rsid w:val="00B6716C"/>
    <w:rsid w:val="00B674E4"/>
    <w:rsid w:val="00B718C5"/>
    <w:rsid w:val="00B84606"/>
    <w:rsid w:val="00B84A53"/>
    <w:rsid w:val="00B8517D"/>
    <w:rsid w:val="00B94656"/>
    <w:rsid w:val="00BA0AD0"/>
    <w:rsid w:val="00BA7C79"/>
    <w:rsid w:val="00BB3DE4"/>
    <w:rsid w:val="00BB5CD8"/>
    <w:rsid w:val="00BB65B3"/>
    <w:rsid w:val="00BB6AD1"/>
    <w:rsid w:val="00BC2F50"/>
    <w:rsid w:val="00BC7E4F"/>
    <w:rsid w:val="00BD741D"/>
    <w:rsid w:val="00BD7E03"/>
    <w:rsid w:val="00BF0BFB"/>
    <w:rsid w:val="00BF1477"/>
    <w:rsid w:val="00C0213D"/>
    <w:rsid w:val="00C044E5"/>
    <w:rsid w:val="00C073A0"/>
    <w:rsid w:val="00C1755D"/>
    <w:rsid w:val="00C3421B"/>
    <w:rsid w:val="00C41B1C"/>
    <w:rsid w:val="00C73CAE"/>
    <w:rsid w:val="00C8160B"/>
    <w:rsid w:val="00C86A8F"/>
    <w:rsid w:val="00C975DF"/>
    <w:rsid w:val="00CB5512"/>
    <w:rsid w:val="00CC3B15"/>
    <w:rsid w:val="00CC44D1"/>
    <w:rsid w:val="00CC6D71"/>
    <w:rsid w:val="00CF7FE3"/>
    <w:rsid w:val="00D01B31"/>
    <w:rsid w:val="00D05401"/>
    <w:rsid w:val="00D10CA4"/>
    <w:rsid w:val="00D117AE"/>
    <w:rsid w:val="00D20223"/>
    <w:rsid w:val="00D24718"/>
    <w:rsid w:val="00D508AA"/>
    <w:rsid w:val="00D66493"/>
    <w:rsid w:val="00D7010C"/>
    <w:rsid w:val="00D7623D"/>
    <w:rsid w:val="00D7641E"/>
    <w:rsid w:val="00D82337"/>
    <w:rsid w:val="00D95331"/>
    <w:rsid w:val="00D96068"/>
    <w:rsid w:val="00DB0290"/>
    <w:rsid w:val="00DF1B80"/>
    <w:rsid w:val="00DF2AA3"/>
    <w:rsid w:val="00E06D71"/>
    <w:rsid w:val="00E3159F"/>
    <w:rsid w:val="00E3393A"/>
    <w:rsid w:val="00E56355"/>
    <w:rsid w:val="00E60CDB"/>
    <w:rsid w:val="00E720E8"/>
    <w:rsid w:val="00E845D7"/>
    <w:rsid w:val="00EB13FB"/>
    <w:rsid w:val="00EB3EA1"/>
    <w:rsid w:val="00EB73DF"/>
    <w:rsid w:val="00EC508F"/>
    <w:rsid w:val="00EC7DD2"/>
    <w:rsid w:val="00ED4053"/>
    <w:rsid w:val="00EF0B1C"/>
    <w:rsid w:val="00EF3047"/>
    <w:rsid w:val="00F07B36"/>
    <w:rsid w:val="00F451CB"/>
    <w:rsid w:val="00F472A5"/>
    <w:rsid w:val="00F509BB"/>
    <w:rsid w:val="00F567D6"/>
    <w:rsid w:val="00F7403A"/>
    <w:rsid w:val="00F8230A"/>
    <w:rsid w:val="00F946ED"/>
    <w:rsid w:val="00F96F2F"/>
    <w:rsid w:val="00FA113D"/>
    <w:rsid w:val="00FA6FE8"/>
    <w:rsid w:val="00FB4C0B"/>
    <w:rsid w:val="00FC3452"/>
    <w:rsid w:val="00FE59BB"/>
    <w:rsid w:val="42054A5B"/>
    <w:rsid w:val="596649F4"/>
    <w:rsid w:val="74CD5B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2">
    <w:name w:val="heading 1"/>
    <w:basedOn w:val="1"/>
    <w:next w:val="1"/>
    <w:link w:val="26"/>
    <w:qFormat/>
    <w:uiPriority w:val="0"/>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link w:val="28"/>
    <w:qFormat/>
    <w:uiPriority w:val="0"/>
    <w:pPr>
      <w:outlineLvl w:val="1"/>
    </w:pPr>
    <w:rPr>
      <w:rFonts w:eastAsia="黑体"/>
      <w:bCs/>
      <w:szCs w:val="32"/>
    </w:rPr>
  </w:style>
  <w:style w:type="paragraph" w:styleId="4">
    <w:name w:val="heading 3"/>
    <w:basedOn w:val="1"/>
    <w:next w:val="1"/>
    <w:link w:val="23"/>
    <w:qFormat/>
    <w:uiPriority w:val="0"/>
    <w:pPr>
      <w:outlineLvl w:val="2"/>
    </w:pPr>
    <w:rPr>
      <w:rFonts w:eastAsia="楷体_GB2312"/>
      <w:b/>
      <w:bCs/>
      <w:szCs w:val="32"/>
    </w:rPr>
  </w:style>
  <w:style w:type="paragraph" w:styleId="5">
    <w:name w:val="heading 4"/>
    <w:basedOn w:val="1"/>
    <w:next w:val="1"/>
    <w:link w:val="21"/>
    <w:qFormat/>
    <w:uiPriority w:val="0"/>
    <w:pPr>
      <w:spacing w:before="50" w:beforeLines="50" w:after="50" w:afterLines="50" w:line="500" w:lineRule="exact"/>
      <w:ind w:firstLine="0" w:firstLineChars="0"/>
      <w:jc w:val="center"/>
      <w:outlineLvl w:val="3"/>
    </w:pPr>
    <w:rPr>
      <w:rFonts w:eastAsia="方正小标宋简体"/>
      <w:bCs/>
      <w:sz w:val="36"/>
      <w:szCs w:val="28"/>
    </w:rPr>
  </w:style>
  <w:style w:type="paragraph" w:styleId="6">
    <w:name w:val="heading 7"/>
    <w:basedOn w:val="1"/>
    <w:next w:val="1"/>
    <w:qFormat/>
    <w:uiPriority w:val="0"/>
    <w:pPr>
      <w:keepNext/>
      <w:keepLines/>
      <w:spacing w:before="240" w:after="64" w:line="320" w:lineRule="atLeast"/>
      <w:outlineLvl w:val="6"/>
    </w:pPr>
    <w:rPr>
      <w:b/>
      <w:bCs/>
      <w:sz w:val="24"/>
    </w:rPr>
  </w:style>
  <w:style w:type="character" w:default="1" w:styleId="17">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7">
    <w:name w:val="Body Text 3"/>
    <w:basedOn w:val="1"/>
    <w:uiPriority w:val="0"/>
    <w:pPr>
      <w:spacing w:after="120"/>
    </w:pPr>
    <w:rPr>
      <w:sz w:val="16"/>
      <w:szCs w:val="16"/>
    </w:rPr>
  </w:style>
  <w:style w:type="paragraph" w:styleId="8">
    <w:name w:val="Plain Text"/>
    <w:basedOn w:val="1"/>
    <w:link w:val="30"/>
    <w:uiPriority w:val="0"/>
    <w:pPr>
      <w:adjustRightInd/>
      <w:snapToGrid/>
      <w:spacing w:line="240" w:lineRule="auto"/>
      <w:ind w:firstLine="0" w:firstLineChars="0"/>
    </w:pPr>
    <w:rPr>
      <w:rFonts w:ascii="宋体" w:hAnsi="Courier New" w:eastAsia="宋体" w:cs="Courier New"/>
      <w:sz w:val="21"/>
      <w:szCs w:val="21"/>
    </w:rPr>
  </w:style>
  <w:style w:type="paragraph" w:styleId="9">
    <w:name w:val="Date"/>
    <w:basedOn w:val="1"/>
    <w:next w:val="1"/>
    <w:uiPriority w:val="0"/>
    <w:pPr>
      <w:ind w:left="100" w:leftChars="2500"/>
    </w:pPr>
  </w:style>
  <w:style w:type="paragraph" w:styleId="10">
    <w:name w:val="Body Text Indent 2"/>
    <w:basedOn w:val="1"/>
    <w:uiPriority w:val="0"/>
    <w:pPr>
      <w:adjustRightInd/>
      <w:snapToGrid/>
      <w:spacing w:line="240" w:lineRule="auto"/>
      <w:ind w:firstLine="420"/>
    </w:pPr>
    <w:rPr>
      <w:rFonts w:ascii="仿宋_GB2312"/>
      <w:color w:val="FF6600"/>
      <w:sz w:val="21"/>
    </w:rPr>
  </w:style>
  <w:style w:type="paragraph" w:styleId="11">
    <w:name w:val="Balloon Text"/>
    <w:basedOn w:val="1"/>
    <w:link w:val="24"/>
    <w:semiHidden/>
    <w:uiPriority w:val="0"/>
    <w:pPr>
      <w:adjustRightInd/>
      <w:snapToGrid/>
      <w:spacing w:line="240" w:lineRule="auto"/>
      <w:ind w:firstLine="0" w:firstLineChars="0"/>
    </w:pPr>
    <w:rPr>
      <w:rFonts w:eastAsia="宋体"/>
      <w:sz w:val="18"/>
      <w:szCs w:val="18"/>
    </w:rPr>
  </w:style>
  <w:style w:type="paragraph" w:styleId="12">
    <w:name w:val="footer"/>
    <w:basedOn w:val="1"/>
    <w:link w:val="25"/>
    <w:uiPriority w:val="0"/>
    <w:pPr>
      <w:tabs>
        <w:tab w:val="center" w:pos="4153"/>
        <w:tab w:val="right" w:pos="8306"/>
      </w:tabs>
      <w:snapToGrid w:val="0"/>
      <w:spacing w:line="240" w:lineRule="atLeast"/>
      <w:jc w:val="left"/>
    </w:pPr>
    <w:rPr>
      <w:sz w:val="18"/>
      <w:szCs w:val="18"/>
    </w:rPr>
  </w:style>
  <w:style w:type="paragraph" w:styleId="13">
    <w:name w:val="header"/>
    <w:basedOn w:val="1"/>
    <w:link w:val="29"/>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HTML Preformatted"/>
    <w:basedOn w:val="1"/>
    <w:link w:val="20"/>
    <w:semiHidden/>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宋体" w:hAnsi="宋体" w:eastAsia="宋体" w:cs="宋体"/>
      <w:kern w:val="0"/>
      <w:sz w:val="24"/>
    </w:rPr>
  </w:style>
  <w:style w:type="table" w:styleId="16">
    <w:name w:val="Table Grid"/>
    <w:basedOn w:val="15"/>
    <w:uiPriority w:val="0"/>
    <w:pPr>
      <w:widowControl w:val="0"/>
      <w:adjustRightInd w:val="0"/>
      <w:snapToGrid w:val="0"/>
      <w:spacing w:line="590" w:lineRule="atLeast"/>
      <w:ind w:firstLine="200" w:firstLineChars="20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basedOn w:val="17"/>
    <w:uiPriority w:val="0"/>
  </w:style>
  <w:style w:type="character" w:customStyle="1" w:styleId="20">
    <w:name w:val="HTML 预设格式 字符"/>
    <w:link w:val="14"/>
    <w:semiHidden/>
    <w:locked/>
    <w:uiPriority w:val="0"/>
    <w:rPr>
      <w:rFonts w:ascii="宋体" w:hAnsi="宋体" w:eastAsia="宋体" w:cs="宋体"/>
      <w:sz w:val="24"/>
      <w:szCs w:val="24"/>
      <w:lang w:val="en-US" w:eastAsia="zh-CN" w:bidi="ar-SA"/>
    </w:rPr>
  </w:style>
  <w:style w:type="character" w:customStyle="1" w:styleId="21">
    <w:name w:val="标题 4 字符"/>
    <w:link w:val="5"/>
    <w:locked/>
    <w:uiPriority w:val="0"/>
    <w:rPr>
      <w:rFonts w:eastAsia="方正小标宋简体"/>
      <w:bCs/>
      <w:kern w:val="2"/>
      <w:sz w:val="36"/>
      <w:szCs w:val="28"/>
    </w:rPr>
  </w:style>
  <w:style w:type="character" w:customStyle="1" w:styleId="22">
    <w:name w:val="标题 4 Char"/>
    <w:uiPriority w:val="0"/>
    <w:rPr>
      <w:rFonts w:eastAsia="仿宋_GB2312"/>
      <w:bCs/>
      <w:kern w:val="2"/>
      <w:sz w:val="32"/>
      <w:szCs w:val="28"/>
      <w:lang w:val="en-US" w:eastAsia="zh-CN" w:bidi="ar-SA"/>
    </w:rPr>
  </w:style>
  <w:style w:type="character" w:customStyle="1" w:styleId="23">
    <w:name w:val="标题 3 字符"/>
    <w:link w:val="4"/>
    <w:uiPriority w:val="0"/>
    <w:rPr>
      <w:rFonts w:eastAsia="楷体_GB2312"/>
      <w:b/>
      <w:bCs/>
      <w:kern w:val="2"/>
      <w:sz w:val="32"/>
      <w:szCs w:val="32"/>
    </w:rPr>
  </w:style>
  <w:style w:type="character" w:customStyle="1" w:styleId="24">
    <w:name w:val="批注框文本 字符"/>
    <w:link w:val="11"/>
    <w:semiHidden/>
    <w:uiPriority w:val="0"/>
    <w:rPr>
      <w:rFonts w:eastAsia="宋体"/>
      <w:kern w:val="2"/>
      <w:sz w:val="18"/>
      <w:szCs w:val="18"/>
      <w:lang w:val="en-US" w:eastAsia="zh-CN" w:bidi="ar-SA"/>
    </w:rPr>
  </w:style>
  <w:style w:type="character" w:customStyle="1" w:styleId="25">
    <w:name w:val="页脚 字符"/>
    <w:link w:val="12"/>
    <w:semiHidden/>
    <w:uiPriority w:val="0"/>
    <w:rPr>
      <w:rFonts w:eastAsia="仿宋_GB2312"/>
      <w:kern w:val="2"/>
      <w:sz w:val="18"/>
      <w:szCs w:val="18"/>
      <w:lang w:val="en-US" w:eastAsia="zh-CN" w:bidi="ar-SA"/>
    </w:rPr>
  </w:style>
  <w:style w:type="character" w:customStyle="1" w:styleId="26">
    <w:name w:val="标题 1 字符"/>
    <w:link w:val="2"/>
    <w:locked/>
    <w:uiPriority w:val="0"/>
    <w:rPr>
      <w:rFonts w:eastAsia="方正小标宋简体"/>
      <w:bCs/>
      <w:kern w:val="44"/>
      <w:sz w:val="44"/>
      <w:szCs w:val="44"/>
    </w:rPr>
  </w:style>
  <w:style w:type="character" w:customStyle="1" w:styleId="27">
    <w:name w:val="15"/>
    <w:uiPriority w:val="0"/>
    <w:rPr>
      <w:rFonts w:hint="default" w:ascii="Times New Roman" w:hAnsi="Times New Roman" w:cs="Times New Roman"/>
      <w:color w:val="0000FF"/>
      <w:u w:val="single"/>
    </w:rPr>
  </w:style>
  <w:style w:type="character" w:customStyle="1" w:styleId="28">
    <w:name w:val="标题 2 字符"/>
    <w:link w:val="3"/>
    <w:uiPriority w:val="0"/>
    <w:rPr>
      <w:rFonts w:eastAsia="黑体"/>
      <w:bCs/>
      <w:kern w:val="2"/>
      <w:sz w:val="32"/>
      <w:szCs w:val="32"/>
    </w:rPr>
  </w:style>
  <w:style w:type="character" w:customStyle="1" w:styleId="29">
    <w:name w:val="页眉 字符"/>
    <w:link w:val="13"/>
    <w:semiHidden/>
    <w:uiPriority w:val="0"/>
    <w:rPr>
      <w:rFonts w:eastAsia="仿宋_GB2312"/>
      <w:kern w:val="2"/>
      <w:sz w:val="18"/>
      <w:szCs w:val="18"/>
      <w:lang w:val="en-US" w:eastAsia="zh-CN" w:bidi="ar-SA"/>
    </w:rPr>
  </w:style>
  <w:style w:type="character" w:customStyle="1" w:styleId="30">
    <w:name w:val="纯文本 字符"/>
    <w:link w:val="8"/>
    <w:locked/>
    <w:uiPriority w:val="0"/>
    <w:rPr>
      <w:rFonts w:ascii="宋体" w:hAnsi="Courier New" w:eastAsia="宋体" w:cs="Courier New"/>
      <w:kern w:val="2"/>
      <w:sz w:val="21"/>
      <w:szCs w:val="21"/>
      <w:lang w:val="en-US" w:eastAsia="zh-CN" w:bidi="ar-SA"/>
    </w:rPr>
  </w:style>
  <w:style w:type="paragraph" w:customStyle="1" w:styleId="31">
    <w:name w:val="表内文字"/>
    <w:basedOn w:val="1"/>
    <w:uiPriority w:val="0"/>
    <w:pPr>
      <w:spacing w:before="60" w:after="60" w:line="280" w:lineRule="atLeast"/>
      <w:ind w:firstLine="0" w:firstLineChars="0"/>
    </w:pPr>
    <w:rPr>
      <w:sz w:val="24"/>
    </w:rPr>
  </w:style>
  <w:style w:type="paragraph" w:customStyle="1" w:styleId="32">
    <w:name w:val="custom_unionstyle"/>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33">
    <w:name w:val="表头"/>
    <w:basedOn w:val="1"/>
    <w:uiPriority w:val="0"/>
    <w:pPr>
      <w:spacing w:before="80" w:after="80" w:line="280" w:lineRule="atLeast"/>
      <w:ind w:firstLine="0" w:firstLineChars="0"/>
      <w:jc w:val="center"/>
    </w:pPr>
    <w:rPr>
      <w:rFonts w:eastAsia="黑体" w:cs="宋体"/>
      <w:sz w:val="24"/>
    </w:rPr>
  </w:style>
  <w:style w:type="paragraph" w:customStyle="1" w:styleId="34">
    <w:name w:val="p0"/>
    <w:basedOn w:val="1"/>
    <w:uiPriority w:val="0"/>
    <w:pPr>
      <w:widowControl/>
      <w:adjustRightInd/>
      <w:snapToGrid/>
      <w:spacing w:line="240" w:lineRule="auto"/>
      <w:ind w:firstLine="0" w:firstLineChars="0"/>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3144</Words>
  <Characters>3267</Characters>
  <Lines>24</Lines>
  <Paragraphs>6</Paragraphs>
  <TotalTime>1</TotalTime>
  <ScaleCrop>false</ScaleCrop>
  <LinksUpToDate>false</LinksUpToDate>
  <CharactersWithSpaces>3343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2022-03-24T02:25:00Z</dcterms:created>
  <dc:creator>walkinnet</dc:creator>
  <cp:lastModifiedBy>万全鹏</cp:lastModifiedBy>
  <cp:lastPrinted>2018-03-05T02:10:00Z</cp:lastPrinted>
  <dcterms:modified xsi:type="dcterms:W3CDTF">2022-12-27T08:58:07Z</dcterms:modified>
  <dc:title>湘农业函〔2014〕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5CF9C7DA123E456491CA2EE9BDA5C79D</vt:lpwstr>
  </property>
</Properties>
</file>