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spacing w:before="0" w:after="0" w:line="240" w:lineRule="auto"/>
        <w:ind w:firstLine="0"/>
        <w:jc w:val="center"/>
        <w:textAlignment w:val="auto"/>
        <w:rPr>
          <w:rFonts w:hint="eastAsia" w:ascii="仿宋" w:hAnsi="仿宋" w:eastAsia="仿宋" w:cs="仿宋"/>
          <w:b/>
          <w:bCs w:val="0"/>
          <w:sz w:val="28"/>
          <w:szCs w:val="22"/>
        </w:rPr>
      </w:pPr>
      <w:r>
        <w:rPr>
          <w:rFonts w:hint="eastAsia" w:ascii="仿宋" w:hAnsi="仿宋" w:eastAsia="仿宋" w:cs="仿宋"/>
          <w:b/>
          <w:bCs w:val="0"/>
          <w:sz w:val="28"/>
          <w:szCs w:val="22"/>
        </w:rPr>
        <w:t>附件4</w:t>
      </w:r>
      <w:bookmarkStart w:id="0" w:name="_GoBack"/>
      <w:bookmarkEnd w:id="0"/>
    </w:p>
    <w:p>
      <w:pPr>
        <w:pStyle w:val="3"/>
        <w:keepNext/>
        <w:keepLines/>
        <w:pageBreakBefore w:val="0"/>
        <w:widowControl w:val="0"/>
        <w:kinsoku/>
        <w:wordWrap/>
        <w:overflowPunct/>
        <w:topLinePunct w:val="0"/>
        <w:autoSpaceDE/>
        <w:autoSpaceDN/>
        <w:bidi w:val="0"/>
        <w:adjustRightInd w:val="0"/>
        <w:snapToGrid/>
        <w:spacing w:before="0" w:after="0" w:line="240" w:lineRule="auto"/>
        <w:ind w:firstLine="0"/>
        <w:jc w:val="center"/>
        <w:textAlignment w:val="auto"/>
        <w:rPr>
          <w:rFonts w:hint="eastAsia" w:ascii="仿宋" w:hAnsi="仿宋" w:eastAsia="仿宋" w:cs="仿宋"/>
          <w:b/>
          <w:bCs w:val="0"/>
          <w:sz w:val="28"/>
          <w:szCs w:val="22"/>
        </w:rPr>
      </w:pPr>
      <w:r>
        <w:rPr>
          <w:rFonts w:hint="eastAsia" w:ascii="仿宋" w:hAnsi="仿宋" w:eastAsia="仿宋" w:cs="仿宋"/>
          <w:b/>
          <w:bCs w:val="0"/>
          <w:sz w:val="28"/>
          <w:szCs w:val="22"/>
        </w:rPr>
        <w:t>湘潭市县级经济社会管理权限赋权城市两区管理省级园区事项指导目录</w:t>
      </w:r>
    </w:p>
    <w:p>
      <w:pPr>
        <w:pStyle w:val="3"/>
        <w:keepNext/>
        <w:keepLines/>
        <w:pageBreakBefore w:val="0"/>
        <w:widowControl w:val="0"/>
        <w:kinsoku/>
        <w:wordWrap/>
        <w:overflowPunct/>
        <w:topLinePunct w:val="0"/>
        <w:autoSpaceDE/>
        <w:autoSpaceDN/>
        <w:bidi w:val="0"/>
        <w:adjustRightInd w:val="0"/>
        <w:snapToGrid/>
        <w:spacing w:before="0" w:after="0" w:line="240" w:lineRule="auto"/>
        <w:ind w:firstLine="0"/>
        <w:jc w:val="center"/>
        <w:textAlignment w:val="auto"/>
        <w:rPr>
          <w:rFonts w:hint="eastAsia" w:ascii="仿宋" w:hAnsi="仿宋" w:eastAsia="仿宋" w:cs="仿宋"/>
          <w:b/>
          <w:bCs w:val="0"/>
          <w:sz w:val="28"/>
          <w:szCs w:val="22"/>
        </w:rPr>
      </w:pPr>
      <w:r>
        <w:rPr>
          <w:rFonts w:hint="eastAsia" w:ascii="仿宋" w:hAnsi="仿宋" w:eastAsia="仿宋" w:cs="仿宋"/>
          <w:b/>
          <w:bCs w:val="0"/>
          <w:sz w:val="28"/>
          <w:szCs w:val="22"/>
        </w:rPr>
        <w:t>（共73项）</w:t>
      </w:r>
    </w:p>
    <w:tbl>
      <w:tblPr>
        <w:tblStyle w:val="6"/>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527"/>
        <w:gridCol w:w="1883"/>
        <w:gridCol w:w="1180"/>
        <w:gridCol w:w="763"/>
        <w:gridCol w:w="1132"/>
        <w:gridCol w:w="1358"/>
        <w:gridCol w:w="141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序号</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赋权事项名称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事项编码</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事项类型</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赋权方式</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市直业务指导部门</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8254"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一、土地供应与项目推进类（24项）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企业投资项目备案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432004404W00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企业投资项目核准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00010400100Y</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工程建设项目招标方式、招标组织形式和招标范围核准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430104017W00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电力设施保护区内作业审批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430107019W00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对本级政府投资代建项目实施的监督检查</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430604011W00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行政检查</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政府投资项目建议书审批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431004129W00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（主项：权限内政府投资项目审批）</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政府投资项目可行性研究报告审批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431004129W00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（主项：权限内政府投资项目审批）</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政府投资项目初步设计概算审批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431004110W00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（主项：权限内政府投资项目概算审查）</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权限内政府投资项目审批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431004129W00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政府投资项目代建单位招标文件、代建合同备案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432004403W00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市发改委</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施工图预算或招标上限值审查</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431013014W00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市财政局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占用、挖掘公路、公路用地或者使公路改线审批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000118007000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在公路增设或改造平面交叉道口审批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000118008000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设置非公路标志审批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000118009000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更新采伐护路林审批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000118010000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公路建设项目施工许可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000118012000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公路建设项目竣工验收</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000118058000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交通建设项目工程招标文件、招标结果和工程情况备案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431018194W00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市交通运输局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赋权权限：农村公路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农村集体经济组织修建水库审批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000119004000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市水利局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非防洪建设项目洪水影响评价报告审批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000119010000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市水利局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在大坝管理和保护范围内修建码头、渔塘许可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000119022000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市水利局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占用防洪规划保留区内土地审批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430119033W00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市水利局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生产建设项目水土保持设施验收备案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431019049W00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市水利局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林木采伐许可证核发</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000164120000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市林业局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8254"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二、市场准入与企业经营类（25项）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抵押权登记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000715001014</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市自然资源规划局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申请从事互联网上网服务经营活动审批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000122011000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市文旅广体局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危险化学品经营许可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000125045000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市应急局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企业设立、变更、注销登记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000131003000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雨湖高新区：委托行使；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个体工商户设立、变更、注销登记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000131004000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雨湖高新区：委托行使；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农民专业合作社设立、变更、注销登记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000131005000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adjustRightInd w:val="0"/>
              <w:snapToGrid/>
              <w:ind w:firstLine="0"/>
              <w:jc w:val="center"/>
              <w:textAlignment w:val="auto"/>
              <w:rPr>
                <w:rFonts w:hint="eastAsia" w:ascii="仿宋" w:hAnsi="仿宋" w:eastAsia="仿宋" w:cs="仿宋"/>
                <w:b/>
                <w:bCs/>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食品生产许可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000131023000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赋权范围：不包括保健食品生产许可（省级权限）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食品（含保健食品）经营许可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000131024000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雨湖高新区：委托行使；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药品零售企业许可</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000172005000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股权出质的设立</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000731002000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1.不包括股份有限公司、外商投资企业及其分支机构；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2.包含股权出质的设立、变更、注销、撤销；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3.雨湖高新区：委托行使， 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小餐饮经营许可证</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430131056W00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雨湖高新区：委托行使；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强制检定工作计量器具备案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431031034W00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adjustRightInd w:val="0"/>
              <w:snapToGrid/>
              <w:ind w:firstLine="0"/>
              <w:jc w:val="center"/>
              <w:textAlignment w:val="auto"/>
              <w:rPr>
                <w:rFonts w:hint="eastAsia" w:ascii="仿宋" w:hAnsi="仿宋" w:eastAsia="仿宋" w:cs="仿宋"/>
                <w:b/>
                <w:bCs/>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企业（包括个体工商户、农民专业合作社）自主申报名称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431031082W00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雨湖高新区：委托行使；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企业经营异常名录的列入、移出、异议的处理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431031085W00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adjustRightInd w:val="0"/>
              <w:snapToGrid/>
              <w:ind w:firstLine="0"/>
              <w:jc w:val="center"/>
              <w:textAlignment w:val="auto"/>
              <w:rPr>
                <w:rFonts w:hint="eastAsia" w:ascii="仿宋" w:hAnsi="仿宋" w:eastAsia="仿宋" w:cs="仿宋"/>
                <w:b/>
                <w:bCs/>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39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营业执照遗失补领、换发申请</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431031090W01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1.不包括股份有限公司、外商投资企业及其分支机构；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2.雨湖高新区：委托行使，  岳塘经开区：服务前移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申请增加、减少营业执照副本</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431031090W02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adjustRightInd w:val="0"/>
              <w:snapToGrid/>
              <w:ind w:firstLine="0"/>
              <w:jc w:val="center"/>
              <w:textAlignment w:val="auto"/>
              <w:rPr>
                <w:rFonts w:hint="eastAsia" w:ascii="仿宋" w:hAnsi="仿宋" w:eastAsia="仿宋" w:cs="仿宋"/>
                <w:b/>
                <w:bCs/>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权限内备案事项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431031091W00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其他行政权力</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ageBreakBefore w:val="0"/>
              <w:kinsoku/>
              <w:wordWrap/>
              <w:overflowPunct/>
              <w:topLinePunct w:val="0"/>
              <w:autoSpaceDE/>
              <w:autoSpaceDN/>
              <w:bidi w:val="0"/>
              <w:adjustRightInd w:val="0"/>
              <w:snapToGrid/>
              <w:ind w:firstLine="0"/>
              <w:jc w:val="center"/>
              <w:textAlignment w:val="auto"/>
              <w:rPr>
                <w:rFonts w:hint="eastAsia" w:ascii="仿宋" w:hAnsi="仿宋" w:eastAsia="仿宋" w:cs="仿宋"/>
                <w:b/>
                <w:bCs/>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对纳税人延期申报的核准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000130003000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对纳税人变更纳税定额的核准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000130004000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增值税专用发票（增值税税控系统）最高开票限额审批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000130005000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对采取实际利润额预缴以外的其他企业所得税预缴方式的核定</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000130006000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纳税信用复评</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000730013000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纳税信用补评</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000730014000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纳税信用修复</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000730016000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税务事项办理服务</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432030073W00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统一按国家目录明确事项办理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8254"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三、招商引资与招才引智类（6项）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企业实行不定时工作制和综合计算工时工作制审批</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00011400700Y</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技能提升补贴申领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002014008010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创业补贴申领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002014105001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创业担保贷款申请</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002014105002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职业培训补贴申领（主项：00201420100Y 职业培训）</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002014201001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生活费补贴申领</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002014201002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8254"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四、园区管理与服务类（18项）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义务教育阶段学校招生政策发布服务</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432005101W04</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（主动服务类）</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市教育局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企业社会保险登记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002014001001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职工参保登记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002014001005</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59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城乡居民养老保险参保登记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002014001006</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个人基本信息变更</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002014002002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失业保险待遇发放账户维护申请</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002014002005</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单位参保证明查询打印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002014005001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个人权益记录查询打印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002014005002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64</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工资集体协商协议审查备案</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002014301002（主项：集体合同审查）</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65</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国有荒山、荒地、荒滩开发审查</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000115055000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市自然资源规划局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66</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特种设备使用登记</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000131011000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行政许可</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委托行使</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市市场监管局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67</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中国税收居民身份证明的开具</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000730001000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行政确认</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68</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缴费人员增减申报</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002014003001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市人力资源社会保障局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69</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社会保险缴费申报与变更</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002014003002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公共服务</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市税务局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赋权范围：限社会保险缴费申报以及缴费申报环节变更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70</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施工场地的施工车辆不按指定的路线、时间行驶，不按指定地点倾倒渣土，或者渣土、沙石等沿途撒落，影响市容和环境卫生的处罚</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430217205W02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行政处罚</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市城管执法局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71</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随意倾倒、抛洒、堆放城市生活垃圾的处罚</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430217217W00</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行政处罚</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市城管执法局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72</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未取得建设工程规划许可证进行建设，无法采取改正措施消除影响的处罚</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430217412W02</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行政处罚</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市城管执法局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52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73</w:t>
            </w:r>
          </w:p>
        </w:tc>
        <w:tc>
          <w:tcPr>
            <w:tcW w:w="188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未取得建设工程规划许可证进行建设，尚可采取改正措施消除对规划实施影响的处罚</w:t>
            </w:r>
          </w:p>
        </w:tc>
        <w:tc>
          <w:tcPr>
            <w:tcW w:w="11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430217412W01</w:t>
            </w:r>
          </w:p>
        </w:tc>
        <w:tc>
          <w:tcPr>
            <w:tcW w:w="76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行政处罚</w:t>
            </w:r>
          </w:p>
        </w:tc>
        <w:tc>
          <w:tcPr>
            <w:tcW w:w="11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服务前移</w:t>
            </w:r>
          </w:p>
        </w:tc>
        <w:tc>
          <w:tcPr>
            <w:tcW w:w="135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r>
              <w:rPr>
                <w:rFonts w:hint="eastAsia" w:ascii="仿宋" w:hAnsi="仿宋" w:eastAsia="仿宋" w:cs="仿宋"/>
                <w:b/>
                <w:bCs/>
                <w:color w:val="333333"/>
                <w:sz w:val="15"/>
                <w:szCs w:val="15"/>
              </w:rPr>
              <w:t>市城管执法局</w:t>
            </w:r>
          </w:p>
        </w:tc>
        <w:tc>
          <w:tcPr>
            <w:tcW w:w="14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17" w:lineRule="atLeast"/>
              <w:ind w:left="0" w:right="0" w:firstLine="0"/>
              <w:jc w:val="center"/>
              <w:textAlignment w:val="auto"/>
              <w:rPr>
                <w:rFonts w:hint="eastAsia" w:ascii="仿宋" w:hAnsi="仿宋" w:eastAsia="仿宋" w:cs="仿宋"/>
                <w:b/>
                <w:bCs/>
                <w:color w:val="333333"/>
                <w:sz w:val="15"/>
                <w:szCs w:val="15"/>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17" w:lineRule="atLeast"/>
        <w:ind w:left="0" w:right="0" w:firstLine="260" w:firstLineChars="200"/>
        <w:jc w:val="left"/>
        <w:textAlignment w:val="auto"/>
        <w:rPr>
          <w:rFonts w:hint="eastAsia" w:ascii="宋体" w:hAnsi="宋体" w:eastAsia="宋体" w:cs="宋体"/>
          <w:i w:val="0"/>
          <w:caps w:val="0"/>
          <w:color w:val="333333"/>
          <w:spacing w:val="0"/>
          <w:sz w:val="13"/>
          <w:szCs w:val="13"/>
        </w:rPr>
      </w:pPr>
      <w:r>
        <w:rPr>
          <w:rFonts w:hint="eastAsia" w:ascii="宋体" w:hAnsi="宋体" w:eastAsia="宋体" w:cs="宋体"/>
          <w:i w:val="0"/>
          <w:caps w:val="0"/>
          <w:color w:val="333333"/>
          <w:spacing w:val="0"/>
          <w:sz w:val="13"/>
          <w:szCs w:val="13"/>
          <w:shd w:val="clear" w:fill="FFFFFF"/>
        </w:rPr>
        <w:t>说明：雨湖区、岳塘区人民政府组织相关区直部门分别赋权雨湖高新区管委会、岳塘经开区管委会，可根据实际情况调整赋权事项及赋权方式。</w:t>
      </w:r>
    </w:p>
    <w:p>
      <w:pPr>
        <w:pageBreakBefore w:val="0"/>
        <w:kinsoku/>
        <w:wordWrap/>
        <w:overflowPunct/>
        <w:topLinePunct w:val="0"/>
        <w:autoSpaceDE/>
        <w:autoSpaceDN/>
        <w:bidi w:val="0"/>
        <w:adjustRightInd w:val="0"/>
        <w:snapToGrid/>
        <w:ind w:firstLine="0"/>
        <w:textAlignment w:val="auto"/>
        <w:rPr>
          <w:rFonts w:hint="eastAsia"/>
        </w:rPr>
      </w:pPr>
      <w:r>
        <w:rPr>
          <w:rFonts w:hint="eastAsia" w:ascii="宋体" w:hAnsi="宋体" w:eastAsia="宋体" w:cs="宋体"/>
          <w:i w:val="0"/>
          <w:caps w:val="0"/>
          <w:color w:val="333333"/>
          <w:spacing w:val="0"/>
          <w:sz w:val="12"/>
          <w:szCs w:val="12"/>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01560"/>
    <w:rsid w:val="099131E3"/>
    <w:rsid w:val="2A601560"/>
    <w:rsid w:val="3D911DC5"/>
    <w:rsid w:val="41C95446"/>
    <w:rsid w:val="4BD42772"/>
    <w:rsid w:val="5B281F48"/>
    <w:rsid w:val="6DDF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2021-10-26T06:53:00Z</dcterms:created>
  <dc:creator>WKKTAIJI</dc:creator>
  <cp:lastModifiedBy>WKKTAIJI</cp:lastModifiedBy>
  <dcterms:modified xsi:type="dcterms:W3CDTF">2021-10-26T07:15:52Z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