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1B308">
      <w:pPr>
        <w:pStyle w:val="3"/>
        <w:spacing w:line="600" w:lineRule="exact"/>
        <w:ind w:left="0" w:leftChars="0"/>
        <w:rPr>
          <w:rFonts w:ascii="Times New Roman" w:hAnsi="Times New Roman" w:eastAsia="黑体"/>
          <w:sz w:val="32"/>
          <w:szCs w:val="40"/>
        </w:rPr>
      </w:pPr>
      <w:r>
        <w:rPr>
          <w:rFonts w:ascii="Times New Roman" w:hAnsi="Times New Roman" w:eastAsia="黑体"/>
          <w:sz w:val="32"/>
          <w:szCs w:val="40"/>
        </w:rPr>
        <w:t>附件2</w:t>
      </w:r>
    </w:p>
    <w:p w14:paraId="689D0387">
      <w:pPr>
        <w:widowControl/>
        <w:jc w:val="center"/>
        <w:rPr>
          <w:rFonts w:ascii="Times New Roman" w:hAnsi="Times New Roman" w:eastAsia="仿宋_GB2312"/>
          <w:b/>
          <w:color w:val="000000"/>
          <w:spacing w:val="-2"/>
          <w:kern w:val="0"/>
          <w:sz w:val="56"/>
          <w:szCs w:val="56"/>
          <w:lang w:bidi="ar"/>
        </w:rPr>
      </w:pPr>
    </w:p>
    <w:p w14:paraId="2CEDD0D8">
      <w:pPr>
        <w:widowControl/>
        <w:jc w:val="center"/>
        <w:rPr>
          <w:rFonts w:ascii="Times New Roman" w:hAnsi="Times New Roman" w:eastAsia="仿宋_GB2312"/>
          <w:b/>
          <w:color w:val="000000"/>
          <w:spacing w:val="-2"/>
          <w:kern w:val="0"/>
          <w:sz w:val="56"/>
          <w:szCs w:val="56"/>
          <w:lang w:bidi="ar"/>
        </w:rPr>
      </w:pPr>
    </w:p>
    <w:p w14:paraId="0E49BA7E">
      <w:pPr>
        <w:widowControl/>
        <w:jc w:val="center"/>
        <w:rPr>
          <w:rFonts w:ascii="Times New Roman" w:hAnsi="Times New Roman" w:eastAsia="仿宋_GB2312"/>
          <w:b/>
          <w:color w:val="000000"/>
          <w:spacing w:val="-2"/>
          <w:kern w:val="0"/>
          <w:sz w:val="56"/>
          <w:szCs w:val="56"/>
          <w:lang w:bidi="ar"/>
        </w:rPr>
      </w:pPr>
    </w:p>
    <w:p w14:paraId="155552A6">
      <w:pPr>
        <w:widowControl/>
        <w:jc w:val="center"/>
        <w:rPr>
          <w:rFonts w:ascii="Times New Roman" w:hAnsi="Times New Roman" w:eastAsia="黑体"/>
          <w:bCs/>
          <w:color w:val="000000"/>
          <w:spacing w:val="-2"/>
          <w:kern w:val="0"/>
          <w:sz w:val="52"/>
          <w:szCs w:val="52"/>
          <w:lang w:bidi="ar"/>
        </w:rPr>
      </w:pPr>
      <w:bookmarkStart w:id="32" w:name="_GoBack"/>
      <w:r>
        <w:rPr>
          <w:rFonts w:ascii="Times New Roman" w:hAnsi="Times New Roman" w:eastAsia="黑体"/>
          <w:bCs/>
          <w:color w:val="000000"/>
          <w:spacing w:val="-2"/>
          <w:kern w:val="0"/>
          <w:sz w:val="52"/>
          <w:szCs w:val="52"/>
          <w:lang w:bidi="ar"/>
        </w:rPr>
        <w:t>制造业数字化转型综合信息服务平台</w:t>
      </w:r>
    </w:p>
    <w:p w14:paraId="3E0F67B5">
      <w:pPr>
        <w:widowControl/>
        <w:jc w:val="center"/>
        <w:rPr>
          <w:rFonts w:ascii="Times New Roman" w:hAnsi="Times New Roman" w:eastAsia="黑体"/>
          <w:bCs/>
          <w:color w:val="000000"/>
          <w:kern w:val="0"/>
          <w:sz w:val="52"/>
          <w:szCs w:val="52"/>
          <w:lang w:bidi="ar"/>
        </w:rPr>
      </w:pPr>
      <w:r>
        <w:rPr>
          <w:rFonts w:ascii="Times New Roman" w:hAnsi="Times New Roman" w:eastAsia="黑体"/>
          <w:bCs/>
          <w:color w:val="000000"/>
          <w:spacing w:val="-2"/>
          <w:kern w:val="0"/>
          <w:sz w:val="52"/>
          <w:szCs w:val="52"/>
          <w:lang w:bidi="ar"/>
        </w:rPr>
        <w:t>用户</w:t>
      </w:r>
      <w:r>
        <w:rPr>
          <w:rFonts w:ascii="Times New Roman" w:hAnsi="Times New Roman" w:eastAsia="黑体"/>
          <w:bCs/>
          <w:color w:val="000000"/>
          <w:kern w:val="0"/>
          <w:sz w:val="52"/>
          <w:szCs w:val="52"/>
          <w:lang w:bidi="ar"/>
        </w:rPr>
        <w:t>手册（企业端）</w:t>
      </w:r>
    </w:p>
    <w:bookmarkEnd w:id="32"/>
    <w:p w14:paraId="58AD0FF9">
      <w:pPr>
        <w:widowControl/>
        <w:jc w:val="center"/>
        <w:rPr>
          <w:rFonts w:ascii="Times New Roman" w:hAnsi="Times New Roman" w:eastAsia="仿宋_GB2312"/>
          <w:b/>
          <w:color w:val="000000"/>
          <w:kern w:val="0"/>
          <w:sz w:val="64"/>
          <w:szCs w:val="64"/>
          <w:lang w:bidi="ar"/>
        </w:rPr>
      </w:pPr>
    </w:p>
    <w:p w14:paraId="5D3F9E1A">
      <w:pPr>
        <w:widowControl/>
        <w:jc w:val="center"/>
        <w:rPr>
          <w:rFonts w:ascii="Times New Roman" w:hAnsi="Times New Roman" w:eastAsia="仿宋_GB2312"/>
          <w:color w:val="000000"/>
          <w:sz w:val="28"/>
          <w:szCs w:val="28"/>
        </w:rPr>
      </w:pPr>
    </w:p>
    <w:p w14:paraId="12828927">
      <w:pPr>
        <w:widowControl/>
        <w:jc w:val="center"/>
        <w:rPr>
          <w:rFonts w:ascii="Times New Roman" w:hAnsi="Times New Roman" w:eastAsia="仿宋_GB2312"/>
          <w:color w:val="000000"/>
          <w:sz w:val="28"/>
          <w:szCs w:val="28"/>
        </w:rPr>
      </w:pPr>
    </w:p>
    <w:p w14:paraId="3F373C40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</w:p>
    <w:p w14:paraId="3BCD1A49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</w:p>
    <w:p w14:paraId="187D2538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</w:p>
    <w:p w14:paraId="3AB7885F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</w:p>
    <w:p w14:paraId="27C5F18E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</w:p>
    <w:p w14:paraId="2C2AE4C9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</w:p>
    <w:p w14:paraId="74789DD0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  <w:t>中国信息通信研究院</w:t>
      </w:r>
    </w:p>
    <w:p w14:paraId="74E64831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  <w:t>2024年11月</w:t>
      </w:r>
    </w:p>
    <w:p w14:paraId="31FA09CB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</w:p>
    <w:p w14:paraId="1385360D">
      <w:pPr>
        <w:jc w:val="center"/>
        <w:rPr>
          <w:rFonts w:ascii="Times New Roman" w:hAnsi="Times New Roman" w:eastAsia="黑体"/>
          <w:sz w:val="40"/>
          <w:szCs w:val="40"/>
        </w:rPr>
      </w:pPr>
      <w:r>
        <w:rPr>
          <w:rFonts w:ascii="Times New Roman" w:hAnsi="Times New Roman" w:eastAsia="仿宋_GB2312"/>
          <w:sz w:val="48"/>
          <w:szCs w:val="48"/>
          <w:lang w:val="zh-CN"/>
        </w:rPr>
        <w:br w:type="page"/>
      </w:r>
      <w:r>
        <w:rPr>
          <w:rFonts w:ascii="Times New Roman" w:hAnsi="Times New Roman" w:eastAsia="黑体"/>
          <w:sz w:val="40"/>
          <w:szCs w:val="40"/>
          <w:lang w:val="zh-CN"/>
        </w:rPr>
        <w:t>目 录</w:t>
      </w:r>
    </w:p>
    <w:p w14:paraId="355AFD81">
      <w:pPr>
        <w:pStyle w:val="8"/>
        <w:tabs>
          <w:tab w:val="left" w:pos="560"/>
          <w:tab w:val="right" w:leader="dot" w:pos="8296"/>
        </w:tabs>
        <w:rPr>
          <w:rFonts w:ascii="Times New Roman" w:hAnsi="Times New Roman" w:eastAsia="等线" w:cs="Times New Roman"/>
          <w:b w:val="0"/>
          <w:bCs w:val="0"/>
          <w:sz w:val="21"/>
          <w:szCs w:val="22"/>
        </w:rPr>
      </w:pPr>
      <w:r>
        <w:rPr>
          <w:rFonts w:ascii="Times New Roman" w:hAnsi="Times New Roman" w:eastAsia="仿宋_GB2312" w:cs="Times New Roman"/>
          <w:b w:val="0"/>
          <w:bCs w:val="0"/>
          <w:lang w:val="zh-CN"/>
        </w:rPr>
        <w:fldChar w:fldCharType="begin"/>
      </w:r>
      <w:r>
        <w:rPr>
          <w:rFonts w:ascii="Times New Roman" w:hAnsi="Times New Roman" w:eastAsia="仿宋_GB2312" w:cs="Times New Roman"/>
          <w:b w:val="0"/>
          <w:bCs w:val="0"/>
          <w:lang w:val="zh-CN"/>
        </w:rPr>
        <w:instrText xml:space="preserve"> TOC \o "1-4" \h \z \u </w:instrText>
      </w:r>
      <w:r>
        <w:rPr>
          <w:rFonts w:ascii="Times New Roman" w:hAnsi="Times New Roman" w:eastAsia="仿宋_GB2312" w:cs="Times New Roman"/>
          <w:b w:val="0"/>
          <w:bCs w:val="0"/>
          <w:lang w:val="zh-CN"/>
        </w:rPr>
        <w:fldChar w:fldCharType="separate"/>
      </w: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"_Toc181267960"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  <w:rFonts w:eastAsia="仿宋_GB2312"/>
        </w:rPr>
        <w:t>1.概述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_Toc181267960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55068607">
      <w:pPr>
        <w:pStyle w:val="9"/>
        <w:tabs>
          <w:tab w:val="left" w:pos="1260"/>
          <w:tab w:val="right" w:leader="dot" w:pos="8296"/>
        </w:tabs>
        <w:ind w:left="0"/>
        <w:rPr>
          <w:rFonts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"_Toc181267961"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</w:rPr>
        <w:t>1.1.</w:t>
      </w:r>
      <w:r>
        <w:rPr>
          <w:rStyle w:val="12"/>
          <w:rFonts w:eastAsia="仿宋_GB2312"/>
        </w:rPr>
        <w:t>编写目的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_Toc181267961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78AB5CCE">
      <w:pPr>
        <w:pStyle w:val="9"/>
        <w:tabs>
          <w:tab w:val="left" w:pos="1260"/>
          <w:tab w:val="right" w:leader="dot" w:pos="8296"/>
        </w:tabs>
        <w:ind w:left="0"/>
        <w:rPr>
          <w:rFonts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"_Toc181267962"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</w:rPr>
        <w:t>1.2.</w:t>
      </w:r>
      <w:r>
        <w:rPr>
          <w:rStyle w:val="12"/>
          <w:rFonts w:eastAsia="仿宋_GB2312"/>
        </w:rPr>
        <w:t>使用范围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_Toc181267962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0B1070EC">
      <w:pPr>
        <w:pStyle w:val="8"/>
        <w:tabs>
          <w:tab w:val="left" w:pos="560"/>
          <w:tab w:val="right" w:leader="dot" w:pos="8296"/>
        </w:tabs>
        <w:rPr>
          <w:rFonts w:ascii="Times New Roman" w:hAnsi="Times New Roman" w:eastAsia="等线" w:cs="Times New Roman"/>
          <w:b w:val="0"/>
          <w:b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"_Toc181267963"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  <w:rFonts w:eastAsia="仿宋_GB2312"/>
        </w:rPr>
        <w:t>2.主要功能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_Toc181267963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31EAC80F">
      <w:pPr>
        <w:pStyle w:val="9"/>
        <w:tabs>
          <w:tab w:val="left" w:pos="1260"/>
          <w:tab w:val="right" w:leader="dot" w:pos="8296"/>
        </w:tabs>
        <w:ind w:left="0"/>
        <w:rPr>
          <w:rFonts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"_Toc181267964"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</w:rPr>
        <w:t>2.1.</w:t>
      </w:r>
      <w:r>
        <w:rPr>
          <w:rStyle w:val="12"/>
          <w:rFonts w:eastAsia="仿宋_GB2312"/>
        </w:rPr>
        <w:t>访问地址.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_Toc181267964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1B38BCCB">
      <w:pPr>
        <w:pStyle w:val="9"/>
        <w:tabs>
          <w:tab w:val="left" w:pos="1260"/>
          <w:tab w:val="right" w:leader="dot" w:pos="8296"/>
        </w:tabs>
        <w:ind w:left="0"/>
        <w:rPr>
          <w:rFonts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"_Toc181267965"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</w:rPr>
        <w:t>2.2.</w:t>
      </w:r>
      <w:r>
        <w:rPr>
          <w:rStyle w:val="12"/>
          <w:rFonts w:eastAsia="仿宋_GB2312"/>
        </w:rPr>
        <w:t>用户注册及登录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_Toc181267965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1EA80E8A">
      <w:pPr>
        <w:pStyle w:val="9"/>
        <w:tabs>
          <w:tab w:val="left" w:pos="1260"/>
          <w:tab w:val="right" w:leader="dot" w:pos="8296"/>
        </w:tabs>
        <w:ind w:left="0"/>
        <w:rPr>
          <w:rFonts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"_Toc181267966"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</w:rPr>
        <w:t>2.3.</w:t>
      </w:r>
      <w:r>
        <w:rPr>
          <w:rStyle w:val="12"/>
          <w:rFonts w:eastAsia="仿宋_GB2312"/>
        </w:rPr>
        <w:t>在线自评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_Toc181267966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1B83F93B">
      <w:pPr>
        <w:pStyle w:val="9"/>
        <w:tabs>
          <w:tab w:val="left" w:pos="1260"/>
          <w:tab w:val="right" w:leader="dot" w:pos="8296"/>
        </w:tabs>
        <w:ind w:left="0"/>
        <w:rPr>
          <w:rFonts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"_Toc181267967"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</w:rPr>
        <w:t>2.4.</w:t>
      </w:r>
      <w:r>
        <w:rPr>
          <w:rStyle w:val="12"/>
          <w:rFonts w:eastAsia="仿宋_GB2312"/>
        </w:rPr>
        <w:t>评估档案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_Toc181267967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6C3B4E9F">
      <w:pPr>
        <w:pStyle w:val="9"/>
        <w:tabs>
          <w:tab w:val="left" w:pos="1260"/>
          <w:tab w:val="right" w:leader="dot" w:pos="8296"/>
        </w:tabs>
        <w:ind w:left="0"/>
        <w:rPr>
          <w:rFonts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"_Toc181267968"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</w:rPr>
        <w:t>2.5.</w:t>
      </w:r>
      <w:r>
        <w:rPr>
          <w:rStyle w:val="12"/>
          <w:rFonts w:eastAsia="仿宋_GB2312"/>
        </w:rPr>
        <w:t>企业信息及填报历史记录查看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_Toc181267968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5D9D2AB5">
      <w:pPr>
        <w:rPr>
          <w:rFonts w:ascii="Times New Roman" w:hAnsi="Times New Roman" w:eastAsia="仿宋_GB2312"/>
          <w:lang w:val="zh-CN"/>
        </w:rPr>
      </w:pPr>
      <w:r>
        <w:rPr>
          <w:rFonts w:ascii="Times New Roman" w:hAnsi="Times New Roman" w:eastAsia="仿宋_GB2312"/>
          <w:bCs/>
          <w:szCs w:val="20"/>
          <w:lang w:val="zh-CN"/>
        </w:rPr>
        <w:fldChar w:fldCharType="end"/>
      </w:r>
    </w:p>
    <w:p w14:paraId="4F378404">
      <w:pPr>
        <w:pStyle w:val="4"/>
        <w:rPr>
          <w:rFonts w:hint="default" w:ascii="Times New Roman" w:hAnsi="Times New Roman" w:eastAsia="仿宋_GB231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Toc17143"/>
      <w:bookmarkEnd w:id="0"/>
      <w:bookmarkStart w:id="1" w:name="_Toc15026831"/>
      <w:bookmarkEnd w:id="1"/>
      <w:bookmarkStart w:id="2" w:name="_Toc13068830"/>
    </w:p>
    <w:bookmarkEnd w:id="2"/>
    <w:p w14:paraId="484ABE89">
      <w:pPr>
        <w:pStyle w:val="4"/>
        <w:numPr>
          <w:ilvl w:val="0"/>
          <w:numId w:val="0"/>
        </w:numPr>
        <w:spacing w:before="0" w:beforeAutospacing="0" w:after="0" w:afterAutospacing="0" w:line="500" w:lineRule="exact"/>
        <w:rPr>
          <w:rFonts w:hint="default" w:ascii="Times New Roman" w:hAnsi="Times New Roman" w:eastAsia="仿宋_GB2312"/>
          <w:sz w:val="28"/>
          <w:szCs w:val="28"/>
        </w:rPr>
      </w:pPr>
      <w:bookmarkStart w:id="3" w:name="_Toc181267960"/>
      <w:r>
        <w:rPr>
          <w:rFonts w:hint="default" w:ascii="Times New Roman" w:hAnsi="Times New Roman" w:eastAsia="仿宋_GB2312"/>
          <w:sz w:val="28"/>
          <w:szCs w:val="28"/>
        </w:rPr>
        <w:t>1.概述</w:t>
      </w:r>
      <w:bookmarkEnd w:id="3"/>
    </w:p>
    <w:p w14:paraId="5B2CBA10">
      <w:pPr>
        <w:pStyle w:val="5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/>
          <w:sz w:val="28"/>
          <w:szCs w:val="28"/>
        </w:rPr>
      </w:pPr>
      <w:bookmarkStart w:id="4" w:name="_Toc2953"/>
      <w:bookmarkEnd w:id="4"/>
      <w:bookmarkStart w:id="5" w:name="_Toc13068832"/>
      <w:bookmarkEnd w:id="5"/>
      <w:bookmarkStart w:id="6" w:name="_Toc15026832"/>
      <w:bookmarkEnd w:id="6"/>
      <w:bookmarkStart w:id="7" w:name="_Toc15026833"/>
      <w:bookmarkEnd w:id="7"/>
      <w:bookmarkStart w:id="8" w:name="_Toc181267961"/>
      <w:bookmarkStart w:id="9" w:name="_Toc27367"/>
      <w:r>
        <w:rPr>
          <w:rFonts w:hint="default" w:ascii="Times New Roman" w:hAnsi="Times New Roman" w:eastAsia="宋体"/>
          <w:sz w:val="28"/>
          <w:szCs w:val="28"/>
        </w:rPr>
        <w:t>1.1.</w:t>
      </w:r>
      <w:r>
        <w:rPr>
          <w:rFonts w:hint="default" w:ascii="Times New Roman" w:hAnsi="Times New Roman" w:eastAsia="仿宋_GB2312"/>
          <w:sz w:val="28"/>
          <w:szCs w:val="28"/>
        </w:rPr>
        <w:t>编写目的</w:t>
      </w:r>
      <w:bookmarkEnd w:id="8"/>
      <w:bookmarkEnd w:id="9"/>
    </w:p>
    <w:p w14:paraId="23F876BB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sz w:val="28"/>
          <w:szCs w:val="28"/>
        </w:rPr>
      </w:pPr>
      <w:bookmarkStart w:id="10" w:name="_Hlk51752938"/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制造业数字化转型综合信息服务平台企业端用户手册，为工业规上企业在线填报数据提供使用说明。</w:t>
      </w:r>
    </w:p>
    <w:bookmarkEnd w:id="10"/>
    <w:p w14:paraId="3A6AD7B9">
      <w:pPr>
        <w:pStyle w:val="5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/>
          <w:sz w:val="28"/>
          <w:szCs w:val="28"/>
        </w:rPr>
      </w:pPr>
      <w:bookmarkStart w:id="11" w:name="_Toc23741"/>
      <w:bookmarkEnd w:id="11"/>
      <w:bookmarkStart w:id="12" w:name="_Toc13068833"/>
      <w:bookmarkEnd w:id="12"/>
      <w:bookmarkStart w:id="13" w:name="_Toc15026834"/>
      <w:bookmarkStart w:id="14" w:name="_Toc181267962"/>
      <w:r>
        <w:rPr>
          <w:rFonts w:hint="default" w:ascii="Times New Roman" w:hAnsi="Times New Roman" w:eastAsia="宋体"/>
          <w:sz w:val="28"/>
          <w:szCs w:val="28"/>
        </w:rPr>
        <w:t>1.2.</w:t>
      </w:r>
      <w:r>
        <w:rPr>
          <w:rFonts w:hint="default" w:ascii="Times New Roman" w:hAnsi="Times New Roman" w:eastAsia="仿宋_GB2312"/>
          <w:sz w:val="28"/>
          <w:szCs w:val="28"/>
        </w:rPr>
        <w:t>使用范围</w:t>
      </w:r>
      <w:bookmarkEnd w:id="13"/>
      <w:bookmarkEnd w:id="14"/>
    </w:p>
    <w:p w14:paraId="5D33B254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北京市、河北省、辽宁省、黑龙江省、江苏省、浙江省、安徽省、江西省、河南省、湖南省、福建省、广东省、广西壮族自治区、四川省、宁夏回族自治区15个省份的全部规上工业企业。</w:t>
      </w:r>
    </w:p>
    <w:p w14:paraId="3FE932AE">
      <w:pPr>
        <w:pStyle w:val="4"/>
        <w:numPr>
          <w:ilvl w:val="0"/>
          <w:numId w:val="0"/>
        </w:numPr>
        <w:spacing w:before="0" w:beforeAutospacing="0" w:after="0" w:afterAutospacing="0" w:line="500" w:lineRule="exact"/>
        <w:rPr>
          <w:rFonts w:hint="default" w:ascii="Times New Roman" w:hAnsi="Times New Roman" w:eastAsia="仿宋_GB2312"/>
          <w:sz w:val="28"/>
          <w:szCs w:val="28"/>
        </w:rPr>
      </w:pPr>
      <w:bookmarkStart w:id="15" w:name="_Toc15026835"/>
      <w:bookmarkEnd w:id="15"/>
      <w:bookmarkStart w:id="16" w:name="_Toc181267963"/>
      <w:bookmarkStart w:id="17" w:name="_Toc26072"/>
      <w:r>
        <w:rPr>
          <w:rFonts w:hint="default" w:ascii="Times New Roman" w:hAnsi="Times New Roman" w:eastAsia="仿宋_GB2312"/>
          <w:sz w:val="28"/>
          <w:szCs w:val="28"/>
        </w:rPr>
        <w:t>2.主要功能</w:t>
      </w:r>
      <w:bookmarkEnd w:id="16"/>
      <w:bookmarkEnd w:id="17"/>
    </w:p>
    <w:p w14:paraId="086AF173">
      <w:pPr>
        <w:pStyle w:val="5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/>
          <w:sz w:val="28"/>
          <w:szCs w:val="28"/>
        </w:rPr>
      </w:pPr>
      <w:bookmarkStart w:id="18" w:name="_Toc181267964"/>
      <w:r>
        <w:rPr>
          <w:rFonts w:hint="default" w:ascii="Times New Roman" w:hAnsi="Times New Roman" w:eastAsia="宋体"/>
          <w:sz w:val="28"/>
          <w:szCs w:val="28"/>
        </w:rPr>
        <w:t>2.1.</w:t>
      </w:r>
      <w:r>
        <w:rPr>
          <w:rFonts w:hint="default" w:ascii="Times New Roman" w:hAnsi="Times New Roman" w:eastAsia="仿宋_GB2312"/>
          <w:sz w:val="28"/>
          <w:szCs w:val="28"/>
        </w:rPr>
        <w:t>访问地址</w:t>
      </w:r>
      <w:bookmarkEnd w:id="18"/>
    </w:p>
    <w:p w14:paraId="769AA02F">
      <w:pPr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企业可登录工信部门户网站（www.miit.gov.cn），在政务服务平台的公共服务平台栏目中点击“制造业数字化转型综合信息服务平台”进入平台。企业也可通过直接输</w:t>
      </w:r>
      <w:r>
        <w:rPr>
          <w:rFonts w:ascii="Times New Roman" w:hAnsi="Times New Roman" w:eastAsia="仿宋_GB2312"/>
          <w:color w:val="000000"/>
          <w:sz w:val="28"/>
          <w:szCs w:val="28"/>
        </w:rPr>
        <w:t>入网址</w:t>
      </w:r>
      <w:r>
        <w:rPr>
          <w:rStyle w:val="12"/>
          <w:rFonts w:eastAsia="仿宋_GB2312"/>
          <w:color w:val="000000"/>
          <w:sz w:val="28"/>
          <w:szCs w:val="28"/>
        </w:rPr>
        <w:t>https://szgx.miit.gov.cn/zzyszh/</w:t>
      </w:r>
      <w:r>
        <w:rPr>
          <w:rFonts w:ascii="Times New Roman" w:hAnsi="Times New Roman" w:eastAsia="仿宋_GB2312"/>
          <w:color w:val="000000"/>
          <w:sz w:val="28"/>
          <w:szCs w:val="28"/>
        </w:rPr>
        <w:t>，进入</w:t>
      </w: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制造业数字化转型综合信息服务平台。</w:t>
      </w:r>
    </w:p>
    <w:p w14:paraId="3F5BCB14">
      <w:pPr>
        <w:spacing w:line="500" w:lineRule="exact"/>
        <w:ind w:firstLine="42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（推荐使用谷歌、火狐浏览器、360浏览器极速模式）</w:t>
      </w:r>
    </w:p>
    <w:p w14:paraId="5C379255">
      <w:pPr>
        <w:pStyle w:val="5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/>
          <w:sz w:val="28"/>
          <w:szCs w:val="28"/>
        </w:rPr>
      </w:pPr>
      <w:bookmarkStart w:id="19" w:name="_Toc13068836"/>
      <w:bookmarkEnd w:id="19"/>
      <w:bookmarkStart w:id="20" w:name="_Toc16944"/>
      <w:bookmarkEnd w:id="20"/>
      <w:bookmarkStart w:id="21" w:name="_Toc15026836"/>
      <w:bookmarkEnd w:id="21"/>
      <w:bookmarkStart w:id="22" w:name="_Toc15026837"/>
      <w:bookmarkEnd w:id="22"/>
      <w:bookmarkStart w:id="23" w:name="_Toc2227"/>
      <w:bookmarkStart w:id="24" w:name="_Toc181267965"/>
      <w:r>
        <w:rPr>
          <w:rFonts w:hint="default" w:ascii="Times New Roman" w:hAnsi="Times New Roman" w:eastAsia="宋体"/>
          <w:sz w:val="28"/>
          <w:szCs w:val="28"/>
        </w:rPr>
        <w:t>2.2.</w:t>
      </w:r>
      <w:r>
        <w:rPr>
          <w:rFonts w:hint="default" w:ascii="Times New Roman" w:hAnsi="Times New Roman" w:eastAsia="仿宋_GB2312"/>
          <w:sz w:val="28"/>
          <w:szCs w:val="28"/>
        </w:rPr>
        <w:t>用户注册及登录</w:t>
      </w:r>
      <w:bookmarkEnd w:id="23"/>
      <w:bookmarkEnd w:id="24"/>
    </w:p>
    <w:p w14:paraId="5CCFA9FA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平台使用工信部用户登录体系，之前已经在工信部官网注册过的企业用户，可通过点击平台右上角“登录”按钮，进入登录页面，输入统一社会信用代码及密码，验证登录进入平台进行在线自评。</w:t>
      </w:r>
    </w:p>
    <w:p w14:paraId="1956CDB7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未在工信部注册过的企业用户，可点击首页右上角“注册”按钮或登录页面“还没账号？立即注册”按钮进行用户注册，在注册页面填写法人信息及绑定手机号信息等，完成企业用户的注册，完成注册即可登录平台进行在线自评。</w:t>
      </w:r>
    </w:p>
    <w:p w14:paraId="0054E897">
      <w:pPr>
        <w:widowControl/>
        <w:spacing w:line="360" w:lineRule="auto"/>
        <w:rPr>
          <w:rFonts w:ascii="Times New Roman" w:hAnsi="Times New Roman" w:eastAsia="仿宋_GB2312"/>
          <w:color w:val="000000"/>
          <w:kern w:val="0"/>
          <w:sz w:val="24"/>
          <w:lang w:bidi="ar"/>
        </w:rPr>
      </w:pPr>
    </w:p>
    <w:p w14:paraId="7D0D0798">
      <w:pPr>
        <w:widowControl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493260" cy="2062480"/>
            <wp:effectExtent l="0" t="0" r="2540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81537">
      <w:pPr>
        <w:widowControl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344670" cy="2307590"/>
            <wp:effectExtent l="76200" t="76200" r="13970" b="889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499999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50D200">
      <w:pPr>
        <w:pStyle w:val="5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/>
          <w:sz w:val="28"/>
          <w:szCs w:val="28"/>
        </w:rPr>
      </w:pPr>
      <w:bookmarkStart w:id="25" w:name="_Toc181267966"/>
      <w:r>
        <w:rPr>
          <w:rFonts w:hint="default" w:ascii="Times New Roman" w:hAnsi="Times New Roman" w:eastAsia="宋体"/>
          <w:sz w:val="28"/>
          <w:szCs w:val="28"/>
        </w:rPr>
        <w:t>2.3.</w:t>
      </w:r>
      <w:r>
        <w:rPr>
          <w:rFonts w:hint="default" w:ascii="Times New Roman" w:hAnsi="Times New Roman" w:eastAsia="仿宋_GB2312"/>
          <w:sz w:val="28"/>
          <w:szCs w:val="28"/>
        </w:rPr>
        <w:t>在线自评</w:t>
      </w:r>
      <w:bookmarkEnd w:id="25"/>
    </w:p>
    <w:p w14:paraId="5A6D690D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登录完成后，企业可通过点击轮播图中的“立即自评”按钮或转型评估模块下的“去评测”按钮，进行在线自评。自评之前需要完成自评承诺，勾选“我已认真阅读并承诺遵守上述规定”勾选框，点击进入去评测开始在线自评。</w:t>
      </w:r>
    </w:p>
    <w:p w14:paraId="6FFA1B53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5580" cy="2533650"/>
            <wp:effectExtent l="0" t="0" r="1270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A1999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在线自评需完成三个模块的内容填写，包括企业基本信息、数字化能力水平评估、数字化成效评估，填写完成后将会生成评估结果。填写过程中，可以返回上一题或上一环节进行修改，也可临时保存（关闭后返回可继续填报），点击下一题或下一环节可继续填写。填写完成后，点击提交完成在线自评，即可生成评估结果。</w:t>
      </w:r>
    </w:p>
    <w:p w14:paraId="7D029ED4">
      <w:pPr>
        <w:widowControl/>
        <w:spacing w:line="360" w:lineRule="auto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5276850" cy="2226945"/>
            <wp:effectExtent l="0" t="0" r="11430" b="1333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078D">
      <w:pPr>
        <w:pStyle w:val="5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/>
          <w:sz w:val="28"/>
          <w:szCs w:val="28"/>
        </w:rPr>
      </w:pPr>
      <w:bookmarkStart w:id="26" w:name="_Toc6302"/>
      <w:bookmarkEnd w:id="26"/>
      <w:bookmarkStart w:id="27" w:name="_Toc15026840"/>
      <w:bookmarkEnd w:id="27"/>
      <w:bookmarkStart w:id="28" w:name="_Toc13068839"/>
      <w:bookmarkEnd w:id="28"/>
      <w:bookmarkStart w:id="29" w:name="_Toc25016"/>
      <w:bookmarkEnd w:id="29"/>
      <w:bookmarkStart w:id="30" w:name="_Toc181267967"/>
      <w:r>
        <w:rPr>
          <w:rFonts w:hint="default" w:ascii="Times New Roman" w:hAnsi="Times New Roman" w:eastAsia="宋体"/>
          <w:sz w:val="28"/>
          <w:szCs w:val="28"/>
        </w:rPr>
        <w:t>2.4.</w:t>
      </w:r>
      <w:r>
        <w:rPr>
          <w:rFonts w:hint="default" w:ascii="Times New Roman" w:hAnsi="Times New Roman" w:eastAsia="仿宋_GB2312"/>
          <w:sz w:val="28"/>
          <w:szCs w:val="28"/>
        </w:rPr>
        <w:t>评估档案</w:t>
      </w:r>
      <w:bookmarkEnd w:id="30"/>
    </w:p>
    <w:p w14:paraId="5EA7B782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点击评估档案，可对已填报数据进行查看。该模块展示企业基本信息及填报问题详情。</w:t>
      </w:r>
    </w:p>
    <w:p w14:paraId="54B9F6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5274945" cy="2597150"/>
            <wp:effectExtent l="0" t="0" r="133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D2C2">
      <w:pPr>
        <w:rPr>
          <w:rFonts w:ascii="Times New Roman" w:hAnsi="Times New Roman"/>
          <w:sz w:val="28"/>
          <w:szCs w:val="28"/>
        </w:rPr>
      </w:pPr>
    </w:p>
    <w:p w14:paraId="4E140C38">
      <w:pPr>
        <w:rPr>
          <w:rFonts w:ascii="Times New Roman" w:hAnsi="Times New Roman"/>
          <w:sz w:val="28"/>
          <w:szCs w:val="28"/>
        </w:rPr>
      </w:pPr>
    </w:p>
    <w:p w14:paraId="148856C4">
      <w:pPr>
        <w:pStyle w:val="5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/>
          <w:sz w:val="28"/>
          <w:szCs w:val="28"/>
        </w:rPr>
      </w:pPr>
      <w:bookmarkStart w:id="31" w:name="_Toc181267968"/>
      <w:r>
        <w:rPr>
          <w:rFonts w:hint="default" w:ascii="Times New Roman" w:hAnsi="Times New Roman" w:eastAsia="宋体"/>
          <w:sz w:val="28"/>
          <w:szCs w:val="28"/>
        </w:rPr>
        <w:t>2.5.</w:t>
      </w:r>
      <w:r>
        <w:rPr>
          <w:rFonts w:hint="default" w:ascii="Times New Roman" w:hAnsi="Times New Roman" w:eastAsia="仿宋_GB2312"/>
          <w:sz w:val="28"/>
          <w:szCs w:val="28"/>
        </w:rPr>
        <w:t>企业信息及填报历史记录查看</w:t>
      </w:r>
      <w:bookmarkEnd w:id="31"/>
    </w:p>
    <w:p w14:paraId="6294F004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点击右上角头像，进入企业信息，可对企业信息进行查看和修改。</w:t>
      </w:r>
    </w:p>
    <w:p w14:paraId="57C7142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3690620" cy="2314575"/>
            <wp:effectExtent l="0" t="0" r="12700" b="190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C038">
      <w:pPr>
        <w:widowControl/>
        <w:spacing w:line="360" w:lineRule="auto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点击右上角头像，进入企业填报历史，可对企业填报记录进行查看。</w:t>
      </w:r>
    </w:p>
    <w:p w14:paraId="2F1318D8">
      <w:pPr>
        <w:pStyle w:val="3"/>
        <w:spacing w:line="600" w:lineRule="exact"/>
        <w:ind w:left="0" w:leftChars="0"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黑体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212090</wp:posOffset>
            </wp:positionV>
            <wp:extent cx="4083685" cy="3752215"/>
            <wp:effectExtent l="0" t="0" r="635" b="12065"/>
            <wp:wrapTight wrapText="bothSides">
              <wp:wrapPolygon>
                <wp:start x="0" y="0"/>
                <wp:lineTo x="0" y="21319"/>
                <wp:lineTo x="21362" y="21319"/>
                <wp:lineTo x="21362" y="0"/>
                <wp:lineTo x="0" y="0"/>
              </wp:wrapPolygon>
            </wp:wrapTight>
            <wp:docPr id="4" name="图片 5" descr="5ec7ceb9a6de0554bdb423749459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5ec7ceb9a6de0554bdb4237494599a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0AE72D">
      <w:pPr>
        <w:pStyle w:val="3"/>
        <w:spacing w:line="600" w:lineRule="exact"/>
        <w:ind w:left="0" w:leftChars="0" w:firstLine="640" w:firstLineChars="200"/>
        <w:rPr>
          <w:rFonts w:ascii="Times New Roman" w:hAnsi="Times New Roman" w:eastAsia="仿宋_GB2312"/>
          <w:sz w:val="32"/>
          <w:szCs w:val="32"/>
        </w:rPr>
      </w:pPr>
    </w:p>
    <w:p w14:paraId="01D818DB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585F0E41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4A5B268E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4A903B90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7590ABCC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6940E1B6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76934A98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07B8106F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6810C5A8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4773B8C5">
      <w:pPr>
        <w:pStyle w:val="3"/>
        <w:spacing w:line="600" w:lineRule="exact"/>
        <w:ind w:left="0" w:leftChars="0"/>
        <w:rPr>
          <w:rFonts w:ascii="Times New Roman" w:hAnsi="Times New Roman" w:eastAsia="黑体"/>
          <w:sz w:val="32"/>
          <w:szCs w:val="40"/>
        </w:rPr>
      </w:pPr>
    </w:p>
    <w:p w14:paraId="17DC77B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AC30">
    <w:pPr>
      <w:pStyle w:val="7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922CCB"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MT0TX7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8922CCB"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5DEEBFEA"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03C6B7"/>
    <w:multiLevelType w:val="multilevel"/>
    <w:tmpl w:val="BC03C6B7"/>
    <w:lvl w:ilvl="0" w:tentative="0">
      <w:start w:val="1"/>
      <w:numFmt w:val="decimal"/>
      <w:pStyle w:val="4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5"/>
      <w:lvlText w:val="%1.%2.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1MjU4YmE5OGRlOTQ2MTk5NGQ5MzBiNjM4MmFlZjcifQ=="/>
  </w:docVars>
  <w:rsids>
    <w:rsidRoot w:val="033E522E"/>
    <w:rsid w:val="033E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numPr>
        <w:ilvl w:val="0"/>
        <w:numId w:val="1"/>
      </w:numPr>
      <w:spacing w:before="100" w:beforeAutospacing="1" w:after="100" w:afterAutospacing="1"/>
      <w:ind w:left="432" w:hanging="432"/>
      <w:jc w:val="left"/>
      <w:outlineLvl w:val="0"/>
    </w:pPr>
    <w:rPr>
      <w:rFonts w:hint="eastAsia" w:ascii="宋体" w:hAnsi="宋体"/>
      <w:b/>
      <w:kern w:val="44"/>
      <w:sz w:val="36"/>
      <w:szCs w:val="48"/>
    </w:rPr>
  </w:style>
  <w:style w:type="paragraph" w:styleId="5">
    <w:name w:val="heading 2"/>
    <w:basedOn w:val="1"/>
    <w:next w:val="1"/>
    <w:qFormat/>
    <w:uiPriority w:val="0"/>
    <w:pPr>
      <w:numPr>
        <w:ilvl w:val="1"/>
        <w:numId w:val="1"/>
      </w:numPr>
      <w:spacing w:before="100" w:beforeAutospacing="1" w:after="100" w:afterAutospacing="1"/>
      <w:jc w:val="left"/>
      <w:outlineLvl w:val="1"/>
    </w:pPr>
    <w:rPr>
      <w:rFonts w:hint="eastAsia" w:ascii="宋体" w:hAnsi="宋体"/>
      <w:b/>
      <w:kern w:val="0"/>
      <w:sz w:val="32"/>
      <w:szCs w:val="36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0"/>
    <w:pPr>
      <w:spacing w:after="120"/>
    </w:pPr>
  </w:style>
  <w:style w:type="paragraph" w:styleId="3">
    <w:name w:val="toc 5"/>
    <w:basedOn w:val="1"/>
    <w:next w:val="1"/>
    <w:qFormat/>
    <w:uiPriority w:val="0"/>
    <w:pPr>
      <w:ind w:left="1680" w:leftChars="800"/>
    </w:pPr>
  </w:style>
  <w:style w:type="paragraph" w:styleId="6">
    <w:name w:val="index 5"/>
    <w:basedOn w:val="1"/>
    <w:next w:val="1"/>
    <w:qFormat/>
    <w:uiPriority w:val="0"/>
    <w:pPr>
      <w:ind w:left="800" w:leftChars="800"/>
    </w:pPr>
    <w:rPr>
      <w:rFonts w:ascii="Times New Roman" w:hAnsi="Times New Roman" w:eastAsia="宋体" w:cs="Times New Roman"/>
    </w:rPr>
  </w:style>
  <w:style w:type="paragraph" w:styleId="7">
    <w:name w:val="footer"/>
    <w:basedOn w:val="1"/>
    <w:next w:val="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  <w:pPr>
      <w:spacing w:before="240" w:after="120"/>
      <w:jc w:val="left"/>
    </w:pPr>
    <w:rPr>
      <w:rFonts w:ascii="仿宋" w:hAnsi="仿宋" w:eastAsia="仿宋" w:cs="黑体"/>
      <w:b/>
      <w:bCs/>
      <w:sz w:val="32"/>
      <w:szCs w:val="20"/>
    </w:rPr>
  </w:style>
  <w:style w:type="paragraph" w:styleId="9">
    <w:name w:val="toc 2"/>
    <w:basedOn w:val="1"/>
    <w:next w:val="1"/>
    <w:qFormat/>
    <w:uiPriority w:val="39"/>
    <w:pPr>
      <w:spacing w:before="120"/>
      <w:ind w:left="280"/>
      <w:jc w:val="left"/>
    </w:pPr>
    <w:rPr>
      <w:rFonts w:ascii="仿宋" w:hAnsi="仿宋" w:eastAsia="仿宋" w:cs="黑体"/>
      <w:iCs/>
      <w:sz w:val="32"/>
      <w:szCs w:val="20"/>
    </w:rPr>
  </w:style>
  <w:style w:type="character" w:styleId="12">
    <w:name w:val="Hyperlink"/>
    <w:qFormat/>
    <w:uiPriority w:val="0"/>
    <w:rPr>
      <w:rFonts w:ascii="Times New Roman" w:hAnsi="Times New Roman" w:eastAsia="宋体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2025-02-19T08:01:00Z</dcterms:created>
  <dc:creator>杨祖德</dc:creator>
  <cp:lastModifiedBy>杨祖德</cp:lastModifiedBy>
  <dcterms:modified xsi:type="dcterms:W3CDTF">2025-02-19T08:01:41Z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1F4F6D3619CC47F0B68BED97AF38128C_11</vt:lpwstr>
  </property>
</Properties>
</file>