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wordWrap/>
        <w:overflowPunct/>
        <w:topLinePunct w:val="0"/>
        <w:autoSpaceDE w:val="0"/>
        <w:autoSpaceDN w:val="0"/>
        <w:bidi w:val="0"/>
        <w:adjustRightInd w:val="0"/>
        <w:snapToGrid w:val="0"/>
        <w:spacing w:line="360" w:lineRule="exact"/>
        <w:jc w:val="left"/>
        <w:textAlignment w:val="baseline"/>
        <w:rPr>
          <w:rFonts w:hint="eastAsia" w:ascii="黑体" w:hAnsi="黑体" w:eastAsia="黑体" w:cs="黑体"/>
          <w:sz w:val="32"/>
          <w:szCs w:val="32"/>
        </w:rPr>
      </w:pPr>
      <w:bookmarkStart w:id="0" w:name="_GoBack"/>
      <w:bookmarkEnd w:id="0"/>
      <w:r>
        <w:rPr>
          <w:rFonts w:hint="eastAsia" w:ascii="黑体" w:hAnsi="黑体" w:eastAsia="黑体" w:cs="黑体"/>
          <w:sz w:val="32"/>
          <w:szCs w:val="32"/>
        </w:rPr>
        <w:t>附件1</w:t>
      </w:r>
    </w:p>
    <w:p>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林草有害生物防治2025年中央预算内投资计划申报表</w:t>
      </w:r>
    </w:p>
    <w:p>
      <w:pPr>
        <w:keepNext w:val="0"/>
        <w:keepLines w:val="0"/>
        <w:pageBreakBefore w:val="0"/>
        <w:widowControl/>
        <w:wordWrap/>
        <w:overflowPunct/>
        <w:topLinePunct w:val="0"/>
        <w:autoSpaceDE w:val="0"/>
        <w:autoSpaceDN w:val="0"/>
        <w:bidi w:val="0"/>
        <w:adjustRightInd w:val="0"/>
        <w:snapToGrid w:val="0"/>
        <w:spacing w:line="360" w:lineRule="exact"/>
        <w:jc w:val="right"/>
        <w:textAlignment w:val="baseline"/>
      </w:pPr>
      <w:r>
        <w:t>单位：万元</w:t>
      </w:r>
    </w:p>
    <w:p>
      <w:pPr>
        <w:keepNext w:val="0"/>
        <w:keepLines w:val="0"/>
        <w:pageBreakBefore w:val="0"/>
        <w:widowControl/>
        <w:wordWrap/>
        <w:overflowPunct/>
        <w:topLinePunct w:val="0"/>
        <w:autoSpaceDE w:val="0"/>
        <w:autoSpaceDN w:val="0"/>
        <w:bidi w:val="0"/>
        <w:adjustRightInd w:val="0"/>
        <w:snapToGrid w:val="0"/>
        <w:spacing w:line="360" w:lineRule="exact"/>
        <w:textAlignment w:val="baseline"/>
      </w:pPr>
    </w:p>
    <w:tbl>
      <w:tblPr>
        <w:tblStyle w:val="5"/>
        <w:tblW w:w="140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630"/>
        <w:gridCol w:w="1020"/>
        <w:gridCol w:w="710"/>
        <w:gridCol w:w="680"/>
        <w:gridCol w:w="1384"/>
        <w:gridCol w:w="776"/>
        <w:gridCol w:w="830"/>
        <w:gridCol w:w="820"/>
        <w:gridCol w:w="1699"/>
        <w:gridCol w:w="1041"/>
        <w:gridCol w:w="1320"/>
        <w:gridCol w:w="1459"/>
        <w:gridCol w:w="5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3" w:hRule="atLeast"/>
        </w:trPr>
        <w:tc>
          <w:tcPr>
            <w:tcW w:w="1160" w:type="dxa"/>
            <w:tcBorders>
              <w:left w:val="nil"/>
            </w:tcBorders>
            <w:vAlign w:val="center"/>
          </w:tcPr>
          <w:p>
            <w:pPr>
              <w:keepNext w:val="0"/>
              <w:keepLines w:val="0"/>
              <w:pageBreakBefore w:val="0"/>
              <w:widowControl/>
              <w:kinsoku/>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任务名称</w:t>
            </w:r>
          </w:p>
        </w:tc>
        <w:tc>
          <w:tcPr>
            <w:tcW w:w="630" w:type="dxa"/>
            <w:vAlign w:val="center"/>
          </w:tcPr>
          <w:p>
            <w:pPr>
              <w:keepNext w:val="0"/>
              <w:keepLines w:val="0"/>
              <w:pageBreakBefore w:val="0"/>
              <w:widowControl/>
              <w:kinsoku/>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建设 性质</w:t>
            </w:r>
          </w:p>
        </w:tc>
        <w:tc>
          <w:tcPr>
            <w:tcW w:w="1020" w:type="dxa"/>
            <w:vAlign w:val="center"/>
          </w:tcPr>
          <w:p>
            <w:pPr>
              <w:keepNext w:val="0"/>
              <w:keepLines w:val="0"/>
              <w:pageBreakBefore w:val="0"/>
              <w:widowControl/>
              <w:kinsoku/>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建设规模</w:t>
            </w:r>
          </w:p>
        </w:tc>
        <w:tc>
          <w:tcPr>
            <w:tcW w:w="710" w:type="dxa"/>
            <w:vAlign w:val="center"/>
          </w:tcPr>
          <w:p>
            <w:pPr>
              <w:keepNext w:val="0"/>
              <w:keepLines w:val="0"/>
              <w:pageBreakBefore w:val="0"/>
              <w:widowControl/>
              <w:kinsoku/>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拟开</w:t>
            </w:r>
          </w:p>
          <w:p>
            <w:pPr>
              <w:keepNext w:val="0"/>
              <w:keepLines w:val="0"/>
              <w:pageBreakBefore w:val="0"/>
              <w:widowControl/>
              <w:kinsoku/>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工年</w:t>
            </w:r>
          </w:p>
          <w:p>
            <w:pPr>
              <w:keepNext w:val="0"/>
              <w:keepLines w:val="0"/>
              <w:pageBreakBefore w:val="0"/>
              <w:widowControl/>
              <w:kinsoku/>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份</w:t>
            </w:r>
          </w:p>
        </w:tc>
        <w:tc>
          <w:tcPr>
            <w:tcW w:w="680" w:type="dxa"/>
            <w:vAlign w:val="center"/>
          </w:tcPr>
          <w:p>
            <w:pPr>
              <w:keepNext w:val="0"/>
              <w:keepLines w:val="0"/>
              <w:pageBreakBefore w:val="0"/>
              <w:widowControl/>
              <w:kinsoku/>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拟建</w:t>
            </w:r>
          </w:p>
          <w:p>
            <w:pPr>
              <w:keepNext w:val="0"/>
              <w:keepLines w:val="0"/>
              <w:pageBreakBefore w:val="0"/>
              <w:widowControl/>
              <w:kinsoku/>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成年</w:t>
            </w:r>
          </w:p>
          <w:p>
            <w:pPr>
              <w:keepNext w:val="0"/>
              <w:keepLines w:val="0"/>
              <w:pageBreakBefore w:val="0"/>
              <w:widowControl/>
              <w:kinsoku/>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份</w:t>
            </w:r>
          </w:p>
        </w:tc>
        <w:tc>
          <w:tcPr>
            <w:tcW w:w="1384" w:type="dxa"/>
            <w:vAlign w:val="center"/>
          </w:tcPr>
          <w:p>
            <w:pPr>
              <w:keepNext w:val="0"/>
              <w:keepLines w:val="0"/>
              <w:pageBreakBefore w:val="0"/>
              <w:widowControl/>
              <w:kinsoku/>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投资类别</w:t>
            </w:r>
          </w:p>
        </w:tc>
        <w:tc>
          <w:tcPr>
            <w:tcW w:w="776" w:type="dxa"/>
            <w:vAlign w:val="center"/>
          </w:tcPr>
          <w:p>
            <w:pPr>
              <w:keepNext w:val="0"/>
              <w:keepLines w:val="0"/>
              <w:pageBreakBefore w:val="0"/>
              <w:widowControl/>
              <w:kinsoku/>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总投资</w:t>
            </w:r>
          </w:p>
        </w:tc>
        <w:tc>
          <w:tcPr>
            <w:tcW w:w="830" w:type="dxa"/>
            <w:vAlign w:val="center"/>
          </w:tcPr>
          <w:p>
            <w:pPr>
              <w:keepNext w:val="0"/>
              <w:keepLines w:val="0"/>
              <w:pageBreakBefore w:val="0"/>
              <w:widowControl/>
              <w:kinsoku/>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已下达 投资</w:t>
            </w:r>
          </w:p>
        </w:tc>
        <w:tc>
          <w:tcPr>
            <w:tcW w:w="820" w:type="dxa"/>
            <w:vAlign w:val="center"/>
          </w:tcPr>
          <w:p>
            <w:pPr>
              <w:keepNext w:val="0"/>
              <w:keepLines w:val="0"/>
              <w:pageBreakBefore w:val="0"/>
              <w:widowControl/>
              <w:kinsoku/>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本次下  达投资</w:t>
            </w:r>
          </w:p>
        </w:tc>
        <w:tc>
          <w:tcPr>
            <w:tcW w:w="1699" w:type="dxa"/>
            <w:vAlign w:val="center"/>
          </w:tcPr>
          <w:p>
            <w:pPr>
              <w:keepNext w:val="0"/>
              <w:keepLines w:val="0"/>
              <w:pageBreakBefore w:val="0"/>
              <w:widowControl/>
              <w:kinsoku/>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年度建设内容</w:t>
            </w:r>
          </w:p>
        </w:tc>
        <w:tc>
          <w:tcPr>
            <w:tcW w:w="1041" w:type="dxa"/>
            <w:vAlign w:val="center"/>
          </w:tcPr>
          <w:p>
            <w:pPr>
              <w:keepNext w:val="0"/>
              <w:keepLines w:val="0"/>
              <w:pageBreakBefore w:val="0"/>
              <w:widowControl/>
              <w:kinsoku/>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任务性质</w:t>
            </w:r>
          </w:p>
        </w:tc>
        <w:tc>
          <w:tcPr>
            <w:tcW w:w="1320" w:type="dxa"/>
            <w:vAlign w:val="center"/>
          </w:tcPr>
          <w:p>
            <w:pPr>
              <w:keepNext w:val="0"/>
              <w:keepLines w:val="0"/>
              <w:pageBreakBefore w:val="0"/>
              <w:widowControl/>
              <w:kinsoku/>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项目(法人)</w:t>
            </w:r>
          </w:p>
          <w:p>
            <w:pPr>
              <w:keepNext w:val="0"/>
              <w:keepLines w:val="0"/>
              <w:pageBreakBefore w:val="0"/>
              <w:widowControl/>
              <w:kinsoku/>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单位及项目 责任人</w:t>
            </w:r>
          </w:p>
        </w:tc>
        <w:tc>
          <w:tcPr>
            <w:tcW w:w="1459" w:type="dxa"/>
            <w:vAlign w:val="center"/>
          </w:tcPr>
          <w:p>
            <w:pPr>
              <w:keepNext w:val="0"/>
              <w:keepLines w:val="0"/>
              <w:pageBreakBefore w:val="0"/>
              <w:widowControl/>
              <w:kinsoku/>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日常监管</w:t>
            </w:r>
          </w:p>
          <w:p>
            <w:pPr>
              <w:keepNext w:val="0"/>
              <w:keepLines w:val="0"/>
              <w:pageBreakBefore w:val="0"/>
              <w:widowControl/>
              <w:kinsoku/>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直接责任单位 及监管责任人</w:t>
            </w:r>
          </w:p>
        </w:tc>
        <w:tc>
          <w:tcPr>
            <w:tcW w:w="570" w:type="dxa"/>
            <w:tcBorders>
              <w:right w:val="nil"/>
            </w:tcBorders>
            <w:textDirection w:val="tbRlV"/>
            <w:vAlign w:val="center"/>
          </w:tcPr>
          <w:p>
            <w:pPr>
              <w:keepNext w:val="0"/>
              <w:keepLines w:val="0"/>
              <w:pageBreakBefore w:val="0"/>
              <w:widowControl/>
              <w:kinsoku/>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7" w:hRule="atLeast"/>
        </w:trPr>
        <w:tc>
          <w:tcPr>
            <w:tcW w:w="1160" w:type="dxa"/>
            <w:tcBorders>
              <w:left w:val="nil"/>
            </w:tcBorders>
            <w:vAlign w:val="top"/>
          </w:tcPr>
          <w:p>
            <w:pPr>
              <w:keepNext w:val="0"/>
              <w:keepLines w:val="0"/>
              <w:pageBreakBefore w:val="0"/>
              <w:widowControl/>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xx省(x项)</w:t>
            </w:r>
          </w:p>
          <w:p>
            <w:pPr>
              <w:keepNext w:val="0"/>
              <w:keepLines w:val="0"/>
              <w:pageBreakBefore w:val="0"/>
              <w:widowControl/>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sz w:val="20"/>
                <w:szCs w:val="20"/>
              </w:rPr>
            </w:pPr>
          </w:p>
          <w:p>
            <w:pPr>
              <w:keepNext w:val="0"/>
              <w:keepLines w:val="0"/>
              <w:pageBreakBefore w:val="0"/>
              <w:widowControl/>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sz w:val="20"/>
                <w:szCs w:val="20"/>
              </w:rPr>
            </w:pPr>
          </w:p>
          <w:p>
            <w:pPr>
              <w:keepNext w:val="0"/>
              <w:keepLines w:val="0"/>
              <w:pageBreakBefore w:val="0"/>
              <w:widowControl/>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sz w:val="20"/>
                <w:szCs w:val="20"/>
              </w:rPr>
            </w:pPr>
          </w:p>
          <w:p>
            <w:pPr>
              <w:keepNext w:val="0"/>
              <w:keepLines w:val="0"/>
              <w:pageBreakBefore w:val="0"/>
              <w:widowControl/>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sz w:val="20"/>
                <w:szCs w:val="20"/>
              </w:rPr>
            </w:pPr>
          </w:p>
          <w:p>
            <w:pPr>
              <w:keepNext w:val="0"/>
              <w:keepLines w:val="0"/>
              <w:pageBreakBefore w:val="0"/>
              <w:widowControl/>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sz w:val="20"/>
                <w:szCs w:val="20"/>
              </w:rPr>
            </w:pPr>
          </w:p>
          <w:p>
            <w:pPr>
              <w:keepNext w:val="0"/>
              <w:keepLines w:val="0"/>
              <w:pageBreakBefore w:val="0"/>
              <w:widowControl/>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xxx市松材 线虫病等重大林业有害生物防控能力提升项目</w:t>
            </w:r>
          </w:p>
        </w:tc>
        <w:tc>
          <w:tcPr>
            <w:tcW w:w="630" w:type="dxa"/>
            <w:vAlign w:val="top"/>
          </w:tcPr>
          <w:p>
            <w:pPr>
              <w:keepNext w:val="0"/>
              <w:keepLines w:val="0"/>
              <w:pageBreakBefore w:val="0"/>
              <w:widowControl/>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sz w:val="20"/>
                <w:szCs w:val="20"/>
              </w:rPr>
            </w:pPr>
          </w:p>
          <w:p>
            <w:pPr>
              <w:keepNext w:val="0"/>
              <w:keepLines w:val="0"/>
              <w:pageBreakBefore w:val="0"/>
              <w:widowControl/>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sz w:val="20"/>
                <w:szCs w:val="20"/>
              </w:rPr>
            </w:pPr>
          </w:p>
          <w:p>
            <w:pPr>
              <w:keepNext w:val="0"/>
              <w:keepLines w:val="0"/>
              <w:pageBreakBefore w:val="0"/>
              <w:widowControl/>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sz w:val="20"/>
                <w:szCs w:val="20"/>
              </w:rPr>
            </w:pPr>
          </w:p>
          <w:p>
            <w:pPr>
              <w:keepNext w:val="0"/>
              <w:keepLines w:val="0"/>
              <w:pageBreakBefore w:val="0"/>
              <w:widowControl/>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sz w:val="20"/>
                <w:szCs w:val="20"/>
              </w:rPr>
            </w:pPr>
          </w:p>
          <w:p>
            <w:pPr>
              <w:keepNext w:val="0"/>
              <w:keepLines w:val="0"/>
              <w:pageBreakBefore w:val="0"/>
              <w:widowControl/>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sz w:val="20"/>
                <w:szCs w:val="20"/>
              </w:rPr>
            </w:pPr>
          </w:p>
          <w:p>
            <w:pPr>
              <w:keepNext w:val="0"/>
              <w:keepLines w:val="0"/>
              <w:pageBreakBefore w:val="0"/>
              <w:widowControl/>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sz w:val="20"/>
                <w:szCs w:val="20"/>
              </w:rPr>
            </w:pPr>
          </w:p>
          <w:p>
            <w:pPr>
              <w:keepNext w:val="0"/>
              <w:keepLines w:val="0"/>
              <w:pageBreakBefore w:val="0"/>
              <w:widowControl/>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新建</w:t>
            </w:r>
          </w:p>
        </w:tc>
        <w:tc>
          <w:tcPr>
            <w:tcW w:w="1020" w:type="dxa"/>
            <w:vAlign w:val="top"/>
          </w:tcPr>
          <w:p>
            <w:pPr>
              <w:keepNext w:val="0"/>
              <w:keepLines w:val="0"/>
              <w:pageBreakBefore w:val="0"/>
              <w:widowControl/>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sz w:val="20"/>
                <w:szCs w:val="20"/>
              </w:rPr>
            </w:pPr>
          </w:p>
          <w:p>
            <w:pPr>
              <w:keepNext w:val="0"/>
              <w:keepLines w:val="0"/>
              <w:pageBreakBefore w:val="0"/>
              <w:widowControl/>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sz w:val="20"/>
                <w:szCs w:val="20"/>
              </w:rPr>
            </w:pPr>
          </w:p>
          <w:p>
            <w:pPr>
              <w:keepNext w:val="0"/>
              <w:keepLines w:val="0"/>
              <w:pageBreakBefore w:val="0"/>
              <w:widowControl/>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sz w:val="20"/>
                <w:szCs w:val="20"/>
              </w:rPr>
            </w:pPr>
          </w:p>
          <w:p>
            <w:pPr>
              <w:keepNext w:val="0"/>
              <w:keepLines w:val="0"/>
              <w:pageBreakBefore w:val="0"/>
              <w:widowControl/>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sz w:val="20"/>
                <w:szCs w:val="20"/>
              </w:rPr>
            </w:pPr>
          </w:p>
          <w:p>
            <w:pPr>
              <w:keepNext w:val="0"/>
              <w:keepLines w:val="0"/>
              <w:pageBreakBefore w:val="0"/>
              <w:widowControl/>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sz w:val="20"/>
                <w:szCs w:val="20"/>
              </w:rPr>
            </w:pPr>
          </w:p>
          <w:p>
            <w:pPr>
              <w:keepNext w:val="0"/>
              <w:keepLines w:val="0"/>
              <w:pageBreakBefore w:val="0"/>
              <w:widowControl/>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sz w:val="20"/>
                <w:szCs w:val="20"/>
              </w:rPr>
            </w:pPr>
          </w:p>
          <w:p>
            <w:pPr>
              <w:keepNext w:val="0"/>
              <w:keepLines w:val="0"/>
              <w:pageBreakBefore w:val="0"/>
              <w:widowControl/>
              <w:wordWrap/>
              <w:overflowPunct/>
              <w:topLinePunct w:val="0"/>
              <w:autoSpaceDE w:val="0"/>
              <w:autoSpaceDN w:val="0"/>
              <w:bidi w:val="0"/>
              <w:adjustRightInd w:val="0"/>
              <w:snapToGrid w:val="0"/>
              <w:spacing w:line="320" w:lineRule="exact"/>
              <w:jc w:val="left"/>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建立松材 线虫病等 重大林业 有害生物 监测、检 疫和防疫 体系。</w:t>
            </w:r>
          </w:p>
        </w:tc>
        <w:tc>
          <w:tcPr>
            <w:tcW w:w="710" w:type="dxa"/>
            <w:vAlign w:val="top"/>
          </w:tcPr>
          <w:p>
            <w:pPr>
              <w:keepNext w:val="0"/>
              <w:keepLines w:val="0"/>
              <w:pageBreakBefore w:val="0"/>
              <w:widowControl/>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sz w:val="20"/>
                <w:szCs w:val="20"/>
              </w:rPr>
            </w:pPr>
          </w:p>
          <w:p>
            <w:pPr>
              <w:keepNext w:val="0"/>
              <w:keepLines w:val="0"/>
              <w:pageBreakBefore w:val="0"/>
              <w:widowControl/>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sz w:val="20"/>
                <w:szCs w:val="20"/>
              </w:rPr>
            </w:pPr>
          </w:p>
          <w:p>
            <w:pPr>
              <w:keepNext w:val="0"/>
              <w:keepLines w:val="0"/>
              <w:pageBreakBefore w:val="0"/>
              <w:widowControl/>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sz w:val="20"/>
                <w:szCs w:val="20"/>
              </w:rPr>
            </w:pPr>
          </w:p>
          <w:p>
            <w:pPr>
              <w:keepNext w:val="0"/>
              <w:keepLines w:val="0"/>
              <w:pageBreakBefore w:val="0"/>
              <w:widowControl/>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sz w:val="20"/>
                <w:szCs w:val="20"/>
              </w:rPr>
            </w:pPr>
          </w:p>
          <w:p>
            <w:pPr>
              <w:keepNext w:val="0"/>
              <w:keepLines w:val="0"/>
              <w:pageBreakBefore w:val="0"/>
              <w:widowControl/>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sz w:val="20"/>
                <w:szCs w:val="20"/>
              </w:rPr>
            </w:pPr>
          </w:p>
          <w:p>
            <w:pPr>
              <w:keepNext w:val="0"/>
              <w:keepLines w:val="0"/>
              <w:pageBreakBefore w:val="0"/>
              <w:widowControl/>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sz w:val="20"/>
                <w:szCs w:val="20"/>
              </w:rPr>
            </w:pPr>
          </w:p>
          <w:p>
            <w:pPr>
              <w:keepNext w:val="0"/>
              <w:keepLines w:val="0"/>
              <w:pageBreakBefore w:val="0"/>
              <w:widowControl/>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2025</w:t>
            </w:r>
          </w:p>
        </w:tc>
        <w:tc>
          <w:tcPr>
            <w:tcW w:w="680" w:type="dxa"/>
            <w:vAlign w:val="top"/>
          </w:tcPr>
          <w:p>
            <w:pPr>
              <w:keepNext w:val="0"/>
              <w:keepLines w:val="0"/>
              <w:pageBreakBefore w:val="0"/>
              <w:widowControl/>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sz w:val="20"/>
                <w:szCs w:val="20"/>
              </w:rPr>
            </w:pPr>
          </w:p>
          <w:p>
            <w:pPr>
              <w:keepNext w:val="0"/>
              <w:keepLines w:val="0"/>
              <w:pageBreakBefore w:val="0"/>
              <w:widowControl/>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sz w:val="20"/>
                <w:szCs w:val="20"/>
              </w:rPr>
            </w:pPr>
          </w:p>
          <w:p>
            <w:pPr>
              <w:keepNext w:val="0"/>
              <w:keepLines w:val="0"/>
              <w:pageBreakBefore w:val="0"/>
              <w:widowControl/>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sz w:val="20"/>
                <w:szCs w:val="20"/>
              </w:rPr>
            </w:pPr>
          </w:p>
          <w:p>
            <w:pPr>
              <w:keepNext w:val="0"/>
              <w:keepLines w:val="0"/>
              <w:pageBreakBefore w:val="0"/>
              <w:widowControl/>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sz w:val="20"/>
                <w:szCs w:val="20"/>
              </w:rPr>
            </w:pPr>
          </w:p>
          <w:p>
            <w:pPr>
              <w:keepNext w:val="0"/>
              <w:keepLines w:val="0"/>
              <w:pageBreakBefore w:val="0"/>
              <w:widowControl/>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sz w:val="20"/>
                <w:szCs w:val="20"/>
              </w:rPr>
            </w:pPr>
          </w:p>
          <w:p>
            <w:pPr>
              <w:keepNext w:val="0"/>
              <w:keepLines w:val="0"/>
              <w:pageBreakBefore w:val="0"/>
              <w:widowControl/>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sz w:val="20"/>
                <w:szCs w:val="20"/>
              </w:rPr>
            </w:pPr>
          </w:p>
          <w:p>
            <w:pPr>
              <w:keepNext w:val="0"/>
              <w:keepLines w:val="0"/>
              <w:pageBreakBefore w:val="0"/>
              <w:widowControl/>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2026</w:t>
            </w:r>
          </w:p>
        </w:tc>
        <w:tc>
          <w:tcPr>
            <w:tcW w:w="1384" w:type="dxa"/>
            <w:vAlign w:val="top"/>
          </w:tcPr>
          <w:p>
            <w:pPr>
              <w:keepNext w:val="0"/>
              <w:keepLines w:val="0"/>
              <w:pageBreakBefore w:val="0"/>
              <w:widowControl/>
              <w:wordWrap/>
              <w:overflowPunct/>
              <w:topLinePunct w:val="0"/>
              <w:autoSpaceDE w:val="0"/>
              <w:autoSpaceDN w:val="0"/>
              <w:bidi w:val="0"/>
              <w:adjustRightInd w:val="0"/>
              <w:snapToGrid w:val="0"/>
              <w:spacing w:line="320" w:lineRule="exac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合计</w:t>
            </w:r>
          </w:p>
          <w:p>
            <w:pPr>
              <w:keepNext w:val="0"/>
              <w:keepLines w:val="0"/>
              <w:pageBreakBefore w:val="0"/>
              <w:widowControl/>
              <w:wordWrap/>
              <w:overflowPunct/>
              <w:topLinePunct w:val="0"/>
              <w:autoSpaceDE w:val="0"/>
              <w:autoSpaceDN w:val="0"/>
              <w:bidi w:val="0"/>
              <w:adjustRightInd w:val="0"/>
              <w:snapToGrid w:val="0"/>
              <w:spacing w:line="320" w:lineRule="exac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中央预算内投资</w:t>
            </w:r>
          </w:p>
          <w:p>
            <w:pPr>
              <w:keepNext w:val="0"/>
              <w:keepLines w:val="0"/>
              <w:pageBreakBefore w:val="0"/>
              <w:widowControl/>
              <w:wordWrap/>
              <w:overflowPunct/>
              <w:topLinePunct w:val="0"/>
              <w:autoSpaceDE w:val="0"/>
              <w:autoSpaceDN w:val="0"/>
              <w:bidi w:val="0"/>
              <w:adjustRightInd w:val="0"/>
              <w:snapToGrid w:val="0"/>
              <w:spacing w:line="320" w:lineRule="exac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其他投资</w:t>
            </w:r>
          </w:p>
          <w:p>
            <w:pPr>
              <w:keepNext w:val="0"/>
              <w:keepLines w:val="0"/>
              <w:pageBreakBefore w:val="0"/>
              <w:widowControl/>
              <w:wordWrap/>
              <w:overflowPunct/>
              <w:topLinePunct w:val="0"/>
              <w:autoSpaceDE w:val="0"/>
              <w:autoSpaceDN w:val="0"/>
              <w:bidi w:val="0"/>
              <w:adjustRightInd w:val="0"/>
              <w:snapToGrid w:val="0"/>
              <w:spacing w:line="320" w:lineRule="exact"/>
              <w:textAlignment w:val="baseline"/>
              <w:rPr>
                <w:rFonts w:hint="eastAsia" w:asciiTheme="minorEastAsia" w:hAnsiTheme="minorEastAsia" w:eastAsiaTheme="minorEastAsia" w:cstheme="minorEastAsia"/>
                <w:sz w:val="18"/>
                <w:szCs w:val="18"/>
              </w:rPr>
            </w:pPr>
          </w:p>
          <w:p>
            <w:pPr>
              <w:keepNext w:val="0"/>
              <w:keepLines w:val="0"/>
              <w:pageBreakBefore w:val="0"/>
              <w:widowControl/>
              <w:wordWrap/>
              <w:overflowPunct/>
              <w:topLinePunct w:val="0"/>
              <w:autoSpaceDE w:val="0"/>
              <w:autoSpaceDN w:val="0"/>
              <w:bidi w:val="0"/>
              <w:adjustRightInd w:val="0"/>
              <w:snapToGrid w:val="0"/>
              <w:spacing w:line="320" w:lineRule="exact"/>
              <w:textAlignment w:val="baseline"/>
              <w:rPr>
                <w:rFonts w:hint="eastAsia" w:asciiTheme="minorEastAsia" w:hAnsiTheme="minorEastAsia" w:eastAsiaTheme="minorEastAsia" w:cstheme="minorEastAsia"/>
                <w:sz w:val="18"/>
                <w:szCs w:val="18"/>
              </w:rPr>
            </w:pPr>
          </w:p>
          <w:p>
            <w:pPr>
              <w:keepNext w:val="0"/>
              <w:keepLines w:val="0"/>
              <w:pageBreakBefore w:val="0"/>
              <w:widowControl/>
              <w:wordWrap/>
              <w:overflowPunct/>
              <w:topLinePunct w:val="0"/>
              <w:autoSpaceDE w:val="0"/>
              <w:autoSpaceDN w:val="0"/>
              <w:bidi w:val="0"/>
              <w:adjustRightInd w:val="0"/>
              <w:snapToGrid w:val="0"/>
              <w:spacing w:line="320" w:lineRule="exact"/>
              <w:textAlignment w:val="baseline"/>
              <w:rPr>
                <w:rFonts w:hint="eastAsia" w:asciiTheme="minorEastAsia" w:hAnsiTheme="minorEastAsia" w:eastAsiaTheme="minorEastAsia" w:cstheme="minorEastAsia"/>
                <w:sz w:val="18"/>
                <w:szCs w:val="18"/>
              </w:rPr>
            </w:pPr>
          </w:p>
          <w:p>
            <w:pPr>
              <w:keepNext w:val="0"/>
              <w:keepLines w:val="0"/>
              <w:pageBreakBefore w:val="0"/>
              <w:widowControl/>
              <w:wordWrap/>
              <w:overflowPunct/>
              <w:topLinePunct w:val="0"/>
              <w:autoSpaceDE w:val="0"/>
              <w:autoSpaceDN w:val="0"/>
              <w:bidi w:val="0"/>
              <w:adjustRightInd w:val="0"/>
              <w:snapToGrid w:val="0"/>
              <w:spacing w:line="320" w:lineRule="exac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合计</w:t>
            </w:r>
          </w:p>
          <w:p>
            <w:pPr>
              <w:keepNext w:val="0"/>
              <w:keepLines w:val="0"/>
              <w:pageBreakBefore w:val="0"/>
              <w:widowControl/>
              <w:wordWrap/>
              <w:overflowPunct/>
              <w:topLinePunct w:val="0"/>
              <w:autoSpaceDE w:val="0"/>
              <w:autoSpaceDN w:val="0"/>
              <w:bidi w:val="0"/>
              <w:adjustRightInd w:val="0"/>
              <w:snapToGrid w:val="0"/>
              <w:spacing w:line="320" w:lineRule="exact"/>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中央预算内投资</w:t>
            </w:r>
          </w:p>
          <w:p>
            <w:pPr>
              <w:keepNext w:val="0"/>
              <w:keepLines w:val="0"/>
              <w:pageBreakBefore w:val="0"/>
              <w:widowControl/>
              <w:wordWrap/>
              <w:overflowPunct/>
              <w:topLinePunct w:val="0"/>
              <w:autoSpaceDE w:val="0"/>
              <w:autoSpaceDN w:val="0"/>
              <w:bidi w:val="0"/>
              <w:adjustRightInd w:val="0"/>
              <w:snapToGrid w:val="0"/>
              <w:spacing w:line="320" w:lineRule="exact"/>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18"/>
                <w:szCs w:val="18"/>
              </w:rPr>
              <w:t>其他投资</w:t>
            </w:r>
          </w:p>
        </w:tc>
        <w:tc>
          <w:tcPr>
            <w:tcW w:w="776" w:type="dxa"/>
            <w:vAlign w:val="top"/>
          </w:tcPr>
          <w:p>
            <w:pPr>
              <w:keepNext w:val="0"/>
              <w:keepLines w:val="0"/>
              <w:pageBreakBefore w:val="0"/>
              <w:widowControl/>
              <w:wordWrap/>
              <w:overflowPunct/>
              <w:topLinePunct w:val="0"/>
              <w:autoSpaceDE w:val="0"/>
              <w:autoSpaceDN w:val="0"/>
              <w:bidi w:val="0"/>
              <w:adjustRightInd w:val="0"/>
              <w:snapToGrid w:val="0"/>
              <w:spacing w:line="320" w:lineRule="exact"/>
              <w:jc w:val="center"/>
              <w:textAlignment w:val="baseline"/>
              <w:rPr>
                <w:rFonts w:hint="default" w:ascii="Times New Roman" w:hAnsi="Times New Roman" w:cs="Times New Roman" w:eastAsiaTheme="minorEastAsia"/>
                <w:sz w:val="20"/>
                <w:szCs w:val="20"/>
                <w:lang w:val="en-US" w:eastAsia="zh-CN"/>
              </w:rPr>
            </w:pPr>
            <w:r>
              <w:rPr>
                <w:rFonts w:hint="default" w:ascii="Times New Roman" w:hAnsi="Times New Roman" w:cs="Times New Roman" w:eastAsiaTheme="minorEastAsia"/>
                <w:sz w:val="20"/>
                <w:szCs w:val="20"/>
                <w:lang w:val="en-US" w:eastAsia="zh-CN"/>
              </w:rPr>
              <w:t>xx</w:t>
            </w:r>
          </w:p>
          <w:p>
            <w:pPr>
              <w:keepNext w:val="0"/>
              <w:keepLines w:val="0"/>
              <w:pageBreakBefore w:val="0"/>
              <w:widowControl/>
              <w:wordWrap/>
              <w:overflowPunct/>
              <w:topLinePunct w:val="0"/>
              <w:autoSpaceDE w:val="0"/>
              <w:autoSpaceDN w:val="0"/>
              <w:bidi w:val="0"/>
              <w:adjustRightInd w:val="0"/>
              <w:snapToGrid w:val="0"/>
              <w:spacing w:line="320" w:lineRule="exact"/>
              <w:jc w:val="center"/>
              <w:textAlignment w:val="baseline"/>
              <w:rPr>
                <w:rFonts w:hint="default" w:ascii="Times New Roman" w:hAnsi="Times New Roman" w:cs="Times New Roman" w:eastAsiaTheme="minorEastAsia"/>
                <w:sz w:val="20"/>
                <w:szCs w:val="20"/>
                <w:lang w:val="en-US" w:eastAsia="zh-CN"/>
              </w:rPr>
            </w:pPr>
            <w:r>
              <w:rPr>
                <w:rFonts w:hint="default" w:ascii="Times New Roman" w:hAnsi="Times New Roman" w:cs="Times New Roman" w:eastAsiaTheme="minorEastAsia"/>
                <w:sz w:val="20"/>
                <w:szCs w:val="20"/>
                <w:lang w:val="en-US" w:eastAsia="zh-CN"/>
              </w:rPr>
              <w:t>xx</w:t>
            </w:r>
          </w:p>
          <w:p>
            <w:pPr>
              <w:keepNext w:val="0"/>
              <w:keepLines w:val="0"/>
              <w:pageBreakBefore w:val="0"/>
              <w:widowControl/>
              <w:wordWrap/>
              <w:overflowPunct/>
              <w:topLinePunct w:val="0"/>
              <w:autoSpaceDE w:val="0"/>
              <w:autoSpaceDN w:val="0"/>
              <w:bidi w:val="0"/>
              <w:adjustRightInd w:val="0"/>
              <w:snapToGrid w:val="0"/>
              <w:spacing w:line="320" w:lineRule="exact"/>
              <w:jc w:val="center"/>
              <w:textAlignment w:val="baseline"/>
              <w:rPr>
                <w:rFonts w:hint="default" w:ascii="Times New Roman" w:hAnsi="Times New Roman" w:cs="Times New Roman" w:eastAsiaTheme="minorEastAsia"/>
                <w:sz w:val="20"/>
                <w:szCs w:val="20"/>
                <w:lang w:val="en-US" w:eastAsia="zh-CN"/>
              </w:rPr>
            </w:pPr>
            <w:r>
              <w:rPr>
                <w:rFonts w:hint="default" w:ascii="Times New Roman" w:hAnsi="Times New Roman" w:cs="Times New Roman" w:eastAsiaTheme="minorEastAsia"/>
                <w:sz w:val="20"/>
                <w:szCs w:val="20"/>
                <w:lang w:val="en-US" w:eastAsia="zh-CN"/>
              </w:rPr>
              <w:t>xx</w:t>
            </w:r>
          </w:p>
          <w:p>
            <w:pPr>
              <w:keepNext w:val="0"/>
              <w:keepLines w:val="0"/>
              <w:pageBreakBefore w:val="0"/>
              <w:widowControl/>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sz w:val="20"/>
                <w:szCs w:val="20"/>
                <w:lang w:val="en-US" w:eastAsia="zh-CN"/>
              </w:rPr>
            </w:pPr>
          </w:p>
          <w:p>
            <w:pPr>
              <w:keepNext w:val="0"/>
              <w:keepLines w:val="0"/>
              <w:pageBreakBefore w:val="0"/>
              <w:widowControl/>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sz w:val="20"/>
                <w:szCs w:val="20"/>
                <w:lang w:val="en-US" w:eastAsia="zh-CN"/>
              </w:rPr>
            </w:pPr>
          </w:p>
          <w:p>
            <w:pPr>
              <w:keepNext w:val="0"/>
              <w:keepLines w:val="0"/>
              <w:pageBreakBefore w:val="0"/>
              <w:widowControl/>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sz w:val="20"/>
                <w:szCs w:val="20"/>
                <w:lang w:val="en-US" w:eastAsia="zh-CN"/>
              </w:rPr>
            </w:pPr>
          </w:p>
          <w:p>
            <w:pPr>
              <w:keepNext w:val="0"/>
              <w:keepLines w:val="0"/>
              <w:pageBreakBefore w:val="0"/>
              <w:widowControl/>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xx</w:t>
            </w:r>
          </w:p>
          <w:p>
            <w:pPr>
              <w:keepNext w:val="0"/>
              <w:keepLines w:val="0"/>
              <w:pageBreakBefore w:val="0"/>
              <w:widowControl/>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xx</w:t>
            </w:r>
          </w:p>
          <w:p>
            <w:pPr>
              <w:keepNext w:val="0"/>
              <w:keepLines w:val="0"/>
              <w:pageBreakBefore w:val="0"/>
              <w:widowControl/>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xx</w:t>
            </w:r>
          </w:p>
        </w:tc>
        <w:tc>
          <w:tcPr>
            <w:tcW w:w="830" w:type="dxa"/>
            <w:vAlign w:val="top"/>
          </w:tcPr>
          <w:p>
            <w:pPr>
              <w:keepNext w:val="0"/>
              <w:keepLines w:val="0"/>
              <w:pageBreakBefore w:val="0"/>
              <w:widowControl/>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sz w:val="20"/>
                <w:szCs w:val="20"/>
              </w:rPr>
            </w:pPr>
          </w:p>
        </w:tc>
        <w:tc>
          <w:tcPr>
            <w:tcW w:w="820" w:type="dxa"/>
            <w:vAlign w:val="top"/>
          </w:tcPr>
          <w:p>
            <w:pPr>
              <w:keepNext w:val="0"/>
              <w:keepLines w:val="0"/>
              <w:pageBreakBefore w:val="0"/>
              <w:widowControl/>
              <w:wordWrap/>
              <w:overflowPunct/>
              <w:topLinePunct w:val="0"/>
              <w:autoSpaceDE w:val="0"/>
              <w:autoSpaceDN w:val="0"/>
              <w:bidi w:val="0"/>
              <w:adjustRightInd w:val="0"/>
              <w:snapToGrid w:val="0"/>
              <w:spacing w:line="320" w:lineRule="exact"/>
              <w:jc w:val="center"/>
              <w:textAlignment w:val="baseline"/>
              <w:rPr>
                <w:rFonts w:hint="eastAsia"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xx</w:t>
            </w:r>
          </w:p>
          <w:p>
            <w:pPr>
              <w:keepNext w:val="0"/>
              <w:keepLines w:val="0"/>
              <w:pageBreakBefore w:val="0"/>
              <w:widowControl/>
              <w:wordWrap/>
              <w:overflowPunct/>
              <w:topLinePunct w:val="0"/>
              <w:autoSpaceDE w:val="0"/>
              <w:autoSpaceDN w:val="0"/>
              <w:bidi w:val="0"/>
              <w:adjustRightInd w:val="0"/>
              <w:snapToGrid w:val="0"/>
              <w:spacing w:line="320" w:lineRule="exact"/>
              <w:jc w:val="center"/>
              <w:textAlignment w:val="baseline"/>
              <w:rPr>
                <w:rFonts w:hint="eastAsia"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xx</w:t>
            </w:r>
          </w:p>
          <w:p>
            <w:pPr>
              <w:keepNext w:val="0"/>
              <w:keepLines w:val="0"/>
              <w:pageBreakBefore w:val="0"/>
              <w:widowControl/>
              <w:wordWrap/>
              <w:overflowPunct/>
              <w:topLinePunct w:val="0"/>
              <w:autoSpaceDE w:val="0"/>
              <w:autoSpaceDN w:val="0"/>
              <w:bidi w:val="0"/>
              <w:adjustRightInd w:val="0"/>
              <w:snapToGrid w:val="0"/>
              <w:spacing w:line="320" w:lineRule="exact"/>
              <w:jc w:val="center"/>
              <w:textAlignment w:val="baseline"/>
              <w:rPr>
                <w:rFonts w:hint="eastAsia"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xx</w:t>
            </w:r>
          </w:p>
          <w:p>
            <w:pPr>
              <w:keepNext w:val="0"/>
              <w:keepLines w:val="0"/>
              <w:pageBreakBefore w:val="0"/>
              <w:widowControl/>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sz w:val="20"/>
                <w:szCs w:val="20"/>
                <w:lang w:val="en-US" w:eastAsia="zh-CN"/>
              </w:rPr>
            </w:pPr>
          </w:p>
          <w:p>
            <w:pPr>
              <w:keepNext w:val="0"/>
              <w:keepLines w:val="0"/>
              <w:pageBreakBefore w:val="0"/>
              <w:widowControl/>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sz w:val="20"/>
                <w:szCs w:val="20"/>
                <w:lang w:val="en-US" w:eastAsia="zh-CN"/>
              </w:rPr>
            </w:pPr>
          </w:p>
          <w:p>
            <w:pPr>
              <w:keepNext w:val="0"/>
              <w:keepLines w:val="0"/>
              <w:pageBreakBefore w:val="0"/>
              <w:widowControl/>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sz w:val="20"/>
                <w:szCs w:val="20"/>
                <w:lang w:val="en-US" w:eastAsia="zh-CN"/>
              </w:rPr>
            </w:pPr>
          </w:p>
          <w:p>
            <w:pPr>
              <w:keepNext w:val="0"/>
              <w:keepLines w:val="0"/>
              <w:pageBreakBefore w:val="0"/>
              <w:widowControl/>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xx</w:t>
            </w:r>
          </w:p>
          <w:p>
            <w:pPr>
              <w:keepNext w:val="0"/>
              <w:keepLines w:val="0"/>
              <w:pageBreakBefore w:val="0"/>
              <w:widowControl/>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xx</w:t>
            </w:r>
          </w:p>
          <w:p>
            <w:pPr>
              <w:keepNext w:val="0"/>
              <w:keepLines w:val="0"/>
              <w:pageBreakBefore w:val="0"/>
              <w:widowControl/>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xx</w:t>
            </w:r>
          </w:p>
        </w:tc>
        <w:tc>
          <w:tcPr>
            <w:tcW w:w="1699" w:type="dxa"/>
            <w:vAlign w:val="top"/>
          </w:tcPr>
          <w:p>
            <w:pPr>
              <w:keepNext w:val="0"/>
              <w:keepLines w:val="0"/>
              <w:pageBreakBefore w:val="0"/>
              <w:widowControl/>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sz w:val="20"/>
                <w:szCs w:val="20"/>
              </w:rPr>
            </w:pPr>
          </w:p>
          <w:p>
            <w:pPr>
              <w:keepNext w:val="0"/>
              <w:keepLines w:val="0"/>
              <w:pageBreakBefore w:val="0"/>
              <w:widowControl/>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sz w:val="20"/>
                <w:szCs w:val="20"/>
              </w:rPr>
            </w:pPr>
          </w:p>
          <w:p>
            <w:pPr>
              <w:keepNext w:val="0"/>
              <w:keepLines w:val="0"/>
              <w:pageBreakBefore w:val="0"/>
              <w:widowControl/>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sz w:val="20"/>
                <w:szCs w:val="20"/>
              </w:rPr>
            </w:pPr>
          </w:p>
          <w:p>
            <w:pPr>
              <w:keepNext w:val="0"/>
              <w:keepLines w:val="0"/>
              <w:pageBreakBefore w:val="0"/>
              <w:widowControl/>
              <w:wordWrap/>
              <w:overflowPunct/>
              <w:topLinePunct w:val="0"/>
              <w:autoSpaceDE w:val="0"/>
              <w:autoSpaceDN w:val="0"/>
              <w:bidi w:val="0"/>
              <w:adjustRightInd w:val="0"/>
              <w:snapToGrid w:val="0"/>
              <w:spacing w:line="320" w:lineRule="exact"/>
              <w:jc w:val="both"/>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建设林业有害生  物信息化管理   体、林业有害生  物监测预警体   系、林业有害生  物监测预警中心、熏蒸库房</w:t>
            </w:r>
            <w:r>
              <w:rPr>
                <w:rFonts w:hint="eastAsia" w:asciiTheme="minorEastAsia" w:hAnsiTheme="minorEastAsia" w:eastAsiaTheme="minorEastAsia" w:cstheme="minorEastAsia"/>
                <w:sz w:val="20"/>
                <w:szCs w:val="20"/>
                <w:lang w:eastAsia="zh-CN"/>
              </w:rPr>
              <w:t>；</w:t>
            </w:r>
            <w:r>
              <w:rPr>
                <w:rFonts w:hint="eastAsia" w:asciiTheme="minorEastAsia" w:hAnsiTheme="minorEastAsia" w:eastAsiaTheme="minorEastAsia" w:cstheme="minorEastAsia"/>
                <w:sz w:val="20"/>
                <w:szCs w:val="20"/>
              </w:rPr>
              <w:t xml:space="preserve"> 购置防治减灾设备、疫木处理设备、以及实验室配套仪器设备等。</w:t>
            </w:r>
          </w:p>
        </w:tc>
        <w:tc>
          <w:tcPr>
            <w:tcW w:w="1041" w:type="dxa"/>
            <w:vAlign w:val="top"/>
          </w:tcPr>
          <w:p>
            <w:pPr>
              <w:keepNext w:val="0"/>
              <w:keepLines w:val="0"/>
              <w:pageBreakBefore w:val="0"/>
              <w:widowControl/>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sz w:val="20"/>
                <w:szCs w:val="20"/>
              </w:rPr>
            </w:pPr>
          </w:p>
          <w:p>
            <w:pPr>
              <w:keepNext w:val="0"/>
              <w:keepLines w:val="0"/>
              <w:pageBreakBefore w:val="0"/>
              <w:widowControl/>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sz w:val="20"/>
                <w:szCs w:val="20"/>
              </w:rPr>
            </w:pPr>
          </w:p>
          <w:p>
            <w:pPr>
              <w:keepNext w:val="0"/>
              <w:keepLines w:val="0"/>
              <w:pageBreakBefore w:val="0"/>
              <w:widowControl/>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sz w:val="20"/>
                <w:szCs w:val="20"/>
              </w:rPr>
            </w:pPr>
          </w:p>
          <w:p>
            <w:pPr>
              <w:keepNext w:val="0"/>
              <w:keepLines w:val="0"/>
              <w:pageBreakBefore w:val="0"/>
              <w:widowControl/>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sz w:val="20"/>
                <w:szCs w:val="20"/>
              </w:rPr>
            </w:pPr>
          </w:p>
          <w:p>
            <w:pPr>
              <w:keepNext w:val="0"/>
              <w:keepLines w:val="0"/>
              <w:pageBreakBefore w:val="0"/>
              <w:widowControl/>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sz w:val="20"/>
                <w:szCs w:val="20"/>
              </w:rPr>
            </w:pPr>
          </w:p>
          <w:p>
            <w:pPr>
              <w:keepNext w:val="0"/>
              <w:keepLines w:val="0"/>
              <w:pageBreakBefore w:val="0"/>
              <w:widowControl/>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sz w:val="20"/>
                <w:szCs w:val="20"/>
              </w:rPr>
            </w:pPr>
          </w:p>
          <w:p>
            <w:pPr>
              <w:keepNext w:val="0"/>
              <w:keepLines w:val="0"/>
              <w:pageBreakBefore w:val="0"/>
              <w:widowControl/>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约束性任务</w:t>
            </w:r>
          </w:p>
        </w:tc>
        <w:tc>
          <w:tcPr>
            <w:tcW w:w="1320" w:type="dxa"/>
            <w:vAlign w:val="top"/>
          </w:tcPr>
          <w:p>
            <w:pPr>
              <w:keepNext w:val="0"/>
              <w:keepLines w:val="0"/>
              <w:pageBreakBefore w:val="0"/>
              <w:widowControl/>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sz w:val="20"/>
                <w:szCs w:val="20"/>
              </w:rPr>
            </w:pPr>
          </w:p>
          <w:p>
            <w:pPr>
              <w:keepNext w:val="0"/>
              <w:keepLines w:val="0"/>
              <w:pageBreakBefore w:val="0"/>
              <w:widowControl/>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sz w:val="20"/>
                <w:szCs w:val="20"/>
              </w:rPr>
            </w:pPr>
          </w:p>
          <w:p>
            <w:pPr>
              <w:keepNext w:val="0"/>
              <w:keepLines w:val="0"/>
              <w:pageBreakBefore w:val="0"/>
              <w:widowControl/>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sz w:val="20"/>
                <w:szCs w:val="20"/>
              </w:rPr>
            </w:pPr>
          </w:p>
          <w:p>
            <w:pPr>
              <w:keepNext w:val="0"/>
              <w:keepLines w:val="0"/>
              <w:pageBreakBefore w:val="0"/>
              <w:widowControl/>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sz w:val="20"/>
                <w:szCs w:val="20"/>
              </w:rPr>
            </w:pPr>
          </w:p>
          <w:p>
            <w:pPr>
              <w:keepNext w:val="0"/>
              <w:keepLines w:val="0"/>
              <w:pageBreakBefore w:val="0"/>
              <w:widowControl/>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sz w:val="20"/>
                <w:szCs w:val="20"/>
              </w:rPr>
            </w:pPr>
          </w:p>
          <w:p>
            <w:pPr>
              <w:keepNext w:val="0"/>
              <w:keepLines w:val="0"/>
              <w:pageBreakBefore w:val="0"/>
              <w:widowControl/>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sz w:val="20"/>
                <w:szCs w:val="20"/>
              </w:rPr>
            </w:pPr>
          </w:p>
          <w:p>
            <w:pPr>
              <w:keepNext w:val="0"/>
              <w:keepLines w:val="0"/>
              <w:pageBreakBefore w:val="0"/>
              <w:widowControl/>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xx市林业局-xx</w:t>
            </w:r>
          </w:p>
        </w:tc>
        <w:tc>
          <w:tcPr>
            <w:tcW w:w="1459" w:type="dxa"/>
            <w:vAlign w:val="top"/>
          </w:tcPr>
          <w:p>
            <w:pPr>
              <w:keepNext w:val="0"/>
              <w:keepLines w:val="0"/>
              <w:pageBreakBefore w:val="0"/>
              <w:widowControl/>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sz w:val="20"/>
                <w:szCs w:val="20"/>
              </w:rPr>
            </w:pPr>
          </w:p>
          <w:p>
            <w:pPr>
              <w:keepNext w:val="0"/>
              <w:keepLines w:val="0"/>
              <w:pageBreakBefore w:val="0"/>
              <w:widowControl/>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sz w:val="20"/>
                <w:szCs w:val="20"/>
              </w:rPr>
            </w:pPr>
          </w:p>
          <w:p>
            <w:pPr>
              <w:keepNext w:val="0"/>
              <w:keepLines w:val="0"/>
              <w:pageBreakBefore w:val="0"/>
              <w:widowControl/>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sz w:val="20"/>
                <w:szCs w:val="20"/>
              </w:rPr>
            </w:pPr>
          </w:p>
          <w:p>
            <w:pPr>
              <w:keepNext w:val="0"/>
              <w:keepLines w:val="0"/>
              <w:pageBreakBefore w:val="0"/>
              <w:widowControl/>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sz w:val="20"/>
                <w:szCs w:val="20"/>
              </w:rPr>
            </w:pPr>
          </w:p>
          <w:p>
            <w:pPr>
              <w:keepNext w:val="0"/>
              <w:keepLines w:val="0"/>
              <w:pageBreakBefore w:val="0"/>
              <w:widowControl/>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sz w:val="20"/>
                <w:szCs w:val="20"/>
              </w:rPr>
            </w:pPr>
          </w:p>
          <w:p>
            <w:pPr>
              <w:keepNext w:val="0"/>
              <w:keepLines w:val="0"/>
              <w:pageBreakBefore w:val="0"/>
              <w:widowControl/>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sz w:val="20"/>
                <w:szCs w:val="20"/>
              </w:rPr>
            </w:pPr>
          </w:p>
          <w:p>
            <w:pPr>
              <w:keepNext w:val="0"/>
              <w:keepLines w:val="0"/>
              <w:pageBreakBefore w:val="0"/>
              <w:widowControl/>
              <w:wordWrap/>
              <w:overflowPunct/>
              <w:topLinePunct w:val="0"/>
              <w:autoSpaceDE w:val="0"/>
              <w:autoSpaceDN w:val="0"/>
              <w:bidi w:val="0"/>
              <w:adjustRightInd w:val="0"/>
              <w:snapToGrid w:val="0"/>
              <w:spacing w:line="320" w:lineRule="exact"/>
              <w:jc w:val="center"/>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xx省林</w:t>
            </w:r>
            <w:r>
              <w:rPr>
                <w:rFonts w:hint="eastAsia" w:asciiTheme="minorEastAsia" w:hAnsiTheme="minorEastAsia" w:eastAsiaTheme="minorEastAsia" w:cstheme="minorEastAsia"/>
                <w:sz w:val="20"/>
                <w:szCs w:val="20"/>
                <w:lang w:eastAsia="zh-CN"/>
              </w:rPr>
              <w:t>业</w:t>
            </w:r>
            <w:r>
              <w:rPr>
                <w:rFonts w:hint="eastAsia" w:asciiTheme="minorEastAsia" w:hAnsiTheme="minorEastAsia" w:eastAsiaTheme="minorEastAsia" w:cstheme="minorEastAsia"/>
                <w:sz w:val="20"/>
                <w:szCs w:val="20"/>
              </w:rPr>
              <w:t>局-xx</w:t>
            </w:r>
          </w:p>
        </w:tc>
        <w:tc>
          <w:tcPr>
            <w:tcW w:w="570" w:type="dxa"/>
            <w:tcBorders>
              <w:right w:val="nil"/>
            </w:tcBorders>
            <w:vAlign w:val="top"/>
          </w:tcPr>
          <w:p>
            <w:pPr>
              <w:keepNext w:val="0"/>
              <w:keepLines w:val="0"/>
              <w:pageBreakBefore w:val="0"/>
              <w:widowControl/>
              <w:wordWrap/>
              <w:overflowPunct/>
              <w:topLinePunct w:val="0"/>
              <w:autoSpaceDE w:val="0"/>
              <w:autoSpaceDN w:val="0"/>
              <w:bidi w:val="0"/>
              <w:adjustRightInd w:val="0"/>
              <w:snapToGrid w:val="0"/>
              <w:spacing w:line="320" w:lineRule="exact"/>
              <w:textAlignment w:val="baseline"/>
              <w:rPr>
                <w:rFonts w:hint="eastAsia" w:asciiTheme="minorEastAsia" w:hAnsiTheme="minorEastAsia" w:eastAsiaTheme="minorEastAsia" w:cstheme="minorEastAsia"/>
                <w:sz w:val="20"/>
                <w:szCs w:val="20"/>
              </w:rPr>
            </w:pPr>
          </w:p>
        </w:tc>
      </w:tr>
    </w:tbl>
    <w:p>
      <w:pPr>
        <w:keepNext w:val="0"/>
        <w:keepLines w:val="0"/>
        <w:pageBreakBefore w:val="0"/>
        <w:widowControl/>
        <w:wordWrap/>
        <w:overflowPunct/>
        <w:topLinePunct w:val="0"/>
        <w:autoSpaceDE w:val="0"/>
        <w:autoSpaceDN w:val="0"/>
        <w:bidi w:val="0"/>
        <w:adjustRightInd w:val="0"/>
        <w:snapToGrid w:val="0"/>
        <w:spacing w:line="596" w:lineRule="exact"/>
        <w:textAlignment w:val="baseline"/>
      </w:pPr>
    </w:p>
    <w:p>
      <w:pPr>
        <w:keepNext w:val="0"/>
        <w:keepLines w:val="0"/>
        <w:pageBreakBefore w:val="0"/>
        <w:widowControl/>
        <w:wordWrap/>
        <w:overflowPunct/>
        <w:topLinePunct w:val="0"/>
        <w:autoSpaceDE w:val="0"/>
        <w:autoSpaceDN w:val="0"/>
        <w:bidi w:val="0"/>
        <w:adjustRightInd w:val="0"/>
        <w:snapToGrid w:val="0"/>
        <w:spacing w:line="596" w:lineRule="exact"/>
        <w:textAlignment w:val="baseline"/>
        <w:sectPr>
          <w:footerReference r:id="rId5" w:type="default"/>
          <w:pgSz w:w="16840" w:h="11900"/>
          <w:pgMar w:top="1011" w:right="1380" w:bottom="1142" w:left="1359" w:header="0" w:footer="1009" w:gutter="0"/>
          <w:cols w:space="720" w:num="1"/>
        </w:sectPr>
      </w:pPr>
    </w:p>
    <w:p>
      <w:pPr>
        <w:keepNext w:val="0"/>
        <w:keepLines w:val="0"/>
        <w:pageBreakBefore w:val="0"/>
        <w:widowControl/>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32"/>
          <w:szCs w:val="32"/>
        </w:rPr>
      </w:pPr>
      <w:r>
        <w:rPr>
          <w:rFonts w:hint="eastAsia" w:ascii="黑体" w:hAnsi="黑体" w:eastAsia="黑体" w:cs="黑体"/>
          <w:sz w:val="32"/>
          <w:szCs w:val="32"/>
        </w:rPr>
        <w:t>附件2</w:t>
      </w:r>
    </w:p>
    <w:p>
      <w:pPr>
        <w:keepNext w:val="0"/>
        <w:keepLines w:val="0"/>
        <w:pageBreakBefore w:val="0"/>
        <w:widowControl/>
        <w:wordWrap/>
        <w:overflowPunct/>
        <w:topLinePunct w:val="0"/>
        <w:autoSpaceDE w:val="0"/>
        <w:autoSpaceDN w:val="0"/>
        <w:bidi w:val="0"/>
        <w:adjustRightInd w:val="0"/>
        <w:snapToGrid w:val="0"/>
        <w:spacing w:line="560" w:lineRule="exact"/>
        <w:textAlignment w:val="baseline"/>
      </w:pPr>
    </w:p>
    <w:p>
      <w:pPr>
        <w:keepNext w:val="0"/>
        <w:keepLines w:val="0"/>
        <w:pageBreakBefore w:val="0"/>
        <w:widowControl/>
        <w:wordWrap/>
        <w:overflowPunct/>
        <w:topLinePunct w:val="0"/>
        <w:autoSpaceDE w:val="0"/>
        <w:autoSpaceDN w:val="0"/>
        <w:bidi w:val="0"/>
        <w:adjustRightInd w:val="0"/>
        <w:snapToGrid w:val="0"/>
        <w:spacing w:line="560" w:lineRule="exact"/>
        <w:textAlignment w:val="baseline"/>
      </w:pPr>
    </w:p>
    <w:p>
      <w:pPr>
        <w:keepNext w:val="0"/>
        <w:keepLines w:val="0"/>
        <w:pageBreakBefore w:val="0"/>
        <w:widowControl/>
        <w:wordWrap/>
        <w:overflowPunct/>
        <w:topLinePunct w:val="0"/>
        <w:autoSpaceDE w:val="0"/>
        <w:autoSpaceDN w:val="0"/>
        <w:bidi w:val="0"/>
        <w:adjustRightInd w:val="0"/>
        <w:snapToGrid w:val="0"/>
        <w:spacing w:line="560" w:lineRule="exact"/>
        <w:jc w:val="center"/>
        <w:textAlignment w:val="baseline"/>
        <w:rPr>
          <w:rFonts w:hint="eastAsia" w:ascii="方正公文小标宋" w:hAnsi="方正公文小标宋" w:eastAsia="方正公文小标宋" w:cs="方正公文小标宋"/>
          <w:sz w:val="36"/>
          <w:szCs w:val="36"/>
        </w:rPr>
      </w:pPr>
      <w:r>
        <w:rPr>
          <w:rFonts w:hint="eastAsia" w:ascii="方正公文小标宋" w:hAnsi="方正公文小标宋" w:eastAsia="方正公文小标宋" w:cs="方正公文小标宋"/>
          <w:sz w:val="36"/>
          <w:szCs w:val="36"/>
        </w:rPr>
        <w:t>林草有害生物防治中央预算内投资项目申报指南</w:t>
      </w:r>
    </w:p>
    <w:p>
      <w:pPr>
        <w:keepNext w:val="0"/>
        <w:keepLines w:val="0"/>
        <w:pageBreakBefore w:val="0"/>
        <w:widowControl/>
        <w:wordWrap/>
        <w:overflowPunct/>
        <w:topLinePunct w:val="0"/>
        <w:autoSpaceDE w:val="0"/>
        <w:autoSpaceDN w:val="0"/>
        <w:bidi w:val="0"/>
        <w:adjustRightInd w:val="0"/>
        <w:snapToGrid w:val="0"/>
        <w:spacing w:line="560" w:lineRule="exact"/>
        <w:textAlignment w:val="baseline"/>
      </w:pP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一、关于建设依据</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sz w:val="32"/>
          <w:szCs w:val="32"/>
        </w:rPr>
      </w:pPr>
      <w:r>
        <w:rPr>
          <w:rFonts w:hint="eastAsia" w:ascii="Times New Roman" w:hAnsi="Times New Roman" w:eastAsia="方正楷体_GB2312" w:cs="Times New Roman"/>
          <w:sz w:val="32"/>
          <w:szCs w:val="32"/>
          <w:lang w:eastAsia="zh-CN"/>
        </w:rPr>
        <w:t>（</w:t>
      </w:r>
      <w:r>
        <w:rPr>
          <w:rFonts w:hint="default" w:ascii="Times New Roman" w:hAnsi="Times New Roman" w:eastAsia="方正楷体_GB2312" w:cs="Times New Roman"/>
          <w:sz w:val="32"/>
          <w:szCs w:val="32"/>
        </w:rPr>
        <w:t>一</w:t>
      </w:r>
      <w:r>
        <w:rPr>
          <w:rFonts w:hint="eastAsia" w:ascii="Times New Roman" w:hAnsi="Times New Roman" w:eastAsia="方正楷体_GB2312" w:cs="Times New Roman"/>
          <w:sz w:val="32"/>
          <w:szCs w:val="32"/>
          <w:lang w:eastAsia="zh-CN"/>
        </w:rPr>
        <w:t>）</w:t>
      </w:r>
      <w:r>
        <w:rPr>
          <w:rFonts w:hint="default" w:ascii="Times New Roman" w:hAnsi="Times New Roman" w:eastAsia="方正楷体_GB2312" w:cs="Times New Roman"/>
          <w:sz w:val="32"/>
          <w:szCs w:val="32"/>
        </w:rPr>
        <w:t>规划依据。</w:t>
      </w:r>
      <w:r>
        <w:rPr>
          <w:rFonts w:hint="default" w:ascii="Times New Roman" w:hAnsi="Times New Roman" w:eastAsia="方正仿宋_GBK" w:cs="Times New Roman"/>
          <w:sz w:val="32"/>
          <w:szCs w:val="32"/>
        </w:rPr>
        <w:t>《全国动植物保护能力提升工程建设规划 (2017-2025年)》。</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sz w:val="32"/>
          <w:szCs w:val="32"/>
        </w:rPr>
      </w:pPr>
      <w:r>
        <w:rPr>
          <w:rFonts w:hint="eastAsia" w:ascii="Times New Roman" w:hAnsi="Times New Roman" w:eastAsia="方正楷体_GB2312" w:cs="Times New Roman"/>
          <w:sz w:val="32"/>
          <w:szCs w:val="32"/>
          <w:lang w:eastAsia="zh-CN"/>
        </w:rPr>
        <w:t>（二）</w:t>
      </w:r>
      <w:r>
        <w:rPr>
          <w:rFonts w:hint="default" w:ascii="Times New Roman" w:hAnsi="Times New Roman" w:eastAsia="方正仿宋_GBK" w:cs="Times New Roman"/>
          <w:sz w:val="32"/>
          <w:szCs w:val="32"/>
        </w:rPr>
        <w:t>建设标准。《林业有害生物防治工程项目建设标准》等。</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二、关于支持领域</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sz w:val="32"/>
          <w:szCs w:val="32"/>
        </w:rPr>
      </w:pPr>
      <w:r>
        <w:rPr>
          <w:rFonts w:hint="eastAsia" w:ascii="Times New Roman" w:hAnsi="Times New Roman" w:eastAsia="方正楷体_GB2312" w:cs="Times New Roman"/>
          <w:sz w:val="32"/>
          <w:szCs w:val="32"/>
          <w:lang w:eastAsia="zh-CN"/>
        </w:rPr>
        <w:t>（</w:t>
      </w:r>
      <w:r>
        <w:rPr>
          <w:rFonts w:hint="default" w:ascii="Times New Roman" w:hAnsi="Times New Roman" w:eastAsia="方正楷体_GB2312" w:cs="Times New Roman"/>
          <w:sz w:val="32"/>
          <w:szCs w:val="32"/>
        </w:rPr>
        <w:t>一</w:t>
      </w:r>
      <w:r>
        <w:rPr>
          <w:rFonts w:hint="eastAsia" w:ascii="Times New Roman" w:hAnsi="Times New Roman" w:eastAsia="方正楷体_GB2312" w:cs="Times New Roman"/>
          <w:sz w:val="32"/>
          <w:szCs w:val="32"/>
          <w:lang w:eastAsia="zh-CN"/>
        </w:rPr>
        <w:t>）</w:t>
      </w:r>
      <w:r>
        <w:rPr>
          <w:rFonts w:hint="default" w:ascii="Times New Roman" w:hAnsi="Times New Roman" w:eastAsia="方正仿宋_GBK" w:cs="Times New Roman"/>
          <w:sz w:val="32"/>
          <w:szCs w:val="32"/>
        </w:rPr>
        <w:t>建设范围。重点支持皖浙赣环黄山周边、闽浙赣环武夷 山、蒙辽吉黑四省(区)和秦巴山区松材线虫病疫情联防联控区， 高黎贡山、藏东南高原、云贵高原、长江和黄河中下游、三北重点 生态工程区等重点生态区域及周边地区。</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sz w:val="32"/>
          <w:szCs w:val="32"/>
        </w:rPr>
      </w:pPr>
      <w:r>
        <w:rPr>
          <w:rFonts w:hint="eastAsia" w:ascii="Times New Roman" w:hAnsi="Times New Roman" w:eastAsia="方正楷体_GB2312" w:cs="Times New Roman"/>
          <w:sz w:val="32"/>
          <w:szCs w:val="32"/>
          <w:lang w:eastAsia="zh-CN"/>
        </w:rPr>
        <w:t>（二）</w:t>
      </w:r>
      <w:r>
        <w:rPr>
          <w:rFonts w:hint="default" w:ascii="Times New Roman" w:hAnsi="Times New Roman" w:eastAsia="方正仿宋_GBK" w:cs="Times New Roman"/>
          <w:sz w:val="32"/>
          <w:szCs w:val="32"/>
        </w:rPr>
        <w:t>建设内容。以各级林草有害生物防治检疫机构或管理部 门和基层监测站点为依托，重点围绕松材线虫病、美国白蛾、迁飞性蝗虫等重大林草有害生物防控，重点开展基层监测、检疫、防治基础能力建设。不支持远程培训、办公用品、标本制作、宣传展示、科研实验、包装运输等服务保障类内容。</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——监测预警设备。支持县级监测站(点)建设，配备监测无 人机、移动调查终端、高空探照灯、自动气象监测站、测报工具 箱、非办公电脑等设施设备，以及外业监测调查交通工具。不支 持以遥感监测、防治预警为由，开发监测预警信息系统平台。</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检疫御灾设备。支持新建、维修或改造市、县级检疫检查  站或实验室；配备松材线虫快速检测、疫木除害处理、疫木除治监管、检疫工具箱、检疫执法记录仪、检疫执法交通工具等仪器装备。 不支持检疫除害处理场、检测试剂、检疫制服等内容。</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防治减灾设备。支持新建、维修或改造市、县应急防治物 资储备库(药剂药械库);配备防治用无人机、车载和便携式喷雾 (粉、烟)机、打孔注药设备、油锯、防治作业车等防治机具装备。 不支持防治药剂、森林抚育、防治技术培训、应急指挥车、生产用 车等建设内容。不支持新建、维修或改造市、县防治检疫站(中心)、 应急指挥中心、评估中心、宣传培训中心等基础设施。</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三、关于组织方式</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一</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项目组织。以省、地市级为项目法人单位按重点生态区及 周边地区等打包申请立项，国有森工企业局以集团为单位申报，鼓励申报省级项目。</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项目名称。</w:t>
      </w:r>
      <w:r>
        <w:rPr>
          <w:rFonts w:hint="eastAsia" w:ascii="Times New Roman" w:hAnsi="Times New Roman" w:eastAsia="方正仿宋_GBK" w:cs="Times New Roman"/>
          <w:sz w:val="32"/>
          <w:szCs w:val="32"/>
          <w:lang w:val="en-US" w:eastAsia="zh-CN"/>
        </w:rPr>
        <w:t>xx</w:t>
      </w:r>
      <w:r>
        <w:rPr>
          <w:rFonts w:hint="default" w:ascii="Times New Roman" w:hAnsi="Times New Roman" w:eastAsia="方正仿宋_GBK" w:cs="Times New Roman"/>
          <w:sz w:val="32"/>
          <w:szCs w:val="32"/>
        </w:rPr>
        <w:t>省(区、市)+重点山脉(重点生态区)+ 松材线虫病(美国白蛾)防治能力提升项目，xx 省xx 市林业有害生物防治能力提升项目。如：江西省(黄山周边地区)松材线虫病防治能力提升项目、福建省(武夷山国家公园片区)松材线虫病防治 能力提升项目、山东省临沂市林业有害生物防治综合能力提升项目。</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四、关于申报要求</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一</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避免重复建设。“十四五”期间，已实施过能力提升工 程项目的不能进行重复布局建设。</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严禁建设楼堂馆所。认真贯彻中央严禁新建楼堂馆所和厉行节约反对浪费的有关要求，严禁借新建、改建或扩建监测预警会商中心、鉴定中心、检测中心、标本中心、评估中心等名义，搭车建设具有住宿、餐饮、会议等接待功能的房屋建设项目。</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三</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严格控制建设规模。省级(国有森工集团)林草有害生 物防治检疫主管部门根据县区(森工局)承担防控任务不同，合理 调整项目布局，合理分配投资，优先建设承担国家重大监测、防控任务的县区(森工局)。</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四</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从严控制车辆、设备购置。需购置野外调查、防治作业、 检疫执法等特种车辆的项目，</w:t>
      </w:r>
      <w:r>
        <w:rPr>
          <w:rFonts w:hint="default" w:ascii="Times New Roman" w:hAnsi="Times New Roman" w:eastAsia="方正仿宋_GBK" w:cs="Times New Roman"/>
          <w:b/>
          <w:bCs/>
          <w:sz w:val="32"/>
          <w:szCs w:val="32"/>
        </w:rPr>
        <w:t>必须在可研报告中附上所在地公务用车改革管理部门对建设单位申请用车配置的意见</w:t>
      </w:r>
      <w:r>
        <w:rPr>
          <w:rFonts w:hint="default" w:ascii="Times New Roman" w:hAnsi="Times New Roman" w:eastAsia="方正仿宋_GBK" w:cs="Times New Roman"/>
          <w:sz w:val="32"/>
          <w:szCs w:val="32"/>
        </w:rPr>
        <w:t>；配备监测调查、检疫、防治等设备，应结合监测调查、检疫和防治工作人员的数量和实际需求适当购置，严禁超标准、超规模购置。</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五、关于投资估算</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中央预算内投资支持中央单位和西藏地区项目的比例为 100%;中央预算内投资支持地方项目的比例，东部、中部、西部、东北地区分别不超过核定总投资的60%、80%、90%、90%</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部分参照西部县管理，按相关政策执行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。地方投资部分，</w:t>
      </w:r>
      <w:r>
        <w:rPr>
          <w:rFonts w:hint="default" w:ascii="Times New Roman" w:hAnsi="Times New Roman" w:eastAsia="方正仿宋_GBK" w:cs="Times New Roman"/>
          <w:b/>
          <w:bCs/>
          <w:sz w:val="32"/>
          <w:szCs w:val="32"/>
        </w:rPr>
        <w:t>需出具地方投资承诺函，并承诺将地方投资纳入当年财政预算。</w:t>
      </w:r>
    </w:p>
    <w:sectPr>
      <w:footerReference r:id="rId6" w:type="default"/>
      <w:pgSz w:w="11900" w:h="16840"/>
      <w:pgMar w:top="1431" w:right="1340" w:bottom="1261" w:left="1619" w:header="0" w:footer="111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方正公文小标宋">
    <w:altName w:val="方正小标宋_GBK"/>
    <w:panose1 w:val="02000500000000000000"/>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楷体_GB2312">
    <w:altName w:val="楷体"/>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Nimbus Roman No9 L">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7069"/>
      <w:rPr>
        <w:rFonts w:ascii="Times New Roman" w:hAnsi="Times New Roman" w:eastAsia="Times New Roman" w:cs="Times New Roman"/>
        <w:sz w:val="15"/>
        <w:szCs w:val="15"/>
      </w:rPr>
    </w:pPr>
    <w:r>
      <w:rPr>
        <w:rFonts w:ascii="Times New Roman" w:hAnsi="Times New Roman" w:eastAsia="Times New Roman" w:cs="Times New Roman"/>
        <w:sz w:val="15"/>
        <w:szCs w:val="15"/>
      </w:rPr>
      <w:t>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340"/>
      <w:rPr>
        <w:rFonts w:ascii="Times New Roman" w:hAnsi="Times New Roman" w:eastAsia="Times New Roman" w:cs="Times New Roman"/>
        <w:sz w:val="16"/>
        <w:szCs w:val="16"/>
      </w:rPr>
    </w:pPr>
    <w:r>
      <w:rPr>
        <w:rFonts w:ascii="Times New Roman" w:hAnsi="Times New Roman" w:eastAsia="Times New Roman" w:cs="Times New Roman"/>
        <w:sz w:val="16"/>
        <w:szCs w:val="16"/>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jJlODY0Y2Y3MTcwMDJlYmU1YjhiNjMwZjQ0MTRhZDcifQ=="/>
  </w:docVars>
  <w:rsids>
    <w:rsidRoot w:val="00000000"/>
    <w:rsid w:val="053E049D"/>
    <w:rsid w:val="0C007C2F"/>
    <w:rsid w:val="0C615BEE"/>
    <w:rsid w:val="0EF25671"/>
    <w:rsid w:val="2ACDA3AB"/>
    <w:rsid w:val="2CBB1859"/>
    <w:rsid w:val="30D84E82"/>
    <w:rsid w:val="3DDFF964"/>
    <w:rsid w:val="4CBB7658"/>
    <w:rsid w:val="688D7AC5"/>
    <w:rsid w:val="7BEC370A"/>
    <w:rsid w:val="7D7D4BF7"/>
    <w:rsid w:val="7DFE1562"/>
    <w:rsid w:val="AF3F054F"/>
    <w:rsid w:val="F53ED1E6"/>
    <w:rsid w:val="F66E6469"/>
    <w:rsid w:val="FB1CD435"/>
    <w:rsid w:val="FDD337C1"/>
    <w:rsid w:val="FE5FBD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4"/>
      <w:szCs w:val="3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3522</Words>
  <Characters>3641</Characters>
  <TotalTime>970</TotalTime>
  <ScaleCrop>false</ScaleCrop>
  <LinksUpToDate>false</LinksUpToDate>
  <CharactersWithSpaces>3813</CharactersWithSpaces>
  <Application>WPS Office_11.8.2.10251_F1E327BC-269C-435d-A152-05C5408002CA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2024-10-09T02:43:00Z</dcterms:created>
  <dc:creator>Kingsoft-PDF</dc:creator>
  <cp:lastModifiedBy>greatwall</cp:lastModifiedBy>
  <dcterms:modified xsi:type="dcterms:W3CDTF">2024-10-11T15:46:43Z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2024-10-08T10:43:48Z</vt:filetime>
  </property>
  <property fmtid="{D5CDD505-2E9C-101B-9397-08002B2CF9AE}" pid="4" name="UsrData">
    <vt:lpwstr>67049c60d76378001fd60d98wl</vt:lpwstr>
  </property>
  <property fmtid="{D5CDD505-2E9C-101B-9397-08002B2CF9AE}" pid="5" name="KSOProductBuildVer">
    <vt:lpwstr>2052-11.8.2.10251</vt:lpwstr>
  </property>
  <property fmtid="{D5CDD505-2E9C-101B-9397-08002B2CF9AE}" pid="6" name="ICV">
    <vt:lpwstr>35086028AEDF421DB2FA4D8F3EFF53BC_12</vt:lpwstr>
  </property>
</Properties>
</file>