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2018-2020</w:t>
      </w:r>
      <w:r>
        <w:rPr>
          <w:rFonts w:hint="eastAsia" w:cs="宋体"/>
          <w:b/>
          <w:bCs/>
          <w:sz w:val="36"/>
          <w:szCs w:val="36"/>
        </w:rPr>
        <w:t>年全省及重点区域水路货运增量任务分解表</w:t>
      </w:r>
      <w:bookmarkStart w:id="0" w:name="_GoBack"/>
      <w:bookmarkEnd w:id="0"/>
    </w:p>
    <w:p>
      <w:pPr>
        <w:jc w:val="center"/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计量单位：万吨</w:t>
      </w:r>
    </w:p>
    <w:tbl>
      <w:tblPr>
        <w:tblStyle w:val="3"/>
        <w:tblW w:w="143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41"/>
        <w:gridCol w:w="2676"/>
        <w:gridCol w:w="1183"/>
        <w:gridCol w:w="1644"/>
        <w:gridCol w:w="1647"/>
        <w:gridCol w:w="1779"/>
        <w:gridCol w:w="1518"/>
        <w:gridCol w:w="1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内河货运量（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201710-201809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占比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增加量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增加量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增加量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年内河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货运量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增幅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长沙市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13.1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27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571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株洲市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61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1.6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湘潭市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3.0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131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衡阳市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7.9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347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邵阳市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0.0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岳阳市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450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11.4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507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常德市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1521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38.6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79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1682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张家界市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180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4.6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益阳市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547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13.9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58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605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郴州市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0.0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永州市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0.2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怀化市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132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3.3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139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娄底市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64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1.6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湘西自治州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0.8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33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</w:pPr>
            <w:r>
              <w:t>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内河合计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100.0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4340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beforeLines="23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</w:t>
            </w:r>
          </w:p>
        </w:tc>
      </w:tr>
    </w:tbl>
    <w:p>
      <w:pPr>
        <w:rPr>
          <w:rFonts w:cs="Times New Roman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F3BCA"/>
    <w:rsid w:val="194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2019-01-30T02:24:00Z</dcterms:created>
  <dc:creator>Van</dc:creator>
  <cp:lastModifiedBy>Van</cp:lastModifiedBy>
  <dcterms:modified xsi:type="dcterms:W3CDTF">2019-01-30T02:27:51Z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