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附件1</w:t>
      </w:r>
    </w:p>
    <w:p>
      <w:pPr>
        <w:spacing w:line="680" w:lineRule="exact"/>
        <w:jc w:val="center"/>
        <w:rPr>
          <w:rFonts w:eastAsia="方正小标宋简体"/>
          <w:sz w:val="44"/>
          <w:szCs w:val="44"/>
        </w:rPr>
      </w:pPr>
      <w:r>
        <w:rPr>
          <w:rFonts w:eastAsia="方正小标宋简体"/>
          <w:sz w:val="44"/>
          <w:szCs w:val="44"/>
        </w:rPr>
        <w:t>经</w:t>
      </w:r>
      <w:r>
        <w:rPr>
          <w:rFonts w:hint="eastAsia" w:eastAsia="方正小标宋简体"/>
          <w:sz w:val="44"/>
          <w:szCs w:val="44"/>
        </w:rPr>
        <w:t>政府</w:t>
      </w:r>
      <w:r>
        <w:rPr>
          <w:rFonts w:eastAsia="方正小标宋简体"/>
          <w:sz w:val="44"/>
          <w:szCs w:val="44"/>
        </w:rPr>
        <w:t>批准的土地开发利用</w:t>
      </w:r>
    </w:p>
    <w:p>
      <w:pPr>
        <w:spacing w:line="680" w:lineRule="exact"/>
        <w:jc w:val="center"/>
        <w:rPr>
          <w:rFonts w:eastAsia="方正小标宋简体"/>
          <w:sz w:val="44"/>
          <w:szCs w:val="44"/>
        </w:rPr>
      </w:pPr>
      <w:r>
        <w:rPr>
          <w:rFonts w:eastAsia="方正小标宋简体"/>
          <w:sz w:val="44"/>
          <w:szCs w:val="44"/>
        </w:rPr>
        <w:t>论证报告文本格式</w:t>
      </w:r>
    </w:p>
    <w:p>
      <w:pPr>
        <w:spacing w:line="560" w:lineRule="exact"/>
        <w:ind w:firstLine="646"/>
        <w:rPr>
          <w:rFonts w:eastAsia="楷体"/>
          <w:sz w:val="30"/>
          <w:szCs w:val="30"/>
        </w:rPr>
      </w:pPr>
    </w:p>
    <w:p>
      <w:pPr>
        <w:spacing w:line="680" w:lineRule="exact"/>
        <w:jc w:val="center"/>
        <w:rPr>
          <w:rFonts w:eastAsia="方正小标宋简体"/>
          <w:sz w:val="44"/>
          <w:szCs w:val="44"/>
        </w:rPr>
      </w:pPr>
      <w:r>
        <w:rPr>
          <w:rFonts w:eastAsia="方正小标宋简体"/>
          <w:sz w:val="44"/>
          <w:szCs w:val="44"/>
        </w:rPr>
        <w:t>关于××市</w:t>
      </w:r>
      <w:r>
        <w:rPr>
          <w:rFonts w:hint="eastAsia" w:eastAsia="方正小标宋简体"/>
          <w:sz w:val="44"/>
          <w:szCs w:val="44"/>
        </w:rPr>
        <w:t>州</w:t>
      </w:r>
      <w:r>
        <w:rPr>
          <w:rFonts w:eastAsia="方正小标宋简体"/>
          <w:sz w:val="44"/>
          <w:szCs w:val="44"/>
        </w:rPr>
        <w:t>、县</w:t>
      </w:r>
      <w:r>
        <w:rPr>
          <w:rFonts w:hint="eastAsia" w:eastAsia="方正小标宋简体"/>
          <w:sz w:val="44"/>
          <w:szCs w:val="44"/>
        </w:rPr>
        <w:t>（市）</w:t>
      </w:r>
      <w:r>
        <w:rPr>
          <w:rFonts w:eastAsia="方正小标宋简体"/>
          <w:sz w:val="44"/>
          <w:szCs w:val="44"/>
        </w:rPr>
        <w:t>××年度</w:t>
      </w:r>
    </w:p>
    <w:p>
      <w:pPr>
        <w:spacing w:line="680" w:lineRule="exact"/>
        <w:jc w:val="center"/>
        <w:rPr>
          <w:rFonts w:eastAsia="方正小标宋简体"/>
          <w:sz w:val="44"/>
          <w:szCs w:val="44"/>
        </w:rPr>
      </w:pPr>
      <w:r>
        <w:rPr>
          <w:rFonts w:eastAsia="方正小标宋简体"/>
          <w:sz w:val="44"/>
          <w:szCs w:val="44"/>
        </w:rPr>
        <w:t>第××批次土地开发利用的论证报告</w:t>
      </w:r>
    </w:p>
    <w:p>
      <w:pPr>
        <w:spacing w:line="580" w:lineRule="exact"/>
        <w:ind w:firstLine="646"/>
        <w:jc w:val="center"/>
        <w:rPr>
          <w:rFonts w:eastAsia="黑体"/>
          <w:b/>
          <w:sz w:val="32"/>
          <w:szCs w:val="32"/>
        </w:rPr>
      </w:pPr>
    </w:p>
    <w:p>
      <w:pPr>
        <w:spacing w:line="580" w:lineRule="exact"/>
        <w:ind w:firstLine="640" w:firstLineChars="200"/>
        <w:rPr>
          <w:rFonts w:eastAsia="仿宋_GB2312"/>
          <w:sz w:val="32"/>
          <w:szCs w:val="32"/>
        </w:rPr>
      </w:pPr>
      <w:r>
        <w:rPr>
          <w:rFonts w:eastAsia="仿宋_GB2312"/>
          <w:sz w:val="32"/>
          <w:szCs w:val="32"/>
        </w:rPr>
        <w:t>按照土地管理法律法规，依据我市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土地利用总体规划、城市规划及土地利用需求情况，在实地踏勘和收集资料的基础上，我局对××市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×××年度第××批次建设用地的土地开发利用情况进行了论证分析，现报告如下：</w:t>
      </w:r>
    </w:p>
    <w:p>
      <w:pPr>
        <w:spacing w:line="580" w:lineRule="exact"/>
        <w:ind w:firstLine="640" w:firstLineChars="200"/>
        <w:rPr>
          <w:rFonts w:eastAsia="黑体"/>
          <w:sz w:val="32"/>
          <w:szCs w:val="32"/>
        </w:rPr>
      </w:pPr>
      <w:r>
        <w:rPr>
          <w:rFonts w:eastAsia="黑体"/>
          <w:sz w:val="32"/>
          <w:szCs w:val="32"/>
        </w:rPr>
        <w:t>一、申报地块情况</w:t>
      </w:r>
    </w:p>
    <w:p>
      <w:pPr>
        <w:spacing w:line="5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申报的地块编号和数量；</w:t>
      </w:r>
    </w:p>
    <w:p>
      <w:pPr>
        <w:spacing w:line="580" w:lineRule="exact"/>
        <w:ind w:firstLine="640" w:firstLineChars="200"/>
        <w:rPr>
          <w:rFonts w:eastAsia="仿宋_GB2312"/>
          <w:sz w:val="32"/>
          <w:szCs w:val="32"/>
        </w:rPr>
      </w:pPr>
      <w:r>
        <w:rPr>
          <w:rFonts w:eastAsia="仿宋_GB2312"/>
          <w:sz w:val="32"/>
          <w:szCs w:val="32"/>
        </w:rPr>
        <w:t>（二）申报总面积及地类；</w:t>
      </w:r>
    </w:p>
    <w:p>
      <w:pPr>
        <w:spacing w:line="580" w:lineRule="exact"/>
        <w:ind w:firstLine="627" w:firstLineChars="196"/>
        <w:rPr>
          <w:rFonts w:eastAsia="仿宋_GB2312"/>
          <w:sz w:val="32"/>
          <w:szCs w:val="32"/>
        </w:rPr>
      </w:pPr>
      <w:r>
        <w:rPr>
          <w:rFonts w:eastAsia="仿宋_GB2312"/>
          <w:sz w:val="32"/>
          <w:szCs w:val="32"/>
        </w:rPr>
        <w:t>（三）各地块用地区位、地类面积及土地权属等情况。</w:t>
      </w:r>
    </w:p>
    <w:p>
      <w:pPr>
        <w:spacing w:line="580" w:lineRule="exact"/>
        <w:ind w:firstLine="640" w:firstLineChars="200"/>
        <w:rPr>
          <w:rFonts w:eastAsia="黑体"/>
          <w:sz w:val="32"/>
          <w:szCs w:val="32"/>
        </w:rPr>
      </w:pPr>
      <w:r>
        <w:rPr>
          <w:rFonts w:eastAsia="黑体"/>
          <w:sz w:val="32"/>
          <w:szCs w:val="32"/>
        </w:rPr>
        <w:t>二、规划用途分析</w:t>
      </w:r>
    </w:p>
    <w:p>
      <w:pPr>
        <w:spacing w:line="580" w:lineRule="exact"/>
        <w:ind w:firstLine="645"/>
        <w:rPr>
          <w:rFonts w:eastAsia="仿宋_GB2312"/>
          <w:sz w:val="32"/>
          <w:szCs w:val="32"/>
        </w:rPr>
      </w:pPr>
      <w:r>
        <w:rPr>
          <w:rFonts w:eastAsia="仿宋_GB2312"/>
          <w:sz w:val="32"/>
          <w:szCs w:val="32"/>
        </w:rPr>
        <w:t>（一）具体说明该批次用地符合土地利用总体规划的情况；符合城市建设规划的情况。</w:t>
      </w:r>
    </w:p>
    <w:p>
      <w:pPr>
        <w:spacing w:line="580" w:lineRule="exact"/>
        <w:ind w:firstLine="645"/>
        <w:rPr>
          <w:rFonts w:eastAsia="仿宋_GB2312"/>
          <w:sz w:val="32"/>
          <w:szCs w:val="32"/>
        </w:rPr>
      </w:pPr>
      <w:r>
        <w:rPr>
          <w:rFonts w:eastAsia="仿宋_GB2312"/>
          <w:sz w:val="32"/>
          <w:szCs w:val="32"/>
        </w:rPr>
        <w:t>（二）说明按城市规划的定位，该批次申报土地用途结构比例情况，即依据《土地利用现状分类》（GB/T21010-2007）,按交通运输用地、公共管理与公共服务用地、商服用地、工矿仓储用地、住宅用地、其他用地（含特殊用地）等对申报用地进行土地用途分类，并分别核算面积和所占比例。</w:t>
      </w:r>
    </w:p>
    <w:p>
      <w:pPr>
        <w:spacing w:line="580" w:lineRule="exact"/>
        <w:ind w:firstLine="645"/>
        <w:rPr>
          <w:rFonts w:eastAsia="仿宋_GB2312"/>
          <w:sz w:val="32"/>
          <w:szCs w:val="32"/>
        </w:rPr>
      </w:pPr>
      <w:r>
        <w:rPr>
          <w:rFonts w:eastAsia="仿宋_GB2312"/>
          <w:sz w:val="32"/>
          <w:szCs w:val="32"/>
        </w:rPr>
        <w:t>（三）说明所申报住宅用地中，经济适用住房、廉租房、棚改房、安置房、限价商品房用地等类型用地面积及比例，并说明保障性住房（含经济适用住房、廉租房）、安置房、棚改房、中小套型普通商品住房用地占住宅用地的比例不低于70%（未达到的，说明理由）。</w:t>
      </w:r>
    </w:p>
    <w:p>
      <w:pPr>
        <w:spacing w:line="580" w:lineRule="exact"/>
        <w:ind w:firstLine="640" w:firstLineChars="200"/>
        <w:rPr>
          <w:rFonts w:eastAsia="黑体"/>
          <w:sz w:val="32"/>
          <w:szCs w:val="32"/>
        </w:rPr>
      </w:pPr>
      <w:r>
        <w:rPr>
          <w:rFonts w:eastAsia="黑体"/>
          <w:sz w:val="32"/>
          <w:szCs w:val="32"/>
        </w:rPr>
        <w:t>三、申报规模分析</w:t>
      </w:r>
    </w:p>
    <w:p>
      <w:pPr>
        <w:spacing w:line="580" w:lineRule="exact"/>
        <w:ind w:firstLine="645"/>
        <w:rPr>
          <w:rFonts w:eastAsia="仿宋_GB2312"/>
          <w:sz w:val="32"/>
          <w:szCs w:val="32"/>
        </w:rPr>
      </w:pPr>
      <w:r>
        <w:rPr>
          <w:rFonts w:eastAsia="仿宋_GB2312"/>
          <w:sz w:val="32"/>
          <w:szCs w:val="32"/>
        </w:rPr>
        <w:t>（一）说明该批次报批用地已纳入年度用地计划范围；</w:t>
      </w:r>
    </w:p>
    <w:p>
      <w:pPr>
        <w:spacing w:line="580" w:lineRule="exact"/>
        <w:ind w:firstLine="645"/>
        <w:rPr>
          <w:rFonts w:eastAsia="仿宋_GB2312"/>
          <w:sz w:val="32"/>
          <w:szCs w:val="32"/>
        </w:rPr>
      </w:pPr>
      <w:r>
        <w:rPr>
          <w:rFonts w:eastAsia="仿宋_GB2312"/>
          <w:sz w:val="32"/>
          <w:szCs w:val="32"/>
        </w:rPr>
        <w:t>（二）说明按照土地利用总体规划，该地区规划期内年度新增用地平均量是多少，并明确该地区本年度用地报批量未超过规划期内年度新增平均用地量；</w:t>
      </w:r>
    </w:p>
    <w:p>
      <w:pPr>
        <w:spacing w:line="580" w:lineRule="exact"/>
        <w:ind w:firstLine="645"/>
        <w:rPr>
          <w:rFonts w:eastAsia="仿宋_GB2312"/>
          <w:sz w:val="32"/>
          <w:szCs w:val="32"/>
        </w:rPr>
      </w:pPr>
      <w:r>
        <w:rPr>
          <w:rFonts w:eastAsia="仿宋_GB2312"/>
          <w:sz w:val="32"/>
          <w:szCs w:val="32"/>
        </w:rPr>
        <w:t xml:space="preserve">（三）说明该批次用地符合节约集约用地的要求，用地规模适当； </w:t>
      </w:r>
    </w:p>
    <w:p>
      <w:pPr>
        <w:spacing w:line="580" w:lineRule="exact"/>
        <w:ind w:firstLine="645"/>
        <w:rPr>
          <w:rFonts w:eastAsia="仿宋_GB2312"/>
          <w:sz w:val="32"/>
          <w:szCs w:val="32"/>
        </w:rPr>
      </w:pPr>
      <w:r>
        <w:rPr>
          <w:rFonts w:eastAsia="仿宋_GB2312"/>
          <w:sz w:val="32"/>
          <w:szCs w:val="32"/>
        </w:rPr>
        <w:t>（四）说明该地区上年度报批面积、批后实施征地情况、供地情况，明确在此次报批时，上年度征地率和供地率不低于60%和40%（未达到的，要说明理由）。</w:t>
      </w:r>
    </w:p>
    <w:p>
      <w:pPr>
        <w:spacing w:line="580" w:lineRule="exact"/>
        <w:ind w:firstLine="640" w:firstLineChars="200"/>
        <w:rPr>
          <w:rFonts w:eastAsia="黑体"/>
          <w:sz w:val="32"/>
          <w:szCs w:val="32"/>
        </w:rPr>
      </w:pPr>
      <w:r>
        <w:rPr>
          <w:rFonts w:eastAsia="黑体"/>
          <w:sz w:val="32"/>
          <w:szCs w:val="32"/>
        </w:rPr>
        <w:t>四、开发利用分析</w:t>
      </w:r>
    </w:p>
    <w:p>
      <w:pPr>
        <w:spacing w:line="580" w:lineRule="exact"/>
        <w:ind w:firstLine="645"/>
        <w:rPr>
          <w:rFonts w:eastAsia="楷体_GB2312"/>
          <w:sz w:val="32"/>
          <w:szCs w:val="32"/>
        </w:rPr>
      </w:pPr>
      <w:r>
        <w:rPr>
          <w:rFonts w:eastAsia="楷体_GB2312"/>
          <w:sz w:val="32"/>
          <w:szCs w:val="32"/>
        </w:rPr>
        <w:t>（一）必要性分析</w:t>
      </w:r>
    </w:p>
    <w:p>
      <w:pPr>
        <w:spacing w:line="580" w:lineRule="exact"/>
        <w:ind w:firstLine="645"/>
        <w:rPr>
          <w:rFonts w:eastAsia="仿宋_GB2312"/>
          <w:sz w:val="32"/>
          <w:szCs w:val="32"/>
        </w:rPr>
      </w:pPr>
      <w:r>
        <w:rPr>
          <w:rFonts w:eastAsia="仿宋_GB2312"/>
          <w:sz w:val="32"/>
          <w:szCs w:val="32"/>
        </w:rPr>
        <w:t>1．从城市发展的需要说明土地开发利用的必要性和意义；</w:t>
      </w:r>
    </w:p>
    <w:p>
      <w:pPr>
        <w:spacing w:line="580" w:lineRule="exact"/>
        <w:ind w:firstLine="645"/>
        <w:rPr>
          <w:rFonts w:eastAsia="仿宋_GB2312"/>
          <w:sz w:val="32"/>
          <w:szCs w:val="32"/>
        </w:rPr>
      </w:pPr>
      <w:r>
        <w:rPr>
          <w:rFonts w:eastAsia="仿宋_GB2312"/>
          <w:sz w:val="32"/>
          <w:szCs w:val="32"/>
        </w:rPr>
        <w:t>2．从市场需求方面说明土地开发利用的必要性和意义。</w:t>
      </w:r>
    </w:p>
    <w:p>
      <w:pPr>
        <w:spacing w:line="580" w:lineRule="exact"/>
        <w:ind w:firstLine="645"/>
        <w:rPr>
          <w:rFonts w:eastAsia="楷体_GB2312"/>
          <w:sz w:val="32"/>
          <w:szCs w:val="32"/>
        </w:rPr>
      </w:pPr>
      <w:r>
        <w:rPr>
          <w:rFonts w:eastAsia="楷体_GB2312"/>
          <w:sz w:val="32"/>
          <w:szCs w:val="32"/>
        </w:rPr>
        <w:t>（二）可行性分析</w:t>
      </w:r>
    </w:p>
    <w:p>
      <w:pPr>
        <w:spacing w:line="580" w:lineRule="exact"/>
        <w:ind w:firstLine="645"/>
        <w:rPr>
          <w:rFonts w:eastAsia="仿宋_GB2312"/>
          <w:sz w:val="32"/>
          <w:szCs w:val="32"/>
        </w:rPr>
      </w:pPr>
      <w:r>
        <w:rPr>
          <w:rFonts w:eastAsia="仿宋_GB2312"/>
          <w:sz w:val="32"/>
          <w:szCs w:val="32"/>
        </w:rPr>
        <w:t xml:space="preserve">1．资源条件分析：从该地区土地后备资源（含人均耕地和可开垦耕地）、开发潜力等方式进行论证分析； </w:t>
      </w:r>
    </w:p>
    <w:p>
      <w:pPr>
        <w:spacing w:line="580" w:lineRule="exact"/>
        <w:ind w:firstLine="645"/>
        <w:rPr>
          <w:rFonts w:eastAsia="仿宋_GB2312"/>
          <w:sz w:val="32"/>
          <w:szCs w:val="32"/>
        </w:rPr>
      </w:pPr>
      <w:r>
        <w:rPr>
          <w:rFonts w:eastAsia="仿宋_GB2312"/>
          <w:sz w:val="32"/>
          <w:szCs w:val="32"/>
        </w:rPr>
        <w:t>2．开发条件分析：从水、电、交通、学校等规划配套设施情况进行分析论证；</w:t>
      </w:r>
    </w:p>
    <w:p>
      <w:pPr>
        <w:spacing w:line="580" w:lineRule="exact"/>
        <w:ind w:firstLine="645"/>
        <w:rPr>
          <w:rFonts w:eastAsia="仿宋_GB2312"/>
          <w:sz w:val="32"/>
          <w:szCs w:val="32"/>
        </w:rPr>
      </w:pPr>
      <w:r>
        <w:rPr>
          <w:rFonts w:eastAsia="仿宋_GB2312"/>
          <w:sz w:val="32"/>
          <w:szCs w:val="32"/>
        </w:rPr>
        <w:t>3．选址可行性分析：从控规、地质、压矿、环评等方面说明选址的可行性；</w:t>
      </w:r>
    </w:p>
    <w:p>
      <w:pPr>
        <w:spacing w:line="580" w:lineRule="exact"/>
        <w:ind w:firstLine="645"/>
        <w:rPr>
          <w:rFonts w:eastAsia="仿宋_GB2312"/>
          <w:sz w:val="32"/>
          <w:szCs w:val="32"/>
        </w:rPr>
      </w:pPr>
      <w:r>
        <w:rPr>
          <w:rFonts w:eastAsia="仿宋_GB2312"/>
          <w:sz w:val="32"/>
          <w:szCs w:val="32"/>
        </w:rPr>
        <w:t>4．资金及效益分析：从资金准备及效益预测等方面论证分析。</w:t>
      </w:r>
    </w:p>
    <w:p>
      <w:pPr>
        <w:spacing w:line="580" w:lineRule="exact"/>
        <w:ind w:firstLine="645"/>
        <w:rPr>
          <w:rFonts w:eastAsia="楷体_GB2312"/>
          <w:sz w:val="32"/>
          <w:szCs w:val="32"/>
        </w:rPr>
      </w:pPr>
      <w:r>
        <w:rPr>
          <w:rFonts w:eastAsia="楷体_GB2312"/>
          <w:sz w:val="32"/>
          <w:szCs w:val="32"/>
        </w:rPr>
        <w:t>（三）实施影响分析</w:t>
      </w:r>
    </w:p>
    <w:p>
      <w:pPr>
        <w:spacing w:line="580" w:lineRule="exact"/>
        <w:ind w:firstLine="645"/>
        <w:rPr>
          <w:rFonts w:eastAsia="仿宋_GB2312"/>
          <w:sz w:val="32"/>
          <w:szCs w:val="32"/>
        </w:rPr>
      </w:pPr>
      <w:r>
        <w:rPr>
          <w:rFonts w:eastAsia="仿宋_GB2312"/>
          <w:sz w:val="32"/>
          <w:szCs w:val="32"/>
        </w:rPr>
        <w:t>主要分析土地开发利用在耕地补充、环境保护、劳动力安置、社会保障等方面可能产生的实施影响，及相应的控制措施。</w:t>
      </w:r>
    </w:p>
    <w:p>
      <w:pPr>
        <w:spacing w:line="580" w:lineRule="exact"/>
        <w:ind w:firstLine="640" w:firstLineChars="200"/>
        <w:rPr>
          <w:rFonts w:eastAsia="黑体"/>
          <w:sz w:val="32"/>
          <w:szCs w:val="32"/>
        </w:rPr>
      </w:pPr>
      <w:r>
        <w:rPr>
          <w:rFonts w:eastAsia="黑体"/>
          <w:sz w:val="32"/>
          <w:szCs w:val="32"/>
        </w:rPr>
        <w:t>五、供地方案分析</w:t>
      </w:r>
    </w:p>
    <w:p>
      <w:pPr>
        <w:spacing w:line="580" w:lineRule="exact"/>
        <w:ind w:firstLine="645"/>
        <w:rPr>
          <w:rFonts w:eastAsia="仿宋_GB2312"/>
          <w:sz w:val="32"/>
          <w:szCs w:val="32"/>
        </w:rPr>
      </w:pPr>
      <w:r>
        <w:rPr>
          <w:rFonts w:eastAsia="仿宋_GB2312"/>
          <w:sz w:val="32"/>
          <w:szCs w:val="32"/>
        </w:rPr>
        <w:t>（一）说明用地经批准后根据实际需求将引入××项目，安排项目符合产业政策和供地政策；</w:t>
      </w:r>
    </w:p>
    <w:p>
      <w:pPr>
        <w:spacing w:line="580" w:lineRule="exact"/>
        <w:ind w:firstLine="645"/>
        <w:rPr>
          <w:rFonts w:eastAsia="仿宋_GB2312"/>
          <w:sz w:val="32"/>
          <w:szCs w:val="32"/>
        </w:rPr>
      </w:pPr>
      <w:r>
        <w:rPr>
          <w:rFonts w:eastAsia="仿宋_GB2312"/>
          <w:sz w:val="32"/>
          <w:szCs w:val="32"/>
        </w:rPr>
        <w:t>（二）说明用地经批准后将严格按批准用途供地，拟采取的供地方式符合法律法规政策的规定；</w:t>
      </w:r>
    </w:p>
    <w:p>
      <w:pPr>
        <w:spacing w:line="580" w:lineRule="exact"/>
        <w:ind w:firstLine="645"/>
        <w:rPr>
          <w:rFonts w:eastAsia="仿宋_GB2312"/>
          <w:sz w:val="32"/>
          <w:szCs w:val="32"/>
        </w:rPr>
      </w:pPr>
      <w:r>
        <w:rPr>
          <w:rFonts w:eastAsia="仿宋_GB2312"/>
          <w:sz w:val="32"/>
          <w:szCs w:val="32"/>
        </w:rPr>
        <w:t>（三）说明用地经批准后安排项目用地须符合××建设用地定额指标的要求，在实施中将如何做到节约集约。</w:t>
      </w:r>
    </w:p>
    <w:p>
      <w:pPr>
        <w:spacing w:line="580" w:lineRule="exact"/>
        <w:ind w:firstLine="640" w:firstLineChars="200"/>
        <w:rPr>
          <w:rFonts w:eastAsia="仿宋_GB2312"/>
          <w:sz w:val="32"/>
          <w:szCs w:val="32"/>
        </w:rPr>
      </w:pPr>
      <w:r>
        <w:rPr>
          <w:rFonts w:eastAsia="仿宋_GB2312"/>
          <w:sz w:val="32"/>
          <w:szCs w:val="32"/>
        </w:rPr>
        <w:t>综上所述，×××批次城市建设用地选址合理，规模适当，开发可行，实施影响在可控范围内，符合国家产业政策和供地政策，符合城市建设用地批次报批要求。</w:t>
      </w:r>
    </w:p>
    <w:p>
      <w:pPr>
        <w:spacing w:line="580" w:lineRule="exact"/>
        <w:ind w:firstLine="640" w:firstLineChars="200"/>
        <w:rPr>
          <w:rFonts w:eastAsia="仿宋_GB2312"/>
          <w:sz w:val="32"/>
          <w:szCs w:val="32"/>
        </w:rPr>
      </w:pPr>
      <w:r>
        <w:rPr>
          <w:rFonts w:eastAsia="仿宋_GB2312"/>
          <w:sz w:val="32"/>
          <w:szCs w:val="32"/>
        </w:rPr>
        <w:t xml:space="preserve">                      </w:t>
      </w:r>
    </w:p>
    <w:p>
      <w:pPr>
        <w:spacing w:line="580" w:lineRule="exact"/>
        <w:ind w:firstLine="5440" w:firstLineChars="1700"/>
        <w:rPr>
          <w:rFonts w:eastAsia="仿宋_GB2312"/>
          <w:sz w:val="32"/>
          <w:szCs w:val="32"/>
        </w:rPr>
      </w:pPr>
      <w:r>
        <w:rPr>
          <w:rFonts w:eastAsia="仿宋_GB2312"/>
          <w:sz w:val="32"/>
          <w:szCs w:val="32"/>
        </w:rPr>
        <w:t>（公章）</w:t>
      </w:r>
    </w:p>
    <w:p>
      <w:pPr>
        <w:spacing w:line="580" w:lineRule="exact"/>
        <w:ind w:firstLine="4800" w:firstLineChars="1500"/>
        <w:rPr>
          <w:rFonts w:eastAsia="仿宋_GB2312"/>
          <w:sz w:val="32"/>
          <w:szCs w:val="32"/>
        </w:rPr>
      </w:pPr>
      <w:r>
        <w:rPr>
          <w:rFonts w:eastAsia="仿宋_GB2312"/>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北魏楷书简体">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B19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2017-03-23T07:44:54Z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