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1F73B">
      <w:pPr>
        <w:widowControl w:val="0"/>
        <w:adjustRightInd w:val="0"/>
        <w:snapToGrid w:val="0"/>
        <w:spacing w:line="600" w:lineRule="exact"/>
        <w:ind w:firstLine="0" w:firstLineChars="0"/>
        <w:jc w:val="left"/>
        <w:rPr>
          <w:rFonts w:ascii="方正书宋简体" w:hAnsi="方正书宋简体" w:eastAsia="仿宋_GB2312" w:cs="Times New Roman"/>
          <w:color w:val="000000"/>
          <w:kern w:val="0"/>
          <w:sz w:val="31"/>
          <w:szCs w:val="31"/>
          <w:lang w:val="en-US" w:eastAsia="zh-CN" w:bidi="ar-SA"/>
        </w:rPr>
      </w:pPr>
    </w:p>
    <w:p w14:paraId="3847F35D">
      <w:pPr>
        <w:widowControl w:val="0"/>
        <w:adjustRightInd w:val="0"/>
        <w:snapToGrid w:val="0"/>
        <w:spacing w:line="600" w:lineRule="exact"/>
        <w:ind w:firstLine="0" w:firstLineChars="0"/>
        <w:jc w:val="left"/>
        <w:rPr>
          <w:rFonts w:ascii="方正书宋简体" w:hAnsi="方正书宋简体" w:eastAsia="仿宋_GB2312" w:cs="Times New Roman"/>
          <w:color w:val="000000"/>
          <w:kern w:val="0"/>
          <w:sz w:val="31"/>
          <w:szCs w:val="31"/>
          <w:lang w:val="en-US" w:eastAsia="zh-CN" w:bidi="ar-SA"/>
        </w:rPr>
      </w:pPr>
    </w:p>
    <w:p w14:paraId="6D2C5732">
      <w:pPr>
        <w:widowControl w:val="0"/>
        <w:adjustRightInd w:val="0"/>
        <w:snapToGrid w:val="0"/>
        <w:spacing w:line="600" w:lineRule="exact"/>
        <w:jc w:val="center"/>
        <w:rPr>
          <w:rFonts w:hint="eastAsia" w:ascii="宋体" w:hAnsi="宋体" w:eastAsia="宋体" w:cs="宋体"/>
          <w:color w:val="000000"/>
          <w:kern w:val="0"/>
          <w:sz w:val="42"/>
          <w:szCs w:val="42"/>
          <w:lang w:val="en-US" w:eastAsia="zh-CN" w:bidi="ar-SA"/>
        </w:rPr>
      </w:pPr>
      <w:r>
        <w:rPr>
          <w:rFonts w:hint="eastAsia" w:ascii="宋体" w:hAnsi="宋体" w:eastAsia="宋体" w:cs="宋体"/>
          <w:color w:val="000000"/>
          <w:kern w:val="0"/>
          <w:sz w:val="42"/>
          <w:szCs w:val="42"/>
          <w:lang w:val="en-US" w:eastAsia="zh-CN" w:bidi="ar-SA"/>
        </w:rPr>
        <w:t>湖南省人民防空工程产权管理办法</w:t>
      </w:r>
    </w:p>
    <w:p w14:paraId="60181138">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20" w:firstLineChars="200"/>
        <w:jc w:val="both"/>
        <w:textAlignment w:val="auto"/>
        <w:rPr>
          <w:rFonts w:ascii="方正书宋简体" w:hAnsi="方正书宋简体" w:eastAsia="楷体_GB2312" w:cs="Times New Roman"/>
          <w:color w:val="000000"/>
          <w:kern w:val="0"/>
          <w:sz w:val="31"/>
          <w:szCs w:val="31"/>
          <w:lang w:val="en-US" w:eastAsia="zh-CN" w:bidi="ar-SA"/>
        </w:rPr>
      </w:pPr>
      <w:r>
        <w:rPr>
          <w:rFonts w:hint="eastAsia" w:ascii="方正书宋简体" w:hAnsi="方正书宋简体" w:eastAsia="楷体_GB2312" w:cs="Times New Roman"/>
          <w:color w:val="000000"/>
          <w:kern w:val="0"/>
          <w:sz w:val="31"/>
          <w:szCs w:val="31"/>
          <w:lang w:val="en-US" w:eastAsia="zh-CN" w:bidi="ar-SA"/>
        </w:rPr>
        <w:t>（2004年5月25日湖南省人民政府令第187号公布 2025年12月20日湖南省人民政府令第333号修改 自2004年7月1日起施行）</w:t>
      </w:r>
    </w:p>
    <w:p w14:paraId="4B0902E9">
      <w:pPr>
        <w:widowControl w:val="0"/>
        <w:adjustRightInd w:val="0"/>
        <w:snapToGrid w:val="0"/>
        <w:spacing w:before="0" w:line="600" w:lineRule="exact"/>
        <w:ind w:firstLine="620" w:firstLineChars="200"/>
        <w:jc w:val="center"/>
        <w:rPr>
          <w:rFonts w:ascii="方正书宋简体" w:hAnsi="方正书宋简体" w:eastAsia="楷体_GB2312" w:cs="Times New Roman"/>
          <w:color w:val="000000"/>
          <w:kern w:val="0"/>
          <w:sz w:val="31"/>
          <w:szCs w:val="31"/>
          <w:lang w:val="en-US" w:eastAsia="zh-CN" w:bidi="ar-SA"/>
        </w:rPr>
      </w:pPr>
    </w:p>
    <w:p w14:paraId="48C01141">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Times New Roman"/>
          <w:color w:val="000000"/>
          <w:kern w:val="0"/>
          <w:sz w:val="31"/>
          <w:szCs w:val="31"/>
          <w:lang w:val="en-US" w:eastAsia="zh-CN" w:bidi="ar-SA"/>
        </w:rPr>
        <w:t>　　</w:t>
      </w:r>
      <w:r>
        <w:rPr>
          <w:rFonts w:hint="eastAsia" w:ascii="黑体" w:hAnsi="黑体" w:eastAsia="黑体" w:cs="Times New Roman"/>
          <w:color w:val="000000"/>
          <w:kern w:val="0"/>
          <w:sz w:val="32"/>
          <w:szCs w:val="32"/>
          <w:lang w:val="en-US" w:eastAsia="zh-CN" w:bidi="ar-SA"/>
        </w:rPr>
        <w:t>第一条　</w:t>
      </w:r>
      <w:r>
        <w:rPr>
          <w:rFonts w:hint="eastAsia" w:ascii="仿宋_GB2312" w:hAnsi="仿宋_GB2312" w:eastAsia="仿宋_GB2312" w:cs="仿宋_GB2312"/>
          <w:color w:val="000000"/>
          <w:kern w:val="0"/>
          <w:sz w:val="32"/>
          <w:szCs w:val="32"/>
          <w:lang w:val="en-US" w:eastAsia="zh-CN" w:bidi="ar-SA"/>
        </w:rPr>
        <w:t>为了规范人民防空工程（以下简称人防工程）产权管理，保障人防工程投资者和使用者的合法权益，促进人防工程建设，根据《中华人民共和国人民防空法》等法律、法规，结合本省实际，制定本办法。</w:t>
      </w:r>
    </w:p>
    <w:p w14:paraId="3B0AF133">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Times New Roman"/>
          <w:color w:val="000000"/>
          <w:kern w:val="0"/>
          <w:sz w:val="32"/>
          <w:szCs w:val="32"/>
          <w:lang w:val="en-US" w:eastAsia="zh-CN" w:bidi="ar-SA"/>
        </w:rPr>
        <w:t>　　第二条　</w:t>
      </w:r>
      <w:r>
        <w:rPr>
          <w:rFonts w:hint="eastAsia" w:ascii="仿宋_GB2312" w:hAnsi="仿宋_GB2312" w:eastAsia="仿宋_GB2312" w:cs="仿宋_GB2312"/>
          <w:color w:val="000000"/>
          <w:kern w:val="0"/>
          <w:sz w:val="32"/>
          <w:szCs w:val="32"/>
          <w:lang w:val="en-US" w:eastAsia="zh-CN" w:bidi="ar-SA"/>
        </w:rPr>
        <w:t>本省行政区域内人防工程的产权管理适用本办法。</w:t>
      </w:r>
    </w:p>
    <w:p w14:paraId="2BBC1133">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Times New Roman"/>
          <w:color w:val="000000"/>
          <w:kern w:val="0"/>
          <w:sz w:val="32"/>
          <w:szCs w:val="32"/>
          <w:lang w:val="en-US" w:eastAsia="zh-CN" w:bidi="ar-SA"/>
        </w:rPr>
        <w:t>　　第三条　</w:t>
      </w:r>
      <w:r>
        <w:rPr>
          <w:rFonts w:hint="eastAsia" w:ascii="仿宋_GB2312" w:hAnsi="仿宋_GB2312" w:eastAsia="仿宋_GB2312" w:cs="仿宋_GB2312"/>
          <w:color w:val="000000"/>
          <w:kern w:val="0"/>
          <w:sz w:val="32"/>
          <w:szCs w:val="32"/>
          <w:lang w:val="en-US" w:eastAsia="zh-CN" w:bidi="ar-SA"/>
        </w:rPr>
        <w:t>本办法所称人防工程，是指为保障战时人员与物资掩蔽、医疗救护、人防指挥等单独修建的地下防护建筑（以下简称单建人防工程）和结合地面建筑修建的战时可用于防空的地下室（以下简称结建人防工程）。</w:t>
      </w:r>
      <w:bookmarkStart w:id="0" w:name="_GoBack"/>
      <w:bookmarkEnd w:id="0"/>
    </w:p>
    <w:p w14:paraId="2BBB3392">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Times New Roman"/>
          <w:color w:val="000000"/>
          <w:kern w:val="0"/>
          <w:sz w:val="32"/>
          <w:szCs w:val="32"/>
          <w:lang w:val="en-US" w:eastAsia="zh-CN" w:bidi="ar-SA"/>
        </w:rPr>
        <w:t>　　</w:t>
      </w:r>
      <w:r>
        <w:rPr>
          <w:rFonts w:hint="eastAsia" w:ascii="仿宋_GB2312" w:hAnsi="仿宋_GB2312" w:eastAsia="仿宋_GB2312" w:cs="仿宋_GB2312"/>
          <w:color w:val="000000"/>
          <w:kern w:val="0"/>
          <w:sz w:val="32"/>
          <w:szCs w:val="32"/>
          <w:lang w:val="en-US" w:eastAsia="zh-CN" w:bidi="ar-SA"/>
        </w:rPr>
        <w:t>本办法所称人防工程产权，是指人防工程的所有权，即人防工程所有权人依法对人防工程享有占有、使用、收益和处分等权利。</w:t>
      </w:r>
    </w:p>
    <w:p w14:paraId="2355A622">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Times New Roman"/>
          <w:color w:val="000000"/>
          <w:kern w:val="0"/>
          <w:sz w:val="32"/>
          <w:szCs w:val="32"/>
          <w:lang w:val="en-US" w:eastAsia="zh-CN" w:bidi="ar-SA"/>
        </w:rPr>
        <w:t>　　第四条　</w:t>
      </w:r>
      <w:r>
        <w:rPr>
          <w:rFonts w:hint="eastAsia" w:ascii="仿宋_GB2312" w:hAnsi="仿宋_GB2312" w:eastAsia="仿宋_GB2312" w:cs="仿宋_GB2312"/>
          <w:color w:val="000000"/>
          <w:kern w:val="0"/>
          <w:sz w:val="32"/>
          <w:szCs w:val="32"/>
          <w:lang w:val="en-US" w:eastAsia="zh-CN" w:bidi="ar-SA"/>
        </w:rPr>
        <w:t>除法律法规另有规定外，人防工程实行谁投资、谁所有的原则。战时服从人民政府统一调用。</w:t>
      </w:r>
    </w:p>
    <w:p w14:paraId="311736A0">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Times New Roman"/>
          <w:color w:val="000000"/>
          <w:kern w:val="0"/>
          <w:sz w:val="32"/>
          <w:szCs w:val="32"/>
          <w:lang w:val="en-US" w:eastAsia="zh-CN" w:bidi="ar-SA"/>
        </w:rPr>
        <w:t>　　第五条　</w:t>
      </w:r>
      <w:r>
        <w:rPr>
          <w:rFonts w:hint="eastAsia" w:ascii="仿宋_GB2312" w:hAnsi="仿宋_GB2312" w:eastAsia="仿宋_GB2312" w:cs="仿宋_GB2312"/>
          <w:color w:val="000000"/>
          <w:kern w:val="0"/>
          <w:sz w:val="32"/>
          <w:szCs w:val="32"/>
          <w:lang w:val="en-US" w:eastAsia="zh-CN" w:bidi="ar-SA"/>
        </w:rPr>
        <w:t>人防工程产权实行登记发证的管理制度。人防工程产权证书为国家现行不动产权属证书或者不动产登记证明，不另行制发人防工程产权证书。</w:t>
      </w:r>
    </w:p>
    <w:p w14:paraId="2E228410">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Times New Roman"/>
          <w:color w:val="000000"/>
          <w:kern w:val="0"/>
          <w:sz w:val="32"/>
          <w:szCs w:val="32"/>
          <w:lang w:val="en-US" w:eastAsia="zh-CN" w:bidi="ar-SA"/>
        </w:rPr>
        <w:t>　　第六条　</w:t>
      </w:r>
      <w:r>
        <w:rPr>
          <w:rFonts w:hint="eastAsia" w:ascii="仿宋_GB2312" w:hAnsi="仿宋_GB2312" w:eastAsia="仿宋_GB2312" w:cs="仿宋_GB2312"/>
          <w:color w:val="000000"/>
          <w:kern w:val="0"/>
          <w:sz w:val="32"/>
          <w:szCs w:val="32"/>
          <w:lang w:val="en-US" w:eastAsia="zh-CN" w:bidi="ar-SA"/>
        </w:rPr>
        <w:t>人防工程由所有权人和使用人履行维护义务。任何组织或者个人不得进行影响人防工程使用或者降低人防工程防护能力的作业，不得向人防工程内排入废水、废气和倾倒废弃物，不得在人防工程内生产、储存爆炸、剧毒、易燃、放射性和腐蚀性物品。</w:t>
      </w:r>
    </w:p>
    <w:p w14:paraId="2483F52E">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Times New Roman"/>
          <w:color w:val="000000"/>
          <w:kern w:val="0"/>
          <w:sz w:val="32"/>
          <w:szCs w:val="32"/>
          <w:lang w:val="en-US" w:eastAsia="zh-CN" w:bidi="ar-SA"/>
        </w:rPr>
        <w:t>　　第七条　</w:t>
      </w:r>
      <w:r>
        <w:rPr>
          <w:rFonts w:hint="eastAsia" w:ascii="仿宋_GB2312" w:hAnsi="仿宋_GB2312" w:eastAsia="仿宋_GB2312" w:cs="仿宋_GB2312"/>
          <w:color w:val="000000"/>
          <w:kern w:val="0"/>
          <w:sz w:val="32"/>
          <w:szCs w:val="32"/>
          <w:lang w:val="en-US" w:eastAsia="zh-CN" w:bidi="ar-SA"/>
        </w:rPr>
        <w:t>县级以上人民政府人民防空主管部门负责人防工程的认定、管理等工作。县级以上人民政府不动产登记机构负责人防工程不动产登记工作。</w:t>
      </w:r>
    </w:p>
    <w:p w14:paraId="48D33E21">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Times New Roman"/>
          <w:color w:val="000000"/>
          <w:kern w:val="0"/>
          <w:sz w:val="32"/>
          <w:szCs w:val="32"/>
          <w:lang w:val="en-US" w:eastAsia="zh-CN" w:bidi="ar-SA"/>
        </w:rPr>
        <w:t>　　第八条　</w:t>
      </w:r>
      <w:r>
        <w:rPr>
          <w:rFonts w:hint="eastAsia" w:ascii="仿宋_GB2312" w:hAnsi="仿宋_GB2312" w:eastAsia="仿宋_GB2312" w:cs="仿宋_GB2312"/>
          <w:color w:val="000000"/>
          <w:kern w:val="0"/>
          <w:sz w:val="32"/>
          <w:szCs w:val="32"/>
          <w:lang w:val="en-US" w:eastAsia="zh-CN" w:bidi="ar-SA"/>
        </w:rPr>
        <w:t>人防工程产权登记依照国家不动产登记的有关规定执行。</w:t>
      </w:r>
    </w:p>
    <w:p w14:paraId="387C2C06">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Times New Roman"/>
          <w:color w:val="000000"/>
          <w:kern w:val="0"/>
          <w:sz w:val="32"/>
          <w:szCs w:val="32"/>
          <w:lang w:val="en-US" w:eastAsia="zh-CN" w:bidi="ar-SA"/>
        </w:rPr>
        <w:t>　　</w:t>
      </w:r>
      <w:r>
        <w:rPr>
          <w:rFonts w:hint="eastAsia" w:ascii="仿宋_GB2312" w:hAnsi="仿宋_GB2312" w:eastAsia="仿宋_GB2312" w:cs="仿宋_GB2312"/>
          <w:color w:val="000000"/>
          <w:kern w:val="0"/>
          <w:sz w:val="32"/>
          <w:szCs w:val="32"/>
          <w:lang w:val="en-US" w:eastAsia="zh-CN" w:bidi="ar-SA"/>
        </w:rPr>
        <w:t>人防工程所有权主体应当与相应的地下空间国有建设用地使用权主体保持一致。</w:t>
      </w:r>
    </w:p>
    <w:p w14:paraId="63CC24E1">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Times New Roman"/>
          <w:color w:val="000000"/>
          <w:kern w:val="0"/>
          <w:sz w:val="32"/>
          <w:szCs w:val="32"/>
          <w:lang w:val="en-US" w:eastAsia="zh-CN" w:bidi="ar-SA"/>
        </w:rPr>
        <w:t>　　第九条　</w:t>
      </w:r>
      <w:r>
        <w:rPr>
          <w:rFonts w:hint="eastAsia" w:ascii="仿宋_GB2312" w:hAnsi="仿宋_GB2312" w:eastAsia="仿宋_GB2312" w:cs="仿宋_GB2312"/>
          <w:color w:val="000000"/>
          <w:kern w:val="0"/>
          <w:sz w:val="32"/>
          <w:szCs w:val="32"/>
          <w:lang w:val="en-US" w:eastAsia="zh-CN" w:bidi="ar-SA"/>
        </w:rPr>
        <w:t>结建人防工程不动产权属证书或者不动产登记证明应当载明地下人防工程的面积、层数、标高等事项。</w:t>
      </w:r>
    </w:p>
    <w:p w14:paraId="35EE3329">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单建人防工程不动产权属证书或者不动产登记证明应当载明地下人防工程的面积、坐落位置、层数、标高、出入口通道、通风口等事项。</w:t>
      </w:r>
    </w:p>
    <w:p w14:paraId="589465FA">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Times New Roman"/>
          <w:color w:val="000000"/>
          <w:kern w:val="0"/>
          <w:sz w:val="32"/>
          <w:szCs w:val="32"/>
          <w:lang w:val="en-US" w:eastAsia="zh-CN" w:bidi="ar-SA"/>
        </w:rPr>
        <w:t>　　第十条　</w:t>
      </w:r>
      <w:r>
        <w:rPr>
          <w:rFonts w:hint="eastAsia" w:ascii="仿宋_GB2312" w:hAnsi="仿宋_GB2312" w:eastAsia="仿宋_GB2312" w:cs="仿宋_GB2312"/>
          <w:color w:val="000000"/>
          <w:kern w:val="0"/>
          <w:sz w:val="32"/>
          <w:szCs w:val="32"/>
          <w:lang w:val="en-US" w:eastAsia="zh-CN" w:bidi="ar-SA"/>
        </w:rPr>
        <w:t>结建人防工程办理不动产首次登记前，应当与地面建筑同步竣工验收，并由建设单位向人民防空主管部门申请质量认定。人民防空主管部门认定质量合格的，出具质量合格认可文件。</w:t>
      </w:r>
    </w:p>
    <w:p w14:paraId="27DF1B99">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Times New Roman"/>
          <w:color w:val="000000"/>
          <w:kern w:val="0"/>
          <w:sz w:val="32"/>
          <w:szCs w:val="32"/>
          <w:lang w:val="en-US" w:eastAsia="zh-CN" w:bidi="ar-SA"/>
        </w:rPr>
        <w:t>　　</w:t>
      </w:r>
      <w:r>
        <w:rPr>
          <w:rFonts w:hint="eastAsia" w:ascii="仿宋_GB2312" w:hAnsi="仿宋_GB2312" w:eastAsia="仿宋_GB2312" w:cs="仿宋_GB2312"/>
          <w:color w:val="000000"/>
          <w:kern w:val="0"/>
          <w:sz w:val="32"/>
          <w:szCs w:val="32"/>
          <w:lang w:val="en-US" w:eastAsia="zh-CN" w:bidi="ar-SA"/>
        </w:rPr>
        <w:t>单建人防工程在办理不动产首次登记前,应当由建设单位组织竣工验收,并持竣工验收报告向人民防空主管部门备案,取得备案证明。</w:t>
      </w:r>
    </w:p>
    <w:p w14:paraId="49544150">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Times New Roman"/>
          <w:color w:val="000000"/>
          <w:kern w:val="0"/>
          <w:sz w:val="32"/>
          <w:szCs w:val="32"/>
          <w:lang w:val="en-US" w:eastAsia="zh-CN" w:bidi="ar-SA"/>
        </w:rPr>
        <w:t>　　第十一条　</w:t>
      </w:r>
      <w:r>
        <w:rPr>
          <w:rFonts w:hint="eastAsia" w:ascii="仿宋_GB2312" w:hAnsi="仿宋_GB2312" w:eastAsia="仿宋_GB2312" w:cs="仿宋_GB2312"/>
          <w:color w:val="000000"/>
          <w:kern w:val="0"/>
          <w:sz w:val="32"/>
          <w:szCs w:val="32"/>
          <w:lang w:val="en-US" w:eastAsia="zh-CN" w:bidi="ar-SA"/>
        </w:rPr>
        <w:t>经人民防空主管部门批准拆除或者报废的人防工程，由当事人依法办理不动产登记相关手续。</w:t>
      </w:r>
    </w:p>
    <w:p w14:paraId="1D1C9504">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Times New Roman"/>
          <w:color w:val="000000"/>
          <w:kern w:val="0"/>
          <w:sz w:val="32"/>
          <w:szCs w:val="32"/>
          <w:lang w:val="en-US" w:eastAsia="zh-CN" w:bidi="ar-SA"/>
        </w:rPr>
        <w:t>　　第十二条　</w:t>
      </w:r>
      <w:r>
        <w:rPr>
          <w:rFonts w:hint="eastAsia" w:ascii="仿宋_GB2312" w:hAnsi="仿宋_GB2312" w:eastAsia="仿宋_GB2312" w:cs="仿宋_GB2312"/>
          <w:color w:val="000000"/>
          <w:kern w:val="0"/>
          <w:sz w:val="32"/>
          <w:szCs w:val="32"/>
          <w:lang w:val="en-US" w:eastAsia="zh-CN" w:bidi="ar-SA"/>
        </w:rPr>
        <w:t>人防工程属于国有资产的，在办理不动产登记前应当按照国有资产管理的有关规定办理相关手续。</w:t>
      </w:r>
    </w:p>
    <w:p w14:paraId="689A5021">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Times New Roman"/>
          <w:color w:val="000000"/>
          <w:kern w:val="0"/>
          <w:sz w:val="32"/>
          <w:szCs w:val="32"/>
          <w:lang w:val="en-US" w:eastAsia="zh-CN" w:bidi="ar-SA"/>
        </w:rPr>
        <w:t>　　第十三条　</w:t>
      </w:r>
      <w:r>
        <w:rPr>
          <w:rFonts w:hint="eastAsia" w:ascii="仿宋_GB2312" w:hAnsi="仿宋_GB2312" w:eastAsia="仿宋_GB2312" w:cs="仿宋_GB2312"/>
          <w:color w:val="000000"/>
          <w:kern w:val="0"/>
          <w:sz w:val="32"/>
          <w:szCs w:val="32"/>
          <w:lang w:val="en-US" w:eastAsia="zh-CN" w:bidi="ar-SA"/>
        </w:rPr>
        <w:t>不动产登记机构应当按照不动产登记资料管理有关规定管理人防工程产权资料，并将人防工程产权登记情况及时抄告同级人民防空主管部门。</w:t>
      </w:r>
    </w:p>
    <w:p w14:paraId="1E698DB6">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Times New Roman"/>
          <w:color w:val="000000"/>
          <w:kern w:val="0"/>
          <w:sz w:val="32"/>
          <w:szCs w:val="32"/>
          <w:lang w:val="en-US" w:eastAsia="zh-CN" w:bidi="ar-SA"/>
        </w:rPr>
        <w:t>　　第十四条　</w:t>
      </w:r>
      <w:r>
        <w:rPr>
          <w:rFonts w:hint="eastAsia" w:ascii="仿宋_GB2312" w:hAnsi="仿宋_GB2312" w:eastAsia="仿宋_GB2312" w:cs="仿宋_GB2312"/>
          <w:color w:val="000000"/>
          <w:kern w:val="0"/>
          <w:sz w:val="32"/>
          <w:szCs w:val="32"/>
          <w:lang w:val="en-US" w:eastAsia="zh-CN" w:bidi="ar-SA"/>
        </w:rPr>
        <w:t>国家机关及其工作人员在人防工程产权管理工作中滥用职权、玩忽职守、徇私舞弊的，由有权部门依法给予处分;构成犯罪的，依法追究刑事责任。</w:t>
      </w:r>
    </w:p>
    <w:p w14:paraId="7C5C8766">
      <w:pPr>
        <w:keepNext w:val="0"/>
        <w:keepLines w:val="0"/>
        <w:pageBreakBefore w:val="0"/>
        <w:widowControl/>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000000"/>
          <w:kern w:val="0"/>
          <w:sz w:val="32"/>
          <w:szCs w:val="32"/>
          <w:lang w:val="en-US" w:eastAsia="zh-CN" w:bidi="ar-SA"/>
        </w:rPr>
      </w:pPr>
      <w:r>
        <w:rPr>
          <w:rFonts w:hint="eastAsia" w:ascii="黑体" w:hAnsi="黑体" w:eastAsia="黑体" w:cs="Times New Roman"/>
          <w:color w:val="000000"/>
          <w:kern w:val="0"/>
          <w:sz w:val="32"/>
          <w:szCs w:val="32"/>
          <w:lang w:val="en-US" w:eastAsia="zh-CN" w:bidi="ar-SA"/>
        </w:rPr>
        <w:t>　　第十五条　</w:t>
      </w:r>
      <w:r>
        <w:rPr>
          <w:rFonts w:hint="default" w:ascii="Times New Roman" w:hAnsi="Times New Roman" w:eastAsia="仿宋_GB2312" w:cs="Times New Roman"/>
          <w:color w:val="000000"/>
          <w:kern w:val="0"/>
          <w:sz w:val="32"/>
          <w:szCs w:val="32"/>
          <w:lang w:val="en-US" w:eastAsia="zh-CN" w:bidi="ar-SA"/>
        </w:rPr>
        <w:t>本办法自2004年7月1日起施行。</w:t>
      </w:r>
    </w:p>
    <w:p w14:paraId="79FED18E">
      <w:pPr>
        <w:keepNext w:val="0"/>
        <w:keepLines w:val="0"/>
        <w:pageBreakBefore w:val="0"/>
        <w:widowControl/>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　　本办法实施前已建人防工程未办理人防工程产权登记的，可以依照本办法规定补办登记手续；因客观原因造成人防工程登记资料不全的，凭人防工程所在地人防行政主管部门出具的人防工程认定证明，补办登记手续。</w:t>
      </w:r>
    </w:p>
    <w:p w14:paraId="31DAB1DF"/>
    <w:p w14:paraId="3D9D9F09">
      <w:pPr>
        <w:widowControl w:val="0"/>
        <w:adjustRightInd w:val="0"/>
        <w:snapToGrid w:val="0"/>
        <w:spacing w:line="600" w:lineRule="exact"/>
        <w:ind w:firstLine="640" w:firstLineChars="200"/>
        <w:jc w:val="both"/>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西文正文">
    <w:altName w:val="熊孩子体"/>
    <w:panose1 w:val="00000000000000000000"/>
    <w:charset w:val="00"/>
    <w:family w:val="auto"/>
    <w:pitch w:val="default"/>
    <w:sig w:usb0="00000000" w:usb1="00000000" w:usb2="00000000" w:usb3="00000000" w:csb0="00000000" w:csb1="00000000"/>
  </w:font>
  <w:font w:name="熊孩子体">
    <w:panose1 w:val="02000500000000000000"/>
    <w:charset w:val="80"/>
    <w:family w:val="auto"/>
    <w:pitch w:val="default"/>
    <w:sig w:usb0="800002BF" w:usb1="184F6CFA" w:usb2="00000012" w:usb3="00000000" w:csb0="00020001" w:csb1="00000000"/>
  </w:font>
  <w:font w:name="方正粗雅宋_GBK">
    <w:panose1 w:val="02000000000000000000"/>
    <w:charset w:val="86"/>
    <w:family w:val="auto"/>
    <w:pitch w:val="default"/>
    <w:sig w:usb0="00000001" w:usb1="08000000" w:usb2="00000000" w:usb3="00000000" w:csb0="00040000" w:csb1="00000000"/>
  </w:font>
  <w:font w:name="NEU-BZ">
    <w:altName w:val="宋体"/>
    <w:panose1 w:val="02010600010101010101"/>
    <w:charset w:val="86"/>
    <w:family w:val="auto"/>
    <w:pitch w:val="default"/>
    <w:sig w:usb0="00000000" w:usb1="00000000" w:usb2="00000016" w:usb3="00000000" w:csb0="00040001" w:csb1="00000000"/>
  </w:font>
  <w:font w:name="方正书宋简体">
    <w:altName w:val="宋体"/>
    <w:panose1 w:val="03000509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B3E1B">
    <w:pPr>
      <w:pStyle w:val="4"/>
      <w:ind w:left="501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68A02E">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068A02E">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2ADAB4F0">
    <w:pPr>
      <w:pStyle w:val="4"/>
      <w:wordWrap w:val="0"/>
      <w:ind w:left="5016"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 xml:space="preserve">湖南省人民政府发布     </w:t>
    </w:r>
  </w:p>
  <w:p w14:paraId="4F72057E">
    <w:pPr>
      <w:pStyle w:val="4"/>
      <w:wordWrap w:val="0"/>
      <w:ind w:left="501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81F2D">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0FF1D25F">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湖南省人民政府规章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011D9"/>
    <w:rsid w:val="019E71BD"/>
    <w:rsid w:val="05CF4EA2"/>
    <w:rsid w:val="06A67E67"/>
    <w:rsid w:val="06AB2D57"/>
    <w:rsid w:val="080F63D8"/>
    <w:rsid w:val="09341458"/>
    <w:rsid w:val="0B2E5C14"/>
    <w:rsid w:val="0E133ABB"/>
    <w:rsid w:val="0E880E7C"/>
    <w:rsid w:val="14B225F5"/>
    <w:rsid w:val="152D2DCA"/>
    <w:rsid w:val="185C7018"/>
    <w:rsid w:val="1B9807EA"/>
    <w:rsid w:val="1D205479"/>
    <w:rsid w:val="1D216F01"/>
    <w:rsid w:val="22440422"/>
    <w:rsid w:val="2379560E"/>
    <w:rsid w:val="2EC36016"/>
    <w:rsid w:val="311F0FE4"/>
    <w:rsid w:val="31A15F24"/>
    <w:rsid w:val="33B52393"/>
    <w:rsid w:val="39A232A0"/>
    <w:rsid w:val="3B004757"/>
    <w:rsid w:val="3B5A6BBB"/>
    <w:rsid w:val="3EDA13A6"/>
    <w:rsid w:val="42AF29E4"/>
    <w:rsid w:val="42F058B7"/>
    <w:rsid w:val="431E3889"/>
    <w:rsid w:val="436109F6"/>
    <w:rsid w:val="441A38D4"/>
    <w:rsid w:val="4BC77339"/>
    <w:rsid w:val="4C9236C5"/>
    <w:rsid w:val="4E107B2A"/>
    <w:rsid w:val="50A266F9"/>
    <w:rsid w:val="52F46F0B"/>
    <w:rsid w:val="55E064E0"/>
    <w:rsid w:val="5A262C69"/>
    <w:rsid w:val="5CF67438"/>
    <w:rsid w:val="5E615CA6"/>
    <w:rsid w:val="608816D1"/>
    <w:rsid w:val="63994F62"/>
    <w:rsid w:val="64360E8B"/>
    <w:rsid w:val="655D77D1"/>
    <w:rsid w:val="6D0E3F22"/>
    <w:rsid w:val="7B530ACB"/>
    <w:rsid w:val="7C9011D9"/>
    <w:rsid w:val="7DC651C5"/>
    <w:rsid w:val="7F2306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NEU-BZ" w:eastAsia="宋体" w:cs="Times New Roman"/>
      <w:sz w:val="22"/>
      <w:szCs w:val="22"/>
      <w:lang w:val="en-US" w:eastAsia="zh-CN" w:bidi="ar-SA"/>
    </w:rPr>
  </w:style>
  <w:style w:type="paragraph" w:styleId="2">
    <w:name w:val="heading 2"/>
    <w:basedOn w:val="1"/>
    <w:next w:val="1"/>
    <w:uiPriority w:val="0"/>
    <w:pPr>
      <w:keepNext/>
      <w:keepLines/>
      <w:spacing w:before="100" w:beforeLines="100" w:after="100" w:afterLines="100" w:line="600" w:lineRule="exact"/>
      <w:jc w:val="center"/>
      <w:outlineLvl w:val="1"/>
    </w:pPr>
    <w:rPr>
      <w:rFonts w:ascii="黑体" w:hAnsi="Arial" w:eastAsia="黑体"/>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page number"/>
    <w:basedOn w:val="7"/>
    <w:qFormat/>
    <w:uiPriority w:val="0"/>
  </w:style>
  <w:style w:type="paragraph" w:customStyle="1" w:styleId="9">
    <w:name w:val="15.5正文（仿宋GB）"/>
    <w:basedOn w:val="1"/>
    <w:qFormat/>
    <w:uiPriority w:val="0"/>
    <w:pPr>
      <w:widowControl/>
      <w:ind w:firstLine="200" w:firstLineChars="200"/>
      <w:jc w:val="left"/>
    </w:pPr>
    <w:rPr>
      <w:rFonts w:ascii="方正书宋简体" w:hAnsi="方正书宋简体" w:eastAsia="仿宋_GB2312"/>
      <w:color w:val="000000"/>
      <w:kern w:val="0"/>
      <w:sz w:val="31"/>
      <w:szCs w:val="31"/>
    </w:rPr>
  </w:style>
  <w:style w:type="paragraph" w:customStyle="1" w:styleId="10">
    <w:name w:val="一级标题（二号小标宋）"/>
    <w:basedOn w:val="1"/>
    <w:qFormat/>
    <w:uiPriority w:val="0"/>
    <w:pPr>
      <w:widowControl/>
      <w:jc w:val="center"/>
    </w:pPr>
    <w:rPr>
      <w:rFonts w:ascii="方正书宋简体" w:hAnsi="方正书宋简体" w:eastAsia="方正小标宋_GBK"/>
      <w:color w:val="000000"/>
      <w:kern w:val="0"/>
      <w:sz w:val="42"/>
      <w:szCs w:val="42"/>
    </w:rPr>
  </w:style>
  <w:style w:type="paragraph" w:customStyle="1" w:styleId="11">
    <w:name w:val="15.5楷体（标题下楷体）"/>
    <w:basedOn w:val="1"/>
    <w:qFormat/>
    <w:uiPriority w:val="0"/>
    <w:pPr>
      <w:widowControl/>
      <w:spacing w:before="105"/>
      <w:ind w:firstLine="200" w:firstLineChars="200"/>
      <w:jc w:val="center"/>
    </w:pPr>
    <w:rPr>
      <w:rFonts w:ascii="方正书宋简体" w:hAnsi="方正书宋简体" w:eastAsia="楷体_GB2312"/>
      <w:color w:val="000000"/>
      <w:kern w:val="0"/>
      <w:sz w:val="31"/>
      <w:szCs w:val="31"/>
    </w:rPr>
  </w:style>
  <w:style w:type="paragraph" w:customStyle="1" w:styleId="12">
    <w:name w:val="样式 15.5正文（楷体） 小节 + 首行缩进:  2 字符"/>
    <w:basedOn w:val="13"/>
    <w:qFormat/>
    <w:uiPriority w:val="0"/>
    <w:pPr>
      <w:widowControl w:val="0"/>
      <w:spacing w:before="100" w:beforeLines="100" w:after="100" w:afterLines="100" w:line="600" w:lineRule="exact"/>
      <w:ind w:firstLine="0" w:firstLineChars="0"/>
    </w:pPr>
    <w:rPr>
      <w:rFonts w:cs="宋体"/>
      <w:szCs w:val="20"/>
    </w:rPr>
  </w:style>
  <w:style w:type="paragraph" w:customStyle="1" w:styleId="13">
    <w:name w:val="15.5正文（楷体） 小节"/>
    <w:basedOn w:val="1"/>
    <w:qFormat/>
    <w:uiPriority w:val="0"/>
    <w:pPr>
      <w:ind w:firstLine="200" w:firstLineChars="200"/>
      <w:jc w:val="center"/>
    </w:pPr>
    <w:rPr>
      <w:rFonts w:ascii="方正书宋简体" w:hAnsi="方正书宋简体" w:eastAsia="楷体_GB2312"/>
      <w:color w:val="000000"/>
      <w:sz w:val="31"/>
      <w:szCs w:val="3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1271</Words>
  <Characters>1290</Characters>
  <Lines>0</Lines>
  <Paragraphs>0</Paragraphs>
  <TotalTime>2</TotalTime>
  <ScaleCrop>false</ScaleCrop>
  <LinksUpToDate>false</LinksUpToDate>
  <CharactersWithSpaces>1347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政务中心</cp:lastModifiedBy>
  <cp:lastPrinted>2021-09-22T01:19:00Z</cp:lastPrinted>
  <dcterms:modified xsi:type="dcterms:W3CDTF">2026-01-23T07:56:26Z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F57B3E46417B4821BE002DE537213B55_13</vt:lpwstr>
  </property>
  <property fmtid="{D5CDD505-2E9C-101B-9397-08002B2CF9AE}" pid="4" name="KSOTemplateDocerSaveRecord">
    <vt:lpwstr>eyJoZGlkIjoiODQ1NWRmZjg1Njg3Yzc1NjM1YjBmMDI2MmNkYThhYTQiLCJ1c2VySWQiOiIxNjk3MDc5NDkwIn0=</vt:lpwstr>
  </property>
</Properties>
</file>