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adjustRightInd w:val="0"/>
        <w:snapToGrid w:val="0"/>
        <w:spacing w:line="600" w:lineRule="exact"/>
        <w:ind w:firstLine="620"/>
      </w:pPr>
    </w:p>
    <w:p>
      <w:pPr>
        <w:pStyle w:val="8"/>
        <w:widowControl w:val="0"/>
        <w:adjustRightInd w:val="0"/>
        <w:snapToGrid w:val="0"/>
        <w:spacing w:line="600" w:lineRule="exact"/>
        <w:ind w:firstLine="620"/>
      </w:pPr>
    </w:p>
    <w:p>
      <w:pPr>
        <w:pStyle w:val="9"/>
        <w:widowControl w:val="0"/>
        <w:adjustRightInd w:val="0"/>
        <w:snapToGrid w:val="0"/>
        <w:spacing w:line="600" w:lineRule="exact"/>
        <w:rPr>
          <w:rFonts w:hint="eastAsia" w:asciiTheme="majorEastAsia" w:hAnsiTheme="majorEastAsia" w:eastAsiaTheme="majorEastAsia" w:cstheme="majorEastAsia"/>
        </w:rPr>
      </w:pPr>
      <w:bookmarkStart w:id="0" w:name="_GoBack"/>
      <w:r>
        <w:rPr>
          <w:rFonts w:hint="eastAsia" w:asciiTheme="majorEastAsia" w:hAnsiTheme="majorEastAsia" w:eastAsiaTheme="majorEastAsia" w:cstheme="majorEastAsia"/>
        </w:rPr>
        <w:t>湖南省实施《城市绿化条例》办法</w:t>
      </w:r>
    </w:p>
    <w:bookmarkEnd w:id="0"/>
    <w:p>
      <w:pPr>
        <w:pStyle w:val="10"/>
        <w:widowControl w:val="0"/>
        <w:adjustRightInd w:val="0"/>
        <w:snapToGrid w:val="0"/>
        <w:spacing w:before="0" w:line="600" w:lineRule="exact"/>
        <w:ind w:firstLine="0" w:firstLineChars="0"/>
      </w:pPr>
      <w:r>
        <w:rPr>
          <w:rFonts w:hint="eastAsia"/>
        </w:rPr>
        <w:t>（</w:t>
      </w:r>
      <w:r>
        <w:t>1998</w:t>
      </w:r>
      <w:r>
        <w:rPr>
          <w:rFonts w:hint="eastAsia"/>
        </w:rPr>
        <w:t>年</w:t>
      </w:r>
      <w:r>
        <w:t>6</w:t>
      </w:r>
      <w:r>
        <w:rPr>
          <w:rFonts w:hint="eastAsia"/>
        </w:rPr>
        <w:t>月</w:t>
      </w:r>
      <w:r>
        <w:t>22</w:t>
      </w:r>
      <w:r>
        <w:rPr>
          <w:rFonts w:hint="eastAsia"/>
        </w:rPr>
        <w:t>日湖南省人民政府令第</w:t>
      </w:r>
      <w:r>
        <w:t>125</w:t>
      </w:r>
      <w:r>
        <w:rPr>
          <w:rFonts w:hint="eastAsia"/>
        </w:rPr>
        <w:t>号公布 自1998年6月22日起施行）</w:t>
      </w:r>
    </w:p>
    <w:p>
      <w:pPr>
        <w:pStyle w:val="2"/>
        <w:spacing w:before="312" w:after="312"/>
      </w:pPr>
      <w:r>
        <w:rPr>
          <w:rFonts w:hint="eastAsia"/>
        </w:rPr>
        <w:t>第一章　总　则</w:t>
      </w:r>
    </w:p>
    <w:p>
      <w:pPr>
        <w:pStyle w:val="8"/>
        <w:widowControl w:val="0"/>
        <w:adjustRightInd w:val="0"/>
        <w:snapToGrid w:val="0"/>
        <w:spacing w:line="600" w:lineRule="exact"/>
        <w:ind w:firstLine="620"/>
        <w:jc w:val="both"/>
      </w:pPr>
      <w:r>
        <w:rPr>
          <w:rFonts w:hint="eastAsia" w:ascii="黑体" w:hAnsi="黑体" w:eastAsia="黑体"/>
        </w:rPr>
        <w:t>第一条</w:t>
      </w:r>
      <w:r>
        <w:rPr>
          <w:rFonts w:hint="eastAsia"/>
        </w:rPr>
        <w:t>　根据国务院《城市绿化条例》（以下简称《条例》）的规定，结合本省实际，制定本实施办法。</w:t>
      </w:r>
    </w:p>
    <w:p>
      <w:pPr>
        <w:pStyle w:val="8"/>
        <w:widowControl w:val="0"/>
        <w:adjustRightInd w:val="0"/>
        <w:snapToGrid w:val="0"/>
        <w:spacing w:line="600" w:lineRule="exact"/>
        <w:ind w:firstLine="620"/>
        <w:jc w:val="both"/>
      </w:pPr>
      <w:r>
        <w:rPr>
          <w:rFonts w:hint="eastAsia" w:ascii="黑体" w:hAnsi="黑体" w:eastAsia="黑体"/>
        </w:rPr>
        <w:t>第二条</w:t>
      </w:r>
      <w:r>
        <w:rPr>
          <w:rFonts w:hint="eastAsia"/>
        </w:rPr>
        <w:t>　本实施办法适用于本省城市规划区内种植、养护树木花草等城市绿化的规划、建设、保护和管理。</w:t>
      </w:r>
    </w:p>
    <w:p>
      <w:pPr>
        <w:pStyle w:val="8"/>
        <w:widowControl w:val="0"/>
        <w:adjustRightInd w:val="0"/>
        <w:snapToGrid w:val="0"/>
        <w:spacing w:line="600" w:lineRule="exact"/>
        <w:ind w:firstLine="620"/>
        <w:jc w:val="both"/>
      </w:pPr>
      <w:r>
        <w:rPr>
          <w:rFonts w:hint="eastAsia" w:ascii="黑体" w:hAnsi="黑体" w:eastAsia="黑体"/>
        </w:rPr>
        <w:t>第三条</w:t>
      </w:r>
      <w:r>
        <w:rPr>
          <w:rFonts w:hint="eastAsia"/>
        </w:rPr>
        <w:t>　城市人民政府应当把城市绿化纳入城市建设规划和国民经济、社会发展计划，并按照国家有关产业政策的规定，制定相应的措施，改善生态环境，美化生活环境。</w:t>
      </w:r>
    </w:p>
    <w:p>
      <w:pPr>
        <w:pStyle w:val="8"/>
        <w:widowControl w:val="0"/>
        <w:adjustRightInd w:val="0"/>
        <w:snapToGrid w:val="0"/>
        <w:spacing w:line="600" w:lineRule="exact"/>
        <w:ind w:firstLine="620"/>
        <w:jc w:val="both"/>
      </w:pPr>
      <w:r>
        <w:rPr>
          <w:rFonts w:hint="eastAsia" w:ascii="黑体" w:hAnsi="黑体" w:eastAsia="黑体"/>
        </w:rPr>
        <w:t>第四条</w:t>
      </w:r>
      <w:r>
        <w:rPr>
          <w:rFonts w:hint="eastAsia"/>
        </w:rPr>
        <w:t>　省绿化委员会统一组织领导全省城乡绿化工作。</w:t>
      </w:r>
    </w:p>
    <w:p>
      <w:pPr>
        <w:pStyle w:val="8"/>
        <w:widowControl w:val="0"/>
        <w:adjustRightInd w:val="0"/>
        <w:snapToGrid w:val="0"/>
        <w:spacing w:line="600" w:lineRule="exact"/>
        <w:ind w:firstLine="620"/>
        <w:jc w:val="both"/>
      </w:pPr>
      <w:r>
        <w:rPr>
          <w:rFonts w:hint="eastAsia"/>
        </w:rPr>
        <w:t>省建设行政主管部门主管全省城市绿化工作。城市人民政府城市绿化行政主管部门（以下简称城市绿化行政主管部门）主管城市规划区的绿化工作。</w:t>
      </w:r>
    </w:p>
    <w:p>
      <w:pPr>
        <w:pStyle w:val="8"/>
        <w:widowControl w:val="0"/>
        <w:adjustRightInd w:val="0"/>
        <w:snapToGrid w:val="0"/>
        <w:spacing w:line="600" w:lineRule="exact"/>
        <w:ind w:firstLine="620"/>
        <w:jc w:val="both"/>
      </w:pPr>
      <w:r>
        <w:rPr>
          <w:rFonts w:hint="eastAsia"/>
        </w:rPr>
        <w:t>在城市规划区内，有关法律、法规规定由林业行政主管部门等管理的绿化工作，依照有关法律、法规执行。</w:t>
      </w:r>
    </w:p>
    <w:p>
      <w:pPr>
        <w:pStyle w:val="8"/>
        <w:widowControl w:val="0"/>
        <w:adjustRightInd w:val="0"/>
        <w:snapToGrid w:val="0"/>
        <w:spacing w:line="600" w:lineRule="exact"/>
        <w:ind w:firstLine="620"/>
        <w:jc w:val="both"/>
      </w:pPr>
      <w:r>
        <w:rPr>
          <w:rFonts w:hint="eastAsia" w:ascii="黑体" w:hAnsi="黑体" w:eastAsia="黑体"/>
        </w:rPr>
        <w:t>第五条</w:t>
      </w:r>
      <w:r>
        <w:rPr>
          <w:rFonts w:hint="eastAsia"/>
        </w:rPr>
        <w:t>　各机关、团体、部队和企业、事业单位应当根据国家有关规定，结合本单位实际，制定绿化规划并组织实施，创建园林式单位。</w:t>
      </w:r>
    </w:p>
    <w:p>
      <w:pPr>
        <w:pStyle w:val="8"/>
        <w:widowControl w:val="0"/>
        <w:adjustRightInd w:val="0"/>
        <w:snapToGrid w:val="0"/>
        <w:spacing w:line="600" w:lineRule="exact"/>
        <w:ind w:firstLine="620"/>
        <w:jc w:val="both"/>
      </w:pPr>
      <w:r>
        <w:rPr>
          <w:rFonts w:hint="eastAsia" w:ascii="黑体" w:hAnsi="黑体" w:eastAsia="黑体"/>
        </w:rPr>
        <w:t>第六条</w:t>
      </w:r>
      <w:r>
        <w:rPr>
          <w:rFonts w:hint="eastAsia"/>
        </w:rPr>
        <w:t>　城市中的单位和有劳动能力的公民，应当依照国家和省的规定履行植树和其他绿化义务。</w:t>
      </w:r>
    </w:p>
    <w:p>
      <w:pPr>
        <w:pStyle w:val="8"/>
        <w:widowControl w:val="0"/>
        <w:adjustRightInd w:val="0"/>
        <w:snapToGrid w:val="0"/>
        <w:spacing w:line="600" w:lineRule="exact"/>
        <w:ind w:firstLine="620"/>
        <w:jc w:val="both"/>
      </w:pPr>
      <w:r>
        <w:rPr>
          <w:rFonts w:hint="eastAsia"/>
        </w:rPr>
        <w:t>任何单位和个人都有权制止、检举侵占绿地、损害树木花草设施的行为。</w:t>
      </w:r>
    </w:p>
    <w:p>
      <w:pPr>
        <w:pStyle w:val="8"/>
        <w:widowControl w:val="0"/>
        <w:adjustRightInd w:val="0"/>
        <w:snapToGrid w:val="0"/>
        <w:spacing w:line="600" w:lineRule="exact"/>
        <w:ind w:firstLine="620"/>
        <w:jc w:val="both"/>
      </w:pPr>
      <w:r>
        <w:rPr>
          <w:rFonts w:hint="eastAsia" w:ascii="黑体" w:hAnsi="黑体" w:eastAsia="黑体"/>
        </w:rPr>
        <w:t>第七条</w:t>
      </w:r>
      <w:r>
        <w:rPr>
          <w:rFonts w:hint="eastAsia"/>
        </w:rPr>
        <w:t>　对在城市绿化建设和保护工作中作出显著成绩的单位和个人，由城市人民政府或者城市绿化行政主管部门给予表彰、奖励。</w:t>
      </w:r>
      <w:r>
        <w:t xml:space="preserve">          </w:t>
      </w:r>
    </w:p>
    <w:p>
      <w:pPr>
        <w:pStyle w:val="2"/>
        <w:spacing w:before="312" w:after="312"/>
      </w:pPr>
      <w:r>
        <w:rPr>
          <w:rFonts w:hint="eastAsia"/>
        </w:rPr>
        <w:t>第二章　规划和建设</w:t>
      </w:r>
    </w:p>
    <w:p>
      <w:pPr>
        <w:pStyle w:val="8"/>
        <w:widowControl w:val="0"/>
        <w:adjustRightInd w:val="0"/>
        <w:snapToGrid w:val="0"/>
        <w:spacing w:line="600" w:lineRule="exact"/>
        <w:ind w:firstLine="620"/>
        <w:jc w:val="both"/>
      </w:pPr>
      <w:r>
        <w:rPr>
          <w:rFonts w:hint="eastAsia" w:ascii="黑体" w:hAnsi="黑体" w:eastAsia="黑体"/>
        </w:rPr>
        <w:t>第八条</w:t>
      </w:r>
      <w:r>
        <w:rPr>
          <w:rFonts w:hint="eastAsia"/>
        </w:rPr>
        <w:t>　城市人民政府应当组织城市绿化行政主管部门和城市规划行政主管部门等共同编制城市绿化规划。城市绿化规划按有关程序批准后，由城市绿化行政主管部门组织实施。</w:t>
      </w:r>
    </w:p>
    <w:p>
      <w:pPr>
        <w:pStyle w:val="8"/>
        <w:widowControl w:val="0"/>
        <w:adjustRightInd w:val="0"/>
        <w:snapToGrid w:val="0"/>
        <w:spacing w:line="600" w:lineRule="exact"/>
        <w:ind w:firstLine="620"/>
        <w:jc w:val="both"/>
      </w:pPr>
      <w:r>
        <w:rPr>
          <w:rFonts w:hint="eastAsia" w:ascii="黑体" w:hAnsi="黑体" w:eastAsia="黑体"/>
        </w:rPr>
        <w:t>第九条</w:t>
      </w:r>
      <w:r>
        <w:rPr>
          <w:rFonts w:hint="eastAsia"/>
        </w:rPr>
        <w:t>　城市绿化规划应当包括下列内容：</w:t>
      </w:r>
    </w:p>
    <w:p>
      <w:pPr>
        <w:pStyle w:val="8"/>
        <w:widowControl w:val="0"/>
        <w:adjustRightInd w:val="0"/>
        <w:snapToGrid w:val="0"/>
        <w:spacing w:line="600" w:lineRule="exact"/>
        <w:ind w:firstLine="620"/>
        <w:jc w:val="both"/>
      </w:pPr>
      <w:r>
        <w:rPr>
          <w:rFonts w:hint="eastAsia"/>
        </w:rPr>
        <w:t>（一）规划依据、指导思想、原则和发展目标；</w:t>
      </w:r>
    </w:p>
    <w:p>
      <w:pPr>
        <w:pStyle w:val="8"/>
        <w:widowControl w:val="0"/>
        <w:adjustRightInd w:val="0"/>
        <w:snapToGrid w:val="0"/>
        <w:spacing w:line="600" w:lineRule="exact"/>
        <w:ind w:firstLine="620"/>
        <w:jc w:val="both"/>
      </w:pPr>
      <w:r>
        <w:rPr>
          <w:rFonts w:hint="eastAsia"/>
        </w:rPr>
        <w:t>（二）规划年限和范围；</w:t>
      </w:r>
    </w:p>
    <w:p>
      <w:pPr>
        <w:pStyle w:val="8"/>
        <w:widowControl w:val="0"/>
        <w:adjustRightInd w:val="0"/>
        <w:snapToGrid w:val="0"/>
        <w:spacing w:line="600" w:lineRule="exact"/>
        <w:ind w:firstLine="620"/>
        <w:jc w:val="both"/>
      </w:pPr>
      <w:r>
        <w:rPr>
          <w:rFonts w:hint="eastAsia"/>
        </w:rPr>
        <w:t>（三）绿化指标；</w:t>
      </w:r>
    </w:p>
    <w:p>
      <w:pPr>
        <w:pStyle w:val="8"/>
        <w:widowControl w:val="0"/>
        <w:adjustRightInd w:val="0"/>
        <w:snapToGrid w:val="0"/>
        <w:spacing w:line="600" w:lineRule="exact"/>
        <w:ind w:firstLine="620"/>
        <w:jc w:val="both"/>
      </w:pPr>
      <w:r>
        <w:rPr>
          <w:rFonts w:hint="eastAsia"/>
        </w:rPr>
        <w:t>（四）各类绿地规划；</w:t>
      </w:r>
    </w:p>
    <w:p>
      <w:pPr>
        <w:pStyle w:val="8"/>
        <w:widowControl w:val="0"/>
        <w:adjustRightInd w:val="0"/>
        <w:snapToGrid w:val="0"/>
        <w:spacing w:line="600" w:lineRule="exact"/>
        <w:ind w:firstLine="620"/>
        <w:jc w:val="both"/>
      </w:pPr>
      <w:r>
        <w:rPr>
          <w:rFonts w:hint="eastAsia"/>
        </w:rPr>
        <w:t>（五）树种育苗规划；</w:t>
      </w:r>
    </w:p>
    <w:p>
      <w:pPr>
        <w:pStyle w:val="8"/>
        <w:widowControl w:val="0"/>
        <w:adjustRightInd w:val="0"/>
        <w:snapToGrid w:val="0"/>
        <w:spacing w:line="600" w:lineRule="exact"/>
        <w:ind w:firstLine="620"/>
        <w:jc w:val="both"/>
      </w:pPr>
      <w:r>
        <w:rPr>
          <w:rFonts w:hint="eastAsia"/>
        </w:rPr>
        <w:t>（六）绿化近期建设规划；</w:t>
      </w:r>
    </w:p>
    <w:p>
      <w:pPr>
        <w:pStyle w:val="8"/>
        <w:widowControl w:val="0"/>
        <w:adjustRightInd w:val="0"/>
        <w:snapToGrid w:val="0"/>
        <w:spacing w:line="600" w:lineRule="exact"/>
        <w:ind w:firstLine="620"/>
        <w:jc w:val="both"/>
      </w:pPr>
      <w:r>
        <w:rPr>
          <w:rFonts w:hint="eastAsia"/>
        </w:rPr>
        <w:t>（七）绿化规划的实施措施。</w:t>
      </w:r>
    </w:p>
    <w:p>
      <w:pPr>
        <w:pStyle w:val="8"/>
        <w:widowControl w:val="0"/>
        <w:adjustRightInd w:val="0"/>
        <w:snapToGrid w:val="0"/>
        <w:spacing w:line="600" w:lineRule="exact"/>
        <w:ind w:firstLine="620"/>
        <w:jc w:val="both"/>
      </w:pPr>
      <w:r>
        <w:rPr>
          <w:rFonts w:hint="eastAsia" w:ascii="黑体" w:hAnsi="黑体" w:eastAsia="黑体"/>
        </w:rPr>
        <w:t>第十条</w:t>
      </w:r>
      <w:r>
        <w:rPr>
          <w:rFonts w:hint="eastAsia"/>
        </w:rPr>
        <w:t>　编制城市绿化规划，按以下标准执行：</w:t>
      </w:r>
    </w:p>
    <w:p>
      <w:pPr>
        <w:pStyle w:val="8"/>
        <w:widowControl w:val="0"/>
        <w:adjustRightInd w:val="0"/>
        <w:snapToGrid w:val="0"/>
        <w:spacing w:line="600" w:lineRule="exact"/>
        <w:ind w:firstLine="620"/>
        <w:jc w:val="both"/>
      </w:pPr>
      <w:r>
        <w:rPr>
          <w:rFonts w:hint="eastAsia"/>
        </w:rPr>
        <w:t>（一）人均公共绿地面积不低于</w:t>
      </w:r>
      <w:r>
        <w:t>7</w:t>
      </w:r>
      <w:r>
        <w:rPr>
          <w:rFonts w:hint="eastAsia"/>
        </w:rPr>
        <w:t>平方米；</w:t>
      </w:r>
    </w:p>
    <w:p>
      <w:pPr>
        <w:pStyle w:val="8"/>
        <w:widowControl w:val="0"/>
        <w:adjustRightInd w:val="0"/>
        <w:snapToGrid w:val="0"/>
        <w:spacing w:line="600" w:lineRule="exact"/>
        <w:ind w:firstLine="620"/>
        <w:jc w:val="both"/>
      </w:pPr>
      <w:r>
        <w:rPr>
          <w:rFonts w:hint="eastAsia"/>
        </w:rPr>
        <w:t>（二）城市新建区绿地率不低于总用地面积的</w:t>
      </w:r>
      <w:r>
        <w:t>30</w:t>
      </w:r>
      <w:r>
        <w:rPr>
          <w:rFonts w:hint="eastAsia"/>
        </w:rPr>
        <w:t>％，旧城区改造后绿地率不低于总用地面积的</w:t>
      </w:r>
      <w:r>
        <w:t>25</w:t>
      </w:r>
      <w:r>
        <w:rPr>
          <w:rFonts w:hint="eastAsia"/>
        </w:rPr>
        <w:t>％；</w:t>
      </w:r>
    </w:p>
    <w:p>
      <w:pPr>
        <w:pStyle w:val="8"/>
        <w:widowControl w:val="0"/>
        <w:adjustRightInd w:val="0"/>
        <w:snapToGrid w:val="0"/>
        <w:spacing w:line="600" w:lineRule="exact"/>
        <w:ind w:firstLine="620"/>
        <w:jc w:val="both"/>
      </w:pPr>
      <w:r>
        <w:rPr>
          <w:rFonts w:hint="eastAsia"/>
        </w:rPr>
        <w:t>（三）城市苗圃用地不低于城市建成区总面积的</w:t>
      </w:r>
      <w:r>
        <w:t>2</w:t>
      </w:r>
      <w:r>
        <w:rPr>
          <w:rFonts w:hint="eastAsia"/>
        </w:rPr>
        <w:t>％；</w:t>
      </w:r>
    </w:p>
    <w:p>
      <w:pPr>
        <w:pStyle w:val="8"/>
        <w:widowControl w:val="0"/>
        <w:adjustRightInd w:val="0"/>
        <w:snapToGrid w:val="0"/>
        <w:spacing w:line="600" w:lineRule="exact"/>
        <w:ind w:firstLine="620"/>
        <w:jc w:val="both"/>
      </w:pPr>
      <w:r>
        <w:rPr>
          <w:rFonts w:hint="eastAsia"/>
        </w:rPr>
        <w:t>（四）城市内河、湖泊及铁路旁的防护林带宽度不少于</w:t>
      </w:r>
      <w:r>
        <w:t>30</w:t>
      </w:r>
      <w:r>
        <w:rPr>
          <w:rFonts w:hint="eastAsia"/>
        </w:rPr>
        <w:t>米；</w:t>
      </w:r>
    </w:p>
    <w:p>
      <w:pPr>
        <w:pStyle w:val="8"/>
        <w:widowControl w:val="0"/>
        <w:adjustRightInd w:val="0"/>
        <w:snapToGrid w:val="0"/>
        <w:spacing w:line="600" w:lineRule="exact"/>
        <w:ind w:firstLine="620"/>
        <w:jc w:val="both"/>
      </w:pPr>
      <w:r>
        <w:rPr>
          <w:rFonts w:hint="eastAsia"/>
        </w:rPr>
        <w:t>（五）公共绿地中绿化用地比率按建设部《公园设计规范》执行。</w:t>
      </w:r>
    </w:p>
    <w:p>
      <w:pPr>
        <w:pStyle w:val="8"/>
        <w:widowControl w:val="0"/>
        <w:adjustRightInd w:val="0"/>
        <w:snapToGrid w:val="0"/>
        <w:spacing w:line="600" w:lineRule="exact"/>
        <w:ind w:firstLine="620"/>
        <w:jc w:val="both"/>
      </w:pPr>
      <w:r>
        <w:rPr>
          <w:rFonts w:hint="eastAsia" w:ascii="黑体" w:hAnsi="黑体" w:eastAsia="黑体"/>
        </w:rPr>
        <w:t>第十一条</w:t>
      </w:r>
      <w:r>
        <w:rPr>
          <w:rFonts w:hint="eastAsia"/>
        </w:rPr>
        <w:t>　城市绿化规划，必须报本级人民政府批准。其中建制镇的规划区绿化规划，报县级人民政府批准。</w:t>
      </w:r>
    </w:p>
    <w:p>
      <w:pPr>
        <w:pStyle w:val="8"/>
        <w:widowControl w:val="0"/>
        <w:adjustRightInd w:val="0"/>
        <w:snapToGrid w:val="0"/>
        <w:spacing w:line="600" w:lineRule="exact"/>
        <w:ind w:firstLine="620"/>
        <w:jc w:val="both"/>
      </w:pPr>
      <w:r>
        <w:rPr>
          <w:rFonts w:hint="eastAsia" w:ascii="黑体" w:hAnsi="黑体" w:eastAsia="黑体"/>
        </w:rPr>
        <w:t>第十二条</w:t>
      </w:r>
      <w:r>
        <w:rPr>
          <w:rFonts w:hint="eastAsia"/>
        </w:rPr>
        <w:t>　经批准的城市绿化规划不得擅自变更；确需调整变更的，必须报原批准机关批准，并按照绿地总面积不得减少，分布更为合理、科学的原则进行。</w:t>
      </w:r>
    </w:p>
    <w:p>
      <w:pPr>
        <w:pStyle w:val="8"/>
        <w:widowControl w:val="0"/>
        <w:adjustRightInd w:val="0"/>
        <w:snapToGrid w:val="0"/>
        <w:spacing w:line="600" w:lineRule="exact"/>
        <w:ind w:firstLine="620"/>
        <w:jc w:val="both"/>
      </w:pPr>
      <w:r>
        <w:rPr>
          <w:rFonts w:hint="eastAsia" w:ascii="黑体" w:hAnsi="黑体" w:eastAsia="黑体"/>
        </w:rPr>
        <w:t>第十三条</w:t>
      </w:r>
      <w:r>
        <w:rPr>
          <w:rFonts w:hint="eastAsia"/>
        </w:rPr>
        <w:t>　城市绿化工程的设计，应当委托具有相应资格证书的设计单位承担。</w:t>
      </w:r>
    </w:p>
    <w:p>
      <w:pPr>
        <w:pStyle w:val="8"/>
        <w:widowControl w:val="0"/>
        <w:adjustRightInd w:val="0"/>
        <w:snapToGrid w:val="0"/>
        <w:spacing w:line="600" w:lineRule="exact"/>
        <w:ind w:firstLine="620"/>
        <w:jc w:val="both"/>
      </w:pPr>
      <w:r>
        <w:rPr>
          <w:rFonts w:hint="eastAsia"/>
        </w:rPr>
        <w:t>工程建设项目的附属绿化工程设计方案和变更原有绿化工程设计方案，按照基本建设程序审批。审批时，必须有城市绿化行政主管部门参加审查。</w:t>
      </w:r>
    </w:p>
    <w:p>
      <w:pPr>
        <w:pStyle w:val="8"/>
        <w:widowControl w:val="0"/>
        <w:adjustRightInd w:val="0"/>
        <w:snapToGrid w:val="0"/>
        <w:spacing w:line="600" w:lineRule="exact"/>
        <w:ind w:firstLine="620"/>
        <w:jc w:val="both"/>
      </w:pPr>
      <w:r>
        <w:rPr>
          <w:rFonts w:hint="eastAsia"/>
        </w:rPr>
        <w:t>城市古典名园的修复方案和</w:t>
      </w:r>
      <w:r>
        <w:t>20</w:t>
      </w:r>
      <w:r>
        <w:rPr>
          <w:rFonts w:hint="eastAsia"/>
        </w:rPr>
        <w:t>公顷以上公共绿地、居住区绿地、风景林地的设计方案，必须报省建设行政主管部门审批；干道绿化和</w:t>
      </w:r>
      <w:r>
        <w:t>20</w:t>
      </w:r>
      <w:r>
        <w:rPr>
          <w:rFonts w:hint="eastAsia"/>
        </w:rPr>
        <w:t>公顷以下公共绿地、居住区绿地、风景林地的绿化工程设计方案，必须按照有关规定报市、县城市绿化行政主管部门审批。</w:t>
      </w:r>
    </w:p>
    <w:p>
      <w:pPr>
        <w:pStyle w:val="8"/>
        <w:widowControl w:val="0"/>
        <w:adjustRightInd w:val="0"/>
        <w:snapToGrid w:val="0"/>
        <w:spacing w:line="600" w:lineRule="exact"/>
        <w:ind w:firstLine="620"/>
        <w:jc w:val="both"/>
      </w:pPr>
      <w:r>
        <w:rPr>
          <w:rFonts w:hint="eastAsia"/>
        </w:rPr>
        <w:t>经批准的城市绿化工程设计方案不得擅自更改，确需更改时，必须经原批准机关批准。</w:t>
      </w:r>
    </w:p>
    <w:p>
      <w:pPr>
        <w:pStyle w:val="8"/>
        <w:widowControl w:val="0"/>
        <w:adjustRightInd w:val="0"/>
        <w:snapToGrid w:val="0"/>
        <w:spacing w:line="600" w:lineRule="exact"/>
        <w:ind w:firstLine="620"/>
        <w:jc w:val="both"/>
      </w:pPr>
      <w:r>
        <w:rPr>
          <w:rFonts w:hint="eastAsia" w:ascii="黑体" w:hAnsi="黑体" w:eastAsia="黑体"/>
        </w:rPr>
        <w:t>第十四条</w:t>
      </w:r>
      <w:r>
        <w:rPr>
          <w:rFonts w:hint="eastAsia"/>
        </w:rPr>
        <w:t>　城市绿化建设必须按照批准的规划和设计方案进行。城市公共绿地、居住区绿地和风景林地的建设应以植物造景为主；江河湖岸的重点地段应当逐步建成河滨、湖滨公园，完善游憩设施；街道绿化应当注重遮荫滞尘、减弱噪声、装饰街景、美化市容。</w:t>
      </w:r>
    </w:p>
    <w:p>
      <w:pPr>
        <w:pStyle w:val="8"/>
        <w:widowControl w:val="0"/>
        <w:adjustRightInd w:val="0"/>
        <w:snapToGrid w:val="0"/>
        <w:spacing w:line="600" w:lineRule="exact"/>
        <w:ind w:firstLine="620"/>
        <w:jc w:val="both"/>
      </w:pPr>
      <w:r>
        <w:rPr>
          <w:rFonts w:hint="eastAsia" w:ascii="黑体" w:hAnsi="黑体" w:eastAsia="黑体"/>
        </w:rPr>
        <w:t>第十五条</w:t>
      </w:r>
      <w:r>
        <w:rPr>
          <w:rFonts w:hint="eastAsia"/>
        </w:rPr>
        <w:t>　城市的公共绿地、生产绿地、防护绿地和风景林地，由城市绿化行政主管部门负责组织建设；单位附属绿地，由该单位负责建设；现有居住区的绿地，由居住区管理机构负责建设；新建、扩建、改建的居住区的绿地，由建设单位负责建设。</w:t>
      </w:r>
    </w:p>
    <w:p>
      <w:pPr>
        <w:pStyle w:val="8"/>
        <w:widowControl w:val="0"/>
        <w:adjustRightInd w:val="0"/>
        <w:snapToGrid w:val="0"/>
        <w:spacing w:line="600" w:lineRule="exact"/>
        <w:ind w:firstLine="620"/>
        <w:jc w:val="both"/>
      </w:pPr>
      <w:r>
        <w:rPr>
          <w:rFonts w:hint="eastAsia"/>
        </w:rPr>
        <w:t>城市绿化行政主管部门对各单位的绿地建设应当进行监督检查，并给予技术指导。</w:t>
      </w:r>
    </w:p>
    <w:p>
      <w:pPr>
        <w:pStyle w:val="8"/>
        <w:widowControl w:val="0"/>
        <w:adjustRightInd w:val="0"/>
        <w:snapToGrid w:val="0"/>
        <w:spacing w:line="600" w:lineRule="exact"/>
        <w:ind w:firstLine="620"/>
        <w:jc w:val="both"/>
      </w:pPr>
      <w:r>
        <w:rPr>
          <w:rFonts w:hint="eastAsia" w:ascii="黑体" w:hAnsi="黑体" w:eastAsia="黑体"/>
        </w:rPr>
        <w:t>第十六条</w:t>
      </w:r>
      <w:r>
        <w:rPr>
          <w:rFonts w:hint="eastAsia"/>
        </w:rPr>
        <w:t>　城市绿化工程的施工，应当由持有相应资格证书的单位承担。</w:t>
      </w:r>
    </w:p>
    <w:p>
      <w:pPr>
        <w:pStyle w:val="8"/>
        <w:widowControl w:val="0"/>
        <w:adjustRightInd w:val="0"/>
        <w:snapToGrid w:val="0"/>
        <w:spacing w:line="600" w:lineRule="exact"/>
        <w:ind w:firstLine="620"/>
        <w:jc w:val="both"/>
      </w:pPr>
      <w:r>
        <w:rPr>
          <w:rFonts w:hint="eastAsia"/>
        </w:rPr>
        <w:t>工程项目的配套绿化应当与主体工程同时设计、同时施工，在主体工程建成后的第一个绿化季节内完成。</w:t>
      </w:r>
    </w:p>
    <w:p>
      <w:pPr>
        <w:pStyle w:val="8"/>
        <w:widowControl w:val="0"/>
        <w:adjustRightInd w:val="0"/>
        <w:snapToGrid w:val="0"/>
        <w:spacing w:line="600" w:lineRule="exact"/>
        <w:ind w:firstLine="620"/>
        <w:jc w:val="both"/>
      </w:pPr>
      <w:r>
        <w:rPr>
          <w:rFonts w:hint="eastAsia" w:ascii="黑体" w:hAnsi="黑体" w:eastAsia="黑体"/>
        </w:rPr>
        <w:t>第十七条</w:t>
      </w:r>
      <w:r>
        <w:rPr>
          <w:rFonts w:hint="eastAsia"/>
        </w:rPr>
        <w:t>　城市新建、扩建、改建工程项目和开发住宅区项目，建设单位必须根据有关绿化规划和工程定额标准，在基本建设总投资中安排配套绿化资金，用于本单位配套绿化建设。安排配套绿化资金按照国家和省有关规定执行。</w:t>
      </w:r>
    </w:p>
    <w:p>
      <w:pPr>
        <w:pStyle w:val="8"/>
        <w:widowControl w:val="0"/>
        <w:adjustRightInd w:val="0"/>
        <w:snapToGrid w:val="0"/>
        <w:spacing w:line="600" w:lineRule="exact"/>
        <w:ind w:firstLine="620"/>
        <w:jc w:val="both"/>
      </w:pPr>
      <w:r>
        <w:rPr>
          <w:rFonts w:hint="eastAsia"/>
        </w:rPr>
        <w:t>城市新建、改建、扩建工程项目的配套绿化用地面积，因特殊条件限制达不到规定标准的，经城市绿化行政主管部门审定后，将所缺面积的绿化资金交城市绿化行政主管部门安排异地绿化建设。</w:t>
      </w:r>
    </w:p>
    <w:p>
      <w:pPr>
        <w:pStyle w:val="8"/>
        <w:widowControl w:val="0"/>
        <w:adjustRightInd w:val="0"/>
        <w:snapToGrid w:val="0"/>
        <w:spacing w:line="600" w:lineRule="exact"/>
        <w:ind w:firstLine="620"/>
        <w:jc w:val="both"/>
      </w:pPr>
      <w:r>
        <w:rPr>
          <w:rFonts w:hint="eastAsia" w:ascii="黑体" w:hAnsi="黑体" w:eastAsia="黑体"/>
        </w:rPr>
        <w:t>第十八条</w:t>
      </w:r>
      <w:r>
        <w:rPr>
          <w:rFonts w:hint="eastAsia"/>
        </w:rPr>
        <w:t>　对城市绿化工程设计、施工单位实行资质审定、审查制度。本省城市绿化工程设计、施工单位的资质等级审定和外省来湘从事绿化工程设计、施工单位的资质审查，按权限由城市绿化行政主管部门或者上级建设行政主管部门负责。</w:t>
      </w:r>
    </w:p>
    <w:p>
      <w:pPr>
        <w:pStyle w:val="2"/>
        <w:spacing w:before="312" w:after="312"/>
      </w:pPr>
      <w:r>
        <w:rPr>
          <w:rFonts w:hint="eastAsia"/>
        </w:rPr>
        <w:t>第三章　保护和管理</w:t>
      </w:r>
    </w:p>
    <w:p>
      <w:pPr>
        <w:pStyle w:val="8"/>
        <w:widowControl w:val="0"/>
        <w:adjustRightInd w:val="0"/>
        <w:snapToGrid w:val="0"/>
        <w:spacing w:line="600" w:lineRule="exact"/>
        <w:ind w:firstLine="620"/>
        <w:jc w:val="both"/>
      </w:pPr>
      <w:r>
        <w:rPr>
          <w:rFonts w:hint="eastAsia" w:ascii="黑体" w:hAnsi="黑体" w:eastAsia="黑体"/>
        </w:rPr>
        <w:t>第十九条</w:t>
      </w:r>
      <w:r>
        <w:rPr>
          <w:rFonts w:hint="eastAsia"/>
        </w:rPr>
        <w:t>　城市绿地的保护和管理，实行分工负责制：</w:t>
      </w:r>
    </w:p>
    <w:p>
      <w:pPr>
        <w:pStyle w:val="8"/>
        <w:widowControl w:val="0"/>
        <w:adjustRightInd w:val="0"/>
        <w:snapToGrid w:val="0"/>
        <w:spacing w:line="600" w:lineRule="exact"/>
        <w:ind w:firstLine="620"/>
        <w:jc w:val="both"/>
      </w:pPr>
      <w:r>
        <w:rPr>
          <w:rFonts w:hint="eastAsia"/>
        </w:rPr>
        <w:t>（一）公共绿地、防护绿地、风景林地、行道树及干道绿化带，由城市绿化行政主管部门负责；</w:t>
      </w:r>
    </w:p>
    <w:p>
      <w:pPr>
        <w:pStyle w:val="8"/>
        <w:widowControl w:val="0"/>
        <w:adjustRightInd w:val="0"/>
        <w:snapToGrid w:val="0"/>
        <w:spacing w:line="600" w:lineRule="exact"/>
        <w:ind w:firstLine="620"/>
        <w:jc w:val="both"/>
      </w:pPr>
      <w:r>
        <w:rPr>
          <w:rFonts w:hint="eastAsia"/>
        </w:rPr>
        <w:t>（二）单位自建的公园和单位附属绿地，由该单位负责；</w:t>
      </w:r>
    </w:p>
    <w:p>
      <w:pPr>
        <w:pStyle w:val="8"/>
        <w:widowControl w:val="0"/>
        <w:adjustRightInd w:val="0"/>
        <w:snapToGrid w:val="0"/>
        <w:spacing w:line="600" w:lineRule="exact"/>
        <w:ind w:firstLine="620"/>
        <w:jc w:val="both"/>
      </w:pPr>
      <w:r>
        <w:rPr>
          <w:rFonts w:hint="eastAsia"/>
        </w:rPr>
        <w:t>（三）居住区绿地，由居住区的物业管理机构或者其所在地城市绿化行政主管部门确定的单位负责；</w:t>
      </w:r>
    </w:p>
    <w:p>
      <w:pPr>
        <w:pStyle w:val="8"/>
        <w:widowControl w:val="0"/>
        <w:adjustRightInd w:val="0"/>
        <w:snapToGrid w:val="0"/>
        <w:spacing w:line="600" w:lineRule="exact"/>
        <w:ind w:firstLine="620"/>
        <w:jc w:val="both"/>
      </w:pPr>
      <w:r>
        <w:rPr>
          <w:rFonts w:hint="eastAsia"/>
        </w:rPr>
        <w:t>（四）苗圃、花圃、草圃等生产绿地，由其经营单位负责；</w:t>
      </w:r>
    </w:p>
    <w:p>
      <w:pPr>
        <w:pStyle w:val="8"/>
        <w:widowControl w:val="0"/>
        <w:adjustRightInd w:val="0"/>
        <w:snapToGrid w:val="0"/>
        <w:spacing w:line="600" w:lineRule="exact"/>
        <w:ind w:firstLine="620"/>
        <w:jc w:val="both"/>
      </w:pPr>
      <w:r>
        <w:rPr>
          <w:rFonts w:hint="eastAsia"/>
        </w:rPr>
        <w:t>（五）临街的单位和居民住户门前的绿化，由临街的单位或者住户负责。</w:t>
      </w:r>
    </w:p>
    <w:p>
      <w:pPr>
        <w:pStyle w:val="8"/>
        <w:widowControl w:val="0"/>
        <w:adjustRightInd w:val="0"/>
        <w:snapToGrid w:val="0"/>
        <w:spacing w:line="600" w:lineRule="exact"/>
        <w:ind w:firstLine="620"/>
        <w:jc w:val="both"/>
      </w:pPr>
      <w:r>
        <w:rPr>
          <w:rFonts w:hint="eastAsia" w:ascii="黑体" w:hAnsi="黑体" w:eastAsia="黑体"/>
        </w:rPr>
        <w:t>第二十条</w:t>
      </w:r>
      <w:r>
        <w:rPr>
          <w:rFonts w:hint="eastAsia"/>
        </w:rPr>
        <w:t>　任何单位和个人均不得擅自占用城市绿地，因建设或者其他特殊原因确需占用的，应当落实补偿绿地的措施，并按下列规定报批后，依法办理其他审批手续：</w:t>
      </w:r>
    </w:p>
    <w:p>
      <w:pPr>
        <w:pStyle w:val="8"/>
        <w:widowControl w:val="0"/>
        <w:adjustRightInd w:val="0"/>
        <w:snapToGrid w:val="0"/>
        <w:spacing w:line="600" w:lineRule="exact"/>
        <w:ind w:firstLine="620"/>
        <w:jc w:val="both"/>
      </w:pPr>
      <w:r>
        <w:rPr>
          <w:rFonts w:hint="eastAsia"/>
        </w:rPr>
        <w:t>（一）占用绿地</w:t>
      </w:r>
      <w:r>
        <w:t>1</w:t>
      </w:r>
      <w:r>
        <w:rPr>
          <w:rFonts w:hint="eastAsia"/>
        </w:rPr>
        <w:t>公顷以上的，经省建设行政主管部门审核，报国务院建设行政主管部门批准；</w:t>
      </w:r>
    </w:p>
    <w:p>
      <w:pPr>
        <w:pStyle w:val="8"/>
        <w:widowControl w:val="0"/>
        <w:adjustRightInd w:val="0"/>
        <w:snapToGrid w:val="0"/>
        <w:spacing w:line="600" w:lineRule="exact"/>
        <w:ind w:firstLine="620"/>
        <w:jc w:val="both"/>
      </w:pPr>
      <w:r>
        <w:rPr>
          <w:rFonts w:hint="eastAsia"/>
        </w:rPr>
        <w:t>（二）占用</w:t>
      </w:r>
      <w:r>
        <w:t>0.1</w:t>
      </w:r>
      <w:r>
        <w:rPr>
          <w:rFonts w:hint="eastAsia"/>
        </w:rPr>
        <w:t>公顷以上不足</w:t>
      </w:r>
      <w:r>
        <w:t>1</w:t>
      </w:r>
      <w:r>
        <w:rPr>
          <w:rFonts w:hint="eastAsia"/>
        </w:rPr>
        <w:t>公顷的公共绿地或者</w:t>
      </w:r>
      <w:r>
        <w:t>0.4</w:t>
      </w:r>
      <w:r>
        <w:rPr>
          <w:rFonts w:hint="eastAsia"/>
        </w:rPr>
        <w:t>公顷以上不足</w:t>
      </w:r>
      <w:r>
        <w:t>1</w:t>
      </w:r>
      <w:r>
        <w:rPr>
          <w:rFonts w:hint="eastAsia"/>
        </w:rPr>
        <w:t>公顷的其他绿地，经地、州、市建设行政主管部门审核，报省建设行政主管部门批准；</w:t>
      </w:r>
    </w:p>
    <w:p>
      <w:pPr>
        <w:pStyle w:val="8"/>
        <w:widowControl w:val="0"/>
        <w:adjustRightInd w:val="0"/>
        <w:snapToGrid w:val="0"/>
        <w:spacing w:line="600" w:lineRule="exact"/>
        <w:ind w:firstLine="620"/>
        <w:jc w:val="both"/>
      </w:pPr>
      <w:r>
        <w:rPr>
          <w:rFonts w:hint="eastAsia"/>
        </w:rPr>
        <w:t>（三）占用</w:t>
      </w:r>
      <w:r>
        <w:t>0.1</w:t>
      </w:r>
      <w:r>
        <w:rPr>
          <w:rFonts w:hint="eastAsia"/>
        </w:rPr>
        <w:t>公顷以下的公共绿地或者</w:t>
      </w:r>
      <w:r>
        <w:t>0.4</w:t>
      </w:r>
      <w:r>
        <w:rPr>
          <w:rFonts w:hint="eastAsia"/>
        </w:rPr>
        <w:t>公顷以下的其他绿地，经州、市人民政府和地区行政公署的城市绿化行政主管部门批准。</w:t>
      </w:r>
    </w:p>
    <w:p>
      <w:pPr>
        <w:pStyle w:val="8"/>
        <w:widowControl w:val="0"/>
        <w:adjustRightInd w:val="0"/>
        <w:snapToGrid w:val="0"/>
        <w:spacing w:line="600" w:lineRule="exact"/>
        <w:ind w:firstLine="620"/>
        <w:jc w:val="both"/>
      </w:pPr>
      <w:r>
        <w:rPr>
          <w:rFonts w:hint="eastAsia" w:ascii="黑体" w:hAnsi="黑体" w:eastAsia="黑体"/>
        </w:rPr>
        <w:t>第二十一条</w:t>
      </w:r>
      <w:r>
        <w:rPr>
          <w:rFonts w:hint="eastAsia"/>
        </w:rPr>
        <w:t>　因建设或者其他特殊需要临时占用城市绿地的，必须经城市绿化行政主管部门同意后，依法办理其他审批手续，并按有关规定给绿地所有者予以补偿。占用期满后，占用者应当恢复原状。</w:t>
      </w:r>
    </w:p>
    <w:p>
      <w:pPr>
        <w:pStyle w:val="8"/>
        <w:widowControl w:val="0"/>
        <w:adjustRightInd w:val="0"/>
        <w:snapToGrid w:val="0"/>
        <w:spacing w:line="600" w:lineRule="exact"/>
        <w:ind w:firstLine="620"/>
        <w:jc w:val="both"/>
      </w:pPr>
      <w:r>
        <w:rPr>
          <w:rFonts w:hint="eastAsia" w:ascii="黑体" w:hAnsi="黑体" w:eastAsia="黑体"/>
        </w:rPr>
        <w:t>第二十二条</w:t>
      </w:r>
      <w:r>
        <w:rPr>
          <w:rFonts w:hint="eastAsia"/>
        </w:rPr>
        <w:t>　禁止擅自改变城市公共绿地、防护绿地、生产绿地、风景林地的性质。</w:t>
      </w:r>
    </w:p>
    <w:p>
      <w:pPr>
        <w:pStyle w:val="8"/>
        <w:widowControl w:val="0"/>
        <w:adjustRightInd w:val="0"/>
        <w:snapToGrid w:val="0"/>
        <w:spacing w:line="600" w:lineRule="exact"/>
        <w:ind w:firstLine="620"/>
        <w:jc w:val="both"/>
      </w:pPr>
      <w:r>
        <w:rPr>
          <w:rFonts w:hint="eastAsia" w:ascii="黑体" w:hAnsi="黑体" w:eastAsia="黑体"/>
        </w:rPr>
        <w:t>第二十三条</w:t>
      </w:r>
      <w:r>
        <w:rPr>
          <w:rFonts w:hint="eastAsia"/>
        </w:rPr>
        <w:t>　在城市公园、游园内开设商业、服务摊点，必须符合规划。开设临时经营服务摊点应当严格控制，确需开设的，必须经城市绿化行政主管部门同意，并接受公共绿地管理单位的管理。</w:t>
      </w:r>
    </w:p>
    <w:p>
      <w:pPr>
        <w:pStyle w:val="8"/>
        <w:widowControl w:val="0"/>
        <w:adjustRightInd w:val="0"/>
        <w:snapToGrid w:val="0"/>
        <w:spacing w:line="600" w:lineRule="exact"/>
        <w:ind w:firstLine="620"/>
        <w:jc w:val="both"/>
      </w:pPr>
      <w:r>
        <w:rPr>
          <w:rFonts w:hint="eastAsia"/>
        </w:rPr>
        <w:t>禁止违反公园总体规划利用公园围墙建设商业门面或者搭棚、摆摊设点。</w:t>
      </w:r>
    </w:p>
    <w:p>
      <w:pPr>
        <w:pStyle w:val="8"/>
        <w:widowControl w:val="0"/>
        <w:adjustRightInd w:val="0"/>
        <w:snapToGrid w:val="0"/>
        <w:spacing w:line="600" w:lineRule="exact"/>
        <w:ind w:firstLine="620"/>
        <w:jc w:val="both"/>
      </w:pPr>
      <w:r>
        <w:rPr>
          <w:rFonts w:hint="eastAsia" w:ascii="黑体" w:hAnsi="黑体" w:eastAsia="黑体"/>
        </w:rPr>
        <w:t>第二十四条</w:t>
      </w:r>
      <w:r>
        <w:rPr>
          <w:rFonts w:hint="eastAsia"/>
        </w:rPr>
        <w:t>　在绿地内禁止下列行为：</w:t>
      </w:r>
    </w:p>
    <w:p>
      <w:pPr>
        <w:pStyle w:val="8"/>
        <w:widowControl w:val="0"/>
        <w:adjustRightInd w:val="0"/>
        <w:snapToGrid w:val="0"/>
        <w:spacing w:line="600" w:lineRule="exact"/>
        <w:ind w:firstLine="620"/>
        <w:jc w:val="both"/>
      </w:pPr>
      <w:r>
        <w:rPr>
          <w:rFonts w:hint="eastAsia"/>
        </w:rPr>
        <w:t>（一）践踏花草，损坏设施；</w:t>
      </w:r>
    </w:p>
    <w:p>
      <w:pPr>
        <w:pStyle w:val="8"/>
        <w:widowControl w:val="0"/>
        <w:adjustRightInd w:val="0"/>
        <w:snapToGrid w:val="0"/>
        <w:spacing w:line="600" w:lineRule="exact"/>
        <w:ind w:firstLine="620"/>
        <w:jc w:val="both"/>
      </w:pPr>
      <w:r>
        <w:rPr>
          <w:rFonts w:hint="eastAsia"/>
        </w:rPr>
        <w:t>（二）搭棚摆摊，堆放物品；</w:t>
      </w:r>
    </w:p>
    <w:p>
      <w:pPr>
        <w:pStyle w:val="8"/>
        <w:widowControl w:val="0"/>
        <w:adjustRightInd w:val="0"/>
        <w:snapToGrid w:val="0"/>
        <w:spacing w:line="600" w:lineRule="exact"/>
        <w:ind w:firstLine="620"/>
        <w:jc w:val="both"/>
      </w:pPr>
      <w:r>
        <w:rPr>
          <w:rFonts w:hint="eastAsia"/>
        </w:rPr>
        <w:t>（三）挖砂取土，倾倒垃圾；</w:t>
      </w:r>
    </w:p>
    <w:p>
      <w:pPr>
        <w:pStyle w:val="8"/>
        <w:widowControl w:val="0"/>
        <w:adjustRightInd w:val="0"/>
        <w:snapToGrid w:val="0"/>
        <w:spacing w:line="600" w:lineRule="exact"/>
        <w:ind w:firstLine="620"/>
        <w:jc w:val="both"/>
      </w:pPr>
      <w:r>
        <w:rPr>
          <w:rFonts w:hint="eastAsia"/>
        </w:rPr>
        <w:t>（四）其他损坏绿地行为。</w:t>
      </w:r>
    </w:p>
    <w:p>
      <w:pPr>
        <w:pStyle w:val="8"/>
        <w:widowControl w:val="0"/>
        <w:adjustRightInd w:val="0"/>
        <w:snapToGrid w:val="0"/>
        <w:spacing w:line="600" w:lineRule="exact"/>
        <w:ind w:firstLine="620"/>
        <w:jc w:val="both"/>
      </w:pPr>
      <w:r>
        <w:rPr>
          <w:rFonts w:hint="eastAsia" w:ascii="黑体" w:hAnsi="黑体" w:eastAsia="黑体"/>
        </w:rPr>
        <w:t>第二十五条</w:t>
      </w:r>
      <w:r>
        <w:rPr>
          <w:rFonts w:hint="eastAsia"/>
        </w:rPr>
        <w:t>　禁止任何单位和个人擅自砍伐、移植、毁坏城市树木花草。因建设等原因确需砍伐、移植、毁坏城市树木花草的，必须按规定的审批权限报经城市绿化行政主管部门或者上级建设行政主管部门批准，并负责赔偿树木花草所有权人的经济损失。</w:t>
      </w:r>
    </w:p>
    <w:p>
      <w:pPr>
        <w:pStyle w:val="8"/>
        <w:widowControl w:val="0"/>
        <w:adjustRightInd w:val="0"/>
        <w:snapToGrid w:val="0"/>
        <w:spacing w:line="600" w:lineRule="exact"/>
        <w:ind w:firstLine="620"/>
        <w:jc w:val="both"/>
      </w:pPr>
      <w:r>
        <w:rPr>
          <w:rFonts w:hint="eastAsia" w:ascii="黑体" w:hAnsi="黑体" w:eastAsia="黑体"/>
        </w:rPr>
        <w:t>第二十六条</w:t>
      </w:r>
      <w:r>
        <w:rPr>
          <w:rFonts w:hint="eastAsia"/>
        </w:rPr>
        <w:t>　在城市规划区进行各项建设，应当采取措施保护建设用地上的树木。</w:t>
      </w:r>
    </w:p>
    <w:p>
      <w:pPr>
        <w:pStyle w:val="8"/>
        <w:widowControl w:val="0"/>
        <w:adjustRightInd w:val="0"/>
        <w:snapToGrid w:val="0"/>
        <w:spacing w:line="600" w:lineRule="exact"/>
        <w:ind w:firstLine="620"/>
        <w:jc w:val="both"/>
      </w:pPr>
      <w:r>
        <w:rPr>
          <w:rFonts w:hint="eastAsia"/>
        </w:rPr>
        <w:t>城市新建管线应当避让现有树木。确实无法避让的，在设计中及施工前，有关主管部门应当会同城市绿化行政主管部门制定保护措施。当树木生长影响管线安全需要修剪的，必须经城市绿化行政主管部门批准，由城市绿化专业队伍按照兼顾管线安全和树木正常生长的原则进行修剪。</w:t>
      </w:r>
    </w:p>
    <w:p>
      <w:pPr>
        <w:pStyle w:val="8"/>
        <w:widowControl w:val="0"/>
        <w:adjustRightInd w:val="0"/>
        <w:snapToGrid w:val="0"/>
        <w:spacing w:line="600" w:lineRule="exact"/>
        <w:ind w:firstLine="620"/>
        <w:jc w:val="both"/>
      </w:pPr>
      <w:r>
        <w:rPr>
          <w:rFonts w:hint="eastAsia"/>
        </w:rPr>
        <w:t>因不可抗力致使树木倾斜危及管线及公民生命安全时，有关单位可先行移植或者砍伐，并及时报告城市绿化行政主管部门和管理单位。</w:t>
      </w:r>
    </w:p>
    <w:p>
      <w:pPr>
        <w:pStyle w:val="8"/>
        <w:widowControl w:val="0"/>
        <w:adjustRightInd w:val="0"/>
        <w:snapToGrid w:val="0"/>
        <w:spacing w:line="600" w:lineRule="exact"/>
        <w:ind w:firstLine="620"/>
        <w:jc w:val="both"/>
      </w:pPr>
      <w:r>
        <w:rPr>
          <w:rFonts w:hint="eastAsia" w:ascii="黑体" w:hAnsi="黑体" w:eastAsia="黑体"/>
        </w:rPr>
        <w:t>第二十七条</w:t>
      </w:r>
      <w:r>
        <w:rPr>
          <w:rFonts w:hint="eastAsia"/>
        </w:rPr>
        <w:t>　禁止损坏、砍伐或者迁移古树名木。因特殊原因需要迁移古树名木的，必须制定可靠的迁移措施，并按下列规定报批：</w:t>
      </w:r>
    </w:p>
    <w:p>
      <w:pPr>
        <w:pStyle w:val="8"/>
        <w:widowControl w:val="0"/>
        <w:adjustRightInd w:val="0"/>
        <w:snapToGrid w:val="0"/>
        <w:spacing w:line="600" w:lineRule="exact"/>
        <w:ind w:firstLine="620"/>
        <w:jc w:val="both"/>
      </w:pPr>
      <w:r>
        <w:rPr>
          <w:rFonts w:hint="eastAsia"/>
        </w:rPr>
        <w:t>（一）</w:t>
      </w:r>
      <w:r>
        <w:t>200</w:t>
      </w:r>
      <w:r>
        <w:rPr>
          <w:rFonts w:hint="eastAsia"/>
        </w:rPr>
        <w:t>年以上和特别珍贵稀有或者具有重要历史价值、纪念意义的古树名木，由省建设行政主管部门审查，报省人民政府批准；</w:t>
      </w:r>
    </w:p>
    <w:p>
      <w:pPr>
        <w:pStyle w:val="8"/>
        <w:widowControl w:val="0"/>
        <w:adjustRightInd w:val="0"/>
        <w:snapToGrid w:val="0"/>
        <w:spacing w:line="600" w:lineRule="exact"/>
        <w:ind w:firstLine="620"/>
        <w:jc w:val="both"/>
      </w:pPr>
      <w:r>
        <w:rPr>
          <w:rFonts w:hint="eastAsia"/>
        </w:rPr>
        <w:t>（二）其他古树名木由州、市人民政府和地区行政公署的城市绿化行政主管部门审查，报州、市人民政府或者地区行政公署批准，并报省建设行政主管部门备案。</w:t>
      </w:r>
    </w:p>
    <w:p>
      <w:pPr>
        <w:pStyle w:val="8"/>
        <w:widowControl w:val="0"/>
        <w:adjustRightInd w:val="0"/>
        <w:snapToGrid w:val="0"/>
        <w:spacing w:line="600" w:lineRule="exact"/>
        <w:ind w:firstLine="620"/>
        <w:jc w:val="both"/>
      </w:pPr>
      <w:r>
        <w:rPr>
          <w:rFonts w:hint="eastAsia" w:ascii="黑体" w:hAnsi="黑体" w:eastAsia="黑体"/>
        </w:rPr>
        <w:t>第二十八条</w:t>
      </w:r>
      <w:r>
        <w:rPr>
          <w:rFonts w:hint="eastAsia"/>
        </w:rPr>
        <w:t>　禁止下列损坏城市树木的行为：</w:t>
      </w:r>
    </w:p>
    <w:p>
      <w:pPr>
        <w:pStyle w:val="8"/>
        <w:widowControl w:val="0"/>
        <w:adjustRightInd w:val="0"/>
        <w:snapToGrid w:val="0"/>
        <w:spacing w:line="600" w:lineRule="exact"/>
        <w:ind w:firstLine="620"/>
        <w:jc w:val="both"/>
      </w:pPr>
      <w:r>
        <w:rPr>
          <w:rFonts w:hint="eastAsia"/>
        </w:rPr>
        <w:t>（一）剥皮、挖根；</w:t>
      </w:r>
    </w:p>
    <w:p>
      <w:pPr>
        <w:pStyle w:val="8"/>
        <w:widowControl w:val="0"/>
        <w:adjustRightInd w:val="0"/>
        <w:snapToGrid w:val="0"/>
        <w:spacing w:line="600" w:lineRule="exact"/>
        <w:ind w:firstLine="620"/>
        <w:jc w:val="both"/>
      </w:pPr>
      <w:r>
        <w:rPr>
          <w:rFonts w:hint="eastAsia"/>
        </w:rPr>
        <w:t>（二）利用树木盖房搭棚、架设电线；</w:t>
      </w:r>
    </w:p>
    <w:p>
      <w:pPr>
        <w:pStyle w:val="8"/>
        <w:widowControl w:val="0"/>
        <w:adjustRightInd w:val="0"/>
        <w:snapToGrid w:val="0"/>
        <w:spacing w:line="600" w:lineRule="exact"/>
        <w:ind w:firstLine="620"/>
        <w:jc w:val="both"/>
      </w:pPr>
      <w:r>
        <w:rPr>
          <w:rFonts w:hint="eastAsia"/>
        </w:rPr>
        <w:t>（三）攀登树木、掐花、摘果、折枝；</w:t>
      </w:r>
    </w:p>
    <w:p>
      <w:pPr>
        <w:pStyle w:val="8"/>
        <w:widowControl w:val="0"/>
        <w:adjustRightInd w:val="0"/>
        <w:snapToGrid w:val="0"/>
        <w:spacing w:line="600" w:lineRule="exact"/>
        <w:ind w:firstLine="620"/>
        <w:jc w:val="both"/>
      </w:pPr>
      <w:r>
        <w:rPr>
          <w:rFonts w:hint="eastAsia"/>
        </w:rPr>
        <w:t>（四）在树木上刻字、钉钉、拴系牲畜；</w:t>
      </w:r>
    </w:p>
    <w:p>
      <w:pPr>
        <w:pStyle w:val="8"/>
        <w:widowControl w:val="0"/>
        <w:adjustRightInd w:val="0"/>
        <w:snapToGrid w:val="0"/>
        <w:spacing w:line="600" w:lineRule="exact"/>
        <w:ind w:firstLine="620"/>
        <w:jc w:val="both"/>
      </w:pPr>
      <w:r>
        <w:rPr>
          <w:rFonts w:hint="eastAsia"/>
        </w:rPr>
        <w:t>（五）在树木冠垂直投影范围内堆放影响树木正常生长的物料、挖砂取土、倾倒污染物等；</w:t>
      </w:r>
    </w:p>
    <w:p>
      <w:pPr>
        <w:pStyle w:val="8"/>
        <w:widowControl w:val="0"/>
        <w:adjustRightInd w:val="0"/>
        <w:snapToGrid w:val="0"/>
        <w:spacing w:line="600" w:lineRule="exact"/>
        <w:ind w:firstLine="620"/>
        <w:jc w:val="both"/>
      </w:pPr>
      <w:r>
        <w:rPr>
          <w:rFonts w:hint="eastAsia"/>
        </w:rPr>
        <w:t>（六）其他有碍、有害树木正常生长的行为。</w:t>
      </w:r>
    </w:p>
    <w:p>
      <w:pPr>
        <w:pStyle w:val="2"/>
        <w:spacing w:before="312" w:after="312"/>
      </w:pPr>
      <w:r>
        <w:rPr>
          <w:rFonts w:hint="eastAsia"/>
        </w:rPr>
        <w:t>第四章　罚　则</w:t>
      </w:r>
    </w:p>
    <w:p>
      <w:pPr>
        <w:pStyle w:val="8"/>
        <w:widowControl w:val="0"/>
        <w:adjustRightInd w:val="0"/>
        <w:snapToGrid w:val="0"/>
        <w:spacing w:line="600" w:lineRule="exact"/>
        <w:ind w:firstLine="620"/>
        <w:jc w:val="both"/>
      </w:pPr>
      <w:r>
        <w:rPr>
          <w:rFonts w:hint="eastAsia" w:ascii="黑体" w:hAnsi="黑体" w:eastAsia="黑体"/>
        </w:rPr>
        <w:t>第二十九条</w:t>
      </w:r>
      <w:r>
        <w:rPr>
          <w:rFonts w:hint="eastAsia"/>
        </w:rPr>
        <w:t>　有《条例》第二十七条第（一）项行为，应当给予罚款处罚的，罚款数额为</w:t>
      </w:r>
      <w:r>
        <w:t>1000</w:t>
      </w:r>
      <w:r>
        <w:rPr>
          <w:rFonts w:hint="eastAsia"/>
        </w:rPr>
        <w:t>元以下。</w:t>
      </w:r>
    </w:p>
    <w:p>
      <w:pPr>
        <w:pStyle w:val="8"/>
        <w:widowControl w:val="0"/>
        <w:adjustRightInd w:val="0"/>
        <w:snapToGrid w:val="0"/>
        <w:spacing w:line="600" w:lineRule="exact"/>
        <w:ind w:firstLine="620"/>
        <w:jc w:val="both"/>
      </w:pPr>
      <w:r>
        <w:rPr>
          <w:rFonts w:hint="eastAsia"/>
        </w:rPr>
        <w:t>有《条例》第二十七条第（二）、（四）项行为，应当给予罚款处罚的，罚款数额为</w:t>
      </w:r>
      <w:r>
        <w:t>5000</w:t>
      </w:r>
      <w:r>
        <w:rPr>
          <w:rFonts w:hint="eastAsia"/>
        </w:rPr>
        <w:t>元以下。</w:t>
      </w:r>
    </w:p>
    <w:p>
      <w:pPr>
        <w:pStyle w:val="8"/>
        <w:widowControl w:val="0"/>
        <w:adjustRightInd w:val="0"/>
        <w:snapToGrid w:val="0"/>
        <w:spacing w:line="600" w:lineRule="exact"/>
        <w:ind w:firstLine="620"/>
        <w:jc w:val="both"/>
      </w:pPr>
      <w:r>
        <w:rPr>
          <w:rFonts w:hint="eastAsia"/>
        </w:rPr>
        <w:t>有《条例》第二十七条第（三）项行为，应当给予罚款处罚的，罚款数额为</w:t>
      </w:r>
      <w:r>
        <w:t>30000</w:t>
      </w:r>
      <w:r>
        <w:rPr>
          <w:rFonts w:hint="eastAsia"/>
        </w:rPr>
        <w:t>元以下。</w:t>
      </w:r>
    </w:p>
    <w:p>
      <w:pPr>
        <w:pStyle w:val="8"/>
        <w:widowControl w:val="0"/>
        <w:adjustRightInd w:val="0"/>
        <w:snapToGrid w:val="0"/>
        <w:spacing w:line="600" w:lineRule="exact"/>
        <w:ind w:firstLine="620"/>
        <w:jc w:val="both"/>
      </w:pPr>
      <w:r>
        <w:rPr>
          <w:rFonts w:hint="eastAsia"/>
        </w:rPr>
        <w:t>有《条例》第二十七条行为，构成犯罪的，依法追究刑事责任。</w:t>
      </w:r>
    </w:p>
    <w:p>
      <w:pPr>
        <w:pStyle w:val="8"/>
        <w:widowControl w:val="0"/>
        <w:adjustRightInd w:val="0"/>
        <w:snapToGrid w:val="0"/>
        <w:spacing w:line="600" w:lineRule="exact"/>
        <w:ind w:firstLine="620"/>
        <w:jc w:val="both"/>
      </w:pPr>
      <w:r>
        <w:rPr>
          <w:rFonts w:hint="eastAsia" w:ascii="黑体" w:hAnsi="黑体" w:eastAsia="黑体"/>
        </w:rPr>
        <w:t>第三十条</w:t>
      </w:r>
      <w:r>
        <w:rPr>
          <w:rFonts w:hint="eastAsia"/>
        </w:rPr>
        <w:t>　有《条例》第二十八条行为，应当给予罚款处罚的，罚款数额为</w:t>
      </w:r>
      <w:r>
        <w:t>30000</w:t>
      </w:r>
      <w:r>
        <w:rPr>
          <w:rFonts w:hint="eastAsia"/>
        </w:rPr>
        <w:t>元以下。</w:t>
      </w:r>
    </w:p>
    <w:p>
      <w:pPr>
        <w:pStyle w:val="8"/>
        <w:widowControl w:val="0"/>
        <w:adjustRightInd w:val="0"/>
        <w:snapToGrid w:val="0"/>
        <w:spacing w:line="600" w:lineRule="exact"/>
        <w:ind w:firstLine="620"/>
        <w:jc w:val="both"/>
      </w:pPr>
      <w:r>
        <w:rPr>
          <w:rFonts w:hint="eastAsia" w:ascii="黑体" w:hAnsi="黑体" w:eastAsia="黑体"/>
        </w:rPr>
        <w:t>第三十一条</w:t>
      </w:r>
      <w:r>
        <w:rPr>
          <w:rFonts w:hint="eastAsia"/>
        </w:rPr>
        <w:t>　有《条例》第二十九条第一款行为，应当给予罚款处罚的，罚款数额为占地面积每日每平方米</w:t>
      </w:r>
      <w:r>
        <w:t>5</w:t>
      </w:r>
      <w:r>
        <w:rPr>
          <w:rFonts w:hint="eastAsia"/>
        </w:rPr>
        <w:t>元，但最高不得超过</w:t>
      </w:r>
      <w:r>
        <w:t>30000</w:t>
      </w:r>
      <w:r>
        <w:rPr>
          <w:rFonts w:hint="eastAsia"/>
        </w:rPr>
        <w:t>元。</w:t>
      </w:r>
    </w:p>
    <w:p>
      <w:pPr>
        <w:pStyle w:val="8"/>
        <w:widowControl w:val="0"/>
        <w:adjustRightInd w:val="0"/>
        <w:snapToGrid w:val="0"/>
        <w:spacing w:line="600" w:lineRule="exact"/>
        <w:ind w:firstLine="620"/>
        <w:jc w:val="both"/>
      </w:pPr>
      <w:r>
        <w:rPr>
          <w:rFonts w:hint="eastAsia"/>
        </w:rPr>
        <w:t>有《条例》第二十九条第二款行为，应当给予罚款处罚的，罚款数额为</w:t>
      </w:r>
      <w:r>
        <w:t>2000</w:t>
      </w:r>
      <w:r>
        <w:rPr>
          <w:rFonts w:hint="eastAsia"/>
        </w:rPr>
        <w:t>元以下。</w:t>
      </w:r>
    </w:p>
    <w:p>
      <w:pPr>
        <w:pStyle w:val="8"/>
        <w:widowControl w:val="0"/>
        <w:adjustRightInd w:val="0"/>
        <w:snapToGrid w:val="0"/>
        <w:spacing w:line="600" w:lineRule="exact"/>
        <w:ind w:firstLine="620"/>
        <w:jc w:val="both"/>
      </w:pPr>
      <w:r>
        <w:rPr>
          <w:rFonts w:hint="eastAsia" w:ascii="黑体" w:hAnsi="黑体" w:eastAsia="黑体"/>
        </w:rPr>
        <w:t>第三十二条</w:t>
      </w:r>
      <w:r>
        <w:rPr>
          <w:rFonts w:hint="eastAsia"/>
        </w:rPr>
        <w:t>　当事人对行政处罚决定不服的，可以依照《行政复议条例》和《中华人民共和国行政诉讼法》的规定，申请复议或者向人民法院起诉。逾期不申请复议或者不向人民法院起诉又不履行行政处罚决定的，由作出处罚决定的机关申请人民法院强制执行。</w:t>
      </w:r>
    </w:p>
    <w:p>
      <w:pPr>
        <w:pStyle w:val="2"/>
        <w:spacing w:before="312" w:after="312"/>
      </w:pPr>
      <w:r>
        <w:rPr>
          <w:rFonts w:hint="eastAsia"/>
        </w:rPr>
        <w:t>第五章　附　则</w:t>
      </w:r>
    </w:p>
    <w:p>
      <w:pPr>
        <w:pStyle w:val="8"/>
        <w:widowControl w:val="0"/>
        <w:adjustRightInd w:val="0"/>
        <w:snapToGrid w:val="0"/>
        <w:spacing w:line="600" w:lineRule="exact"/>
        <w:ind w:firstLine="620"/>
        <w:jc w:val="both"/>
      </w:pPr>
      <w:r>
        <w:rPr>
          <w:rFonts w:hint="eastAsia" w:ascii="黑体" w:hAnsi="黑体" w:eastAsia="黑体"/>
        </w:rPr>
        <w:t>第三十三条</w:t>
      </w:r>
      <w:r>
        <w:rPr>
          <w:rFonts w:hint="eastAsia"/>
        </w:rPr>
        <w:t>　本实施办法规定的城市绿地、树木花草的赔偿、补偿标准，由省人民政府建设行政主管部门会同物价、财政部门另行制定。</w:t>
      </w:r>
    </w:p>
    <w:p>
      <w:pPr>
        <w:pStyle w:val="8"/>
        <w:widowControl w:val="0"/>
        <w:adjustRightInd w:val="0"/>
        <w:snapToGrid w:val="0"/>
        <w:spacing w:line="600" w:lineRule="exact"/>
        <w:ind w:firstLine="620"/>
        <w:jc w:val="both"/>
      </w:pPr>
      <w:r>
        <w:rPr>
          <w:rFonts w:hint="eastAsia" w:ascii="黑体" w:hAnsi="黑体" w:eastAsia="黑体"/>
        </w:rPr>
        <w:t>第三十四条</w:t>
      </w:r>
      <w:r>
        <w:rPr>
          <w:rFonts w:hint="eastAsia"/>
        </w:rPr>
        <w:t>　本实施办法所称树木花草包括竹等其他植物。</w:t>
      </w:r>
    </w:p>
    <w:p>
      <w:pPr>
        <w:pStyle w:val="8"/>
        <w:widowControl w:val="0"/>
        <w:adjustRightInd w:val="0"/>
        <w:snapToGrid w:val="0"/>
        <w:spacing w:line="600" w:lineRule="exact"/>
        <w:ind w:firstLine="620"/>
        <w:jc w:val="both"/>
        <w:rPr>
          <w:rFonts w:hint="eastAsia"/>
          <w:lang w:val="en-US" w:eastAsia="zh-CN"/>
        </w:rPr>
      </w:pPr>
      <w:r>
        <w:rPr>
          <w:rFonts w:hint="eastAsia" w:ascii="黑体" w:hAnsi="黑体" w:eastAsia="黑体"/>
        </w:rPr>
        <w:t>第三十五条</w:t>
      </w:r>
      <w:r>
        <w:rPr>
          <w:rFonts w:hint="eastAsia"/>
        </w:rPr>
        <w:t>　本实施办法自发布之日起施行。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NjgzMGRjYzA4OWY1MTU3NmEzNzY3YmJkMGE3NzEifQ=="/>
  </w:docVars>
  <w:rsids>
    <w:rsidRoot w:val="7C9011D9"/>
    <w:rsid w:val="013D2C6A"/>
    <w:rsid w:val="019E71BD"/>
    <w:rsid w:val="06A67E67"/>
    <w:rsid w:val="080F63D8"/>
    <w:rsid w:val="090D48AD"/>
    <w:rsid w:val="09341458"/>
    <w:rsid w:val="152D2DCA"/>
    <w:rsid w:val="22440422"/>
    <w:rsid w:val="23872C46"/>
    <w:rsid w:val="31A15F24"/>
    <w:rsid w:val="39A232A0"/>
    <w:rsid w:val="3B5A6BBB"/>
    <w:rsid w:val="3EDA13A6"/>
    <w:rsid w:val="42F058B7"/>
    <w:rsid w:val="436109F6"/>
    <w:rsid w:val="441A38D4"/>
    <w:rsid w:val="4BC77339"/>
    <w:rsid w:val="4C9236C5"/>
    <w:rsid w:val="52F46F0B"/>
    <w:rsid w:val="55E064E0"/>
    <w:rsid w:val="608816D1"/>
    <w:rsid w:val="6D0E3F22"/>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15.5正文（仿宋GB）"/>
    <w:basedOn w:val="1"/>
    <w:qFormat/>
    <w:uiPriority w:val="0"/>
    <w:pPr>
      <w:widowControl/>
      <w:ind w:firstLine="200" w:firstLineChars="200"/>
      <w:jc w:val="left"/>
    </w:pPr>
    <w:rPr>
      <w:rFonts w:ascii="方正书宋简体" w:hAnsi="方正书宋简体" w:eastAsia="仿宋_GB2312"/>
      <w:color w:val="000000"/>
      <w:kern w:val="0"/>
      <w:sz w:val="31"/>
      <w:szCs w:val="31"/>
    </w:rPr>
  </w:style>
  <w:style w:type="paragraph" w:customStyle="1" w:styleId="9">
    <w:name w:val="一级标题（二号小标宋）"/>
    <w:basedOn w:val="1"/>
    <w:uiPriority w:val="0"/>
    <w:pPr>
      <w:widowControl/>
      <w:jc w:val="center"/>
    </w:pPr>
    <w:rPr>
      <w:rFonts w:ascii="方正书宋简体" w:hAnsi="方正书宋简体" w:eastAsia="方正小标宋_GBK"/>
      <w:color w:val="000000"/>
      <w:kern w:val="0"/>
      <w:sz w:val="42"/>
      <w:szCs w:val="42"/>
    </w:rPr>
  </w:style>
  <w:style w:type="paragraph" w:customStyle="1" w:styleId="10">
    <w:name w:val="15.5楷体（标题下楷体）"/>
    <w:basedOn w:val="1"/>
    <w:uiPriority w:val="0"/>
    <w:pPr>
      <w:widowControl/>
      <w:spacing w:before="105"/>
      <w:ind w:firstLine="200" w:firstLineChars="200"/>
      <w:jc w:val="center"/>
    </w:pPr>
    <w:rPr>
      <w:rFonts w:ascii="方正书宋简体" w:hAnsi="方正书宋简体" w:eastAsia="楷体_GB2312"/>
      <w:color w:val="000000"/>
      <w:kern w:val="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3784</Words>
  <Characters>3826</Characters>
  <Lines>0</Lines>
  <Paragraphs>0</Paragraphs>
  <TotalTime>0</TotalTime>
  <ScaleCrop>false</ScaleCrop>
  <LinksUpToDate>false</LinksUpToDate>
  <CharactersWithSpaces>3879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2021-09-22T01:19:00Z</cp:lastPrinted>
  <dcterms:modified xsi:type="dcterms:W3CDTF">2023-01-05T02:57:56Z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AADCBFD3DAA646919B63EDD26577BB31</vt:lpwstr>
  </property>
</Properties>
</file>