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adjustRightInd w:val="0"/>
        <w:snapToGrid w:val="0"/>
        <w:spacing w:line="600" w:lineRule="exact"/>
        <w:ind w:firstLine="0" w:firstLineChars="0"/>
      </w:pPr>
    </w:p>
    <w:p>
      <w:pPr>
        <w:pStyle w:val="7"/>
        <w:widowControl w:val="0"/>
        <w:adjustRightInd w:val="0"/>
        <w:snapToGrid w:val="0"/>
        <w:spacing w:line="600" w:lineRule="exact"/>
        <w:ind w:firstLine="0" w:firstLineChars="0"/>
      </w:pPr>
    </w:p>
    <w:p>
      <w:pPr>
        <w:pStyle w:val="8"/>
        <w:widowControl w:val="0"/>
        <w:adjustRightInd w:val="0"/>
        <w:snapToGrid w:val="0"/>
        <w:spacing w:line="600" w:lineRule="exac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湖南省渔船渔港安全监督管理办法</w:t>
      </w:r>
      <w:bookmarkStart w:id="0" w:name="_GoBack"/>
      <w:bookmarkEnd w:id="0"/>
    </w:p>
    <w:p>
      <w:pPr>
        <w:pStyle w:val="9"/>
        <w:widowControl w:val="0"/>
        <w:adjustRightInd w:val="0"/>
        <w:snapToGrid w:val="0"/>
        <w:spacing w:before="0" w:line="600" w:lineRule="exact"/>
        <w:ind w:firstLine="620"/>
        <w:jc w:val="center"/>
        <w:rPr>
          <w:sz w:val="32"/>
          <w:szCs w:val="32"/>
        </w:rPr>
      </w:pPr>
      <w:r>
        <w:rPr>
          <w:rFonts w:hint="eastAsia"/>
          <w:sz w:val="32"/>
          <w:szCs w:val="32"/>
        </w:rPr>
        <w:t>（</w:t>
      </w:r>
      <w:r>
        <w:rPr>
          <w:sz w:val="32"/>
          <w:szCs w:val="32"/>
        </w:rPr>
        <w:t>1995</w:t>
      </w:r>
      <w:r>
        <w:rPr>
          <w:rFonts w:hint="eastAsia"/>
          <w:sz w:val="32"/>
          <w:szCs w:val="32"/>
        </w:rPr>
        <w:t>年</w:t>
      </w:r>
      <w:r>
        <w:rPr>
          <w:sz w:val="32"/>
          <w:szCs w:val="32"/>
        </w:rPr>
        <w:t>12</w:t>
      </w:r>
      <w:r>
        <w:rPr>
          <w:rFonts w:hint="eastAsia"/>
          <w:sz w:val="32"/>
          <w:szCs w:val="32"/>
        </w:rPr>
        <w:t>月</w:t>
      </w:r>
      <w:r>
        <w:rPr>
          <w:sz w:val="32"/>
          <w:szCs w:val="32"/>
        </w:rPr>
        <w:t>26</w:t>
      </w:r>
      <w:r>
        <w:rPr>
          <w:rFonts w:hint="eastAsia"/>
          <w:sz w:val="32"/>
          <w:szCs w:val="32"/>
        </w:rPr>
        <w:t>日湖南省人民政府令第</w:t>
      </w:r>
      <w:r>
        <w:rPr>
          <w:sz w:val="32"/>
          <w:szCs w:val="32"/>
        </w:rPr>
        <w:t>58</w:t>
      </w:r>
      <w:r>
        <w:rPr>
          <w:rFonts w:hint="eastAsia"/>
          <w:sz w:val="32"/>
          <w:szCs w:val="32"/>
        </w:rPr>
        <w:t>号公布　</w:t>
      </w:r>
      <w:r>
        <w:rPr>
          <w:sz w:val="32"/>
          <w:szCs w:val="32"/>
        </w:rPr>
        <w:t>1998</w:t>
      </w:r>
      <w:r>
        <w:rPr>
          <w:rFonts w:hint="eastAsia"/>
          <w:sz w:val="32"/>
          <w:szCs w:val="32"/>
        </w:rPr>
        <w:t>年</w:t>
      </w:r>
      <w:r>
        <w:rPr>
          <w:sz w:val="32"/>
          <w:szCs w:val="32"/>
        </w:rPr>
        <w:t>5</w:t>
      </w:r>
      <w:r>
        <w:rPr>
          <w:rFonts w:hint="eastAsia"/>
          <w:sz w:val="32"/>
          <w:szCs w:val="32"/>
        </w:rPr>
        <w:t>月</w:t>
      </w:r>
      <w:r>
        <w:rPr>
          <w:sz w:val="32"/>
          <w:szCs w:val="32"/>
        </w:rPr>
        <w:t>4</w:t>
      </w:r>
      <w:r>
        <w:rPr>
          <w:rFonts w:hint="eastAsia"/>
          <w:sz w:val="32"/>
          <w:szCs w:val="32"/>
        </w:rPr>
        <w:t>日湖南省人民政府令第</w:t>
      </w:r>
      <w:r>
        <w:rPr>
          <w:sz w:val="32"/>
          <w:szCs w:val="32"/>
        </w:rPr>
        <w:t>121</w:t>
      </w:r>
      <w:r>
        <w:rPr>
          <w:rFonts w:hint="eastAsia"/>
          <w:sz w:val="32"/>
          <w:szCs w:val="32"/>
        </w:rPr>
        <w:t>号第一次修改　</w:t>
      </w:r>
      <w:r>
        <w:rPr>
          <w:sz w:val="32"/>
          <w:szCs w:val="32"/>
        </w:rPr>
        <w:t>2011</w:t>
      </w:r>
      <w:r>
        <w:rPr>
          <w:rFonts w:hint="eastAsia"/>
          <w:sz w:val="32"/>
          <w:szCs w:val="32"/>
        </w:rPr>
        <w:t>年</w:t>
      </w:r>
      <w:r>
        <w:rPr>
          <w:sz w:val="32"/>
          <w:szCs w:val="32"/>
        </w:rPr>
        <w:t>1</w:t>
      </w:r>
      <w:r>
        <w:rPr>
          <w:rFonts w:hint="eastAsia"/>
          <w:sz w:val="32"/>
          <w:szCs w:val="32"/>
        </w:rPr>
        <w:t>月</w:t>
      </w:r>
      <w:r>
        <w:rPr>
          <w:sz w:val="32"/>
          <w:szCs w:val="32"/>
        </w:rPr>
        <w:t>30</w:t>
      </w:r>
      <w:r>
        <w:rPr>
          <w:rFonts w:hint="eastAsia"/>
          <w:sz w:val="32"/>
          <w:szCs w:val="32"/>
        </w:rPr>
        <w:t>日湖南省人民政府令第</w:t>
      </w:r>
      <w:r>
        <w:rPr>
          <w:sz w:val="32"/>
          <w:szCs w:val="32"/>
        </w:rPr>
        <w:t>251</w:t>
      </w:r>
      <w:r>
        <w:rPr>
          <w:rFonts w:hint="eastAsia"/>
          <w:sz w:val="32"/>
          <w:szCs w:val="32"/>
        </w:rPr>
        <w:t>号第二次修改　</w:t>
      </w:r>
      <w:r>
        <w:rPr>
          <w:sz w:val="32"/>
          <w:szCs w:val="32"/>
        </w:rPr>
        <w:t>2017</w:t>
      </w:r>
      <w:r>
        <w:rPr>
          <w:rFonts w:hint="eastAsia"/>
          <w:sz w:val="32"/>
          <w:szCs w:val="32"/>
        </w:rPr>
        <w:t>年</w:t>
      </w:r>
      <w:r>
        <w:rPr>
          <w:sz w:val="32"/>
          <w:szCs w:val="32"/>
        </w:rPr>
        <w:t>12</w:t>
      </w:r>
      <w:r>
        <w:rPr>
          <w:rFonts w:hint="eastAsia"/>
          <w:sz w:val="32"/>
          <w:szCs w:val="32"/>
        </w:rPr>
        <w:t>月</w:t>
      </w:r>
      <w:r>
        <w:rPr>
          <w:sz w:val="32"/>
          <w:szCs w:val="32"/>
        </w:rPr>
        <w:t>28</w:t>
      </w:r>
      <w:r>
        <w:rPr>
          <w:rFonts w:hint="eastAsia"/>
          <w:sz w:val="32"/>
          <w:szCs w:val="32"/>
        </w:rPr>
        <w:t>日湖南省人民政府令第</w:t>
      </w:r>
      <w:r>
        <w:rPr>
          <w:sz w:val="32"/>
          <w:szCs w:val="32"/>
        </w:rPr>
        <w:t>288</w:t>
      </w:r>
      <w:r>
        <w:rPr>
          <w:rFonts w:hint="eastAsia"/>
          <w:sz w:val="32"/>
          <w:szCs w:val="32"/>
        </w:rPr>
        <w:t>号第三次修改）</w:t>
      </w:r>
    </w:p>
    <w:p>
      <w:pPr>
        <w:pStyle w:val="9"/>
        <w:widowControl w:val="0"/>
        <w:adjustRightInd w:val="0"/>
        <w:snapToGrid w:val="0"/>
        <w:spacing w:before="0" w:line="600" w:lineRule="exact"/>
        <w:ind w:firstLine="620"/>
        <w:jc w:val="left"/>
        <w:rPr>
          <w:sz w:val="32"/>
          <w:szCs w:val="32"/>
        </w:rPr>
      </w:pP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第一条</w:t>
      </w:r>
      <w:r>
        <w:rPr>
          <w:rFonts w:hint="eastAsia"/>
          <w:sz w:val="32"/>
          <w:szCs w:val="32"/>
        </w:rPr>
        <w:t>　为加强渔业船舶和渔港的安全监督管理，维护渔业生产秩序，保障渔民生命财产安全，根据《中华人民共和国渔业法》及其实施细则等有关法律、法规的规定，结合我省实际情况，制定本办法。</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第二条</w:t>
      </w:r>
      <w:r>
        <w:rPr>
          <w:rFonts w:hint="eastAsia"/>
          <w:sz w:val="32"/>
          <w:szCs w:val="32"/>
        </w:rPr>
        <w:t>　本办法所称渔业船舶（以下简称渔船），是指从事渔业生产或者为渔业生产服务的船舶，包括捕捞船、养殖船、水产运销专用船和渔政船等。</w:t>
      </w:r>
    </w:p>
    <w:p>
      <w:pPr>
        <w:pStyle w:val="7"/>
        <w:widowControl w:val="0"/>
        <w:adjustRightInd w:val="0"/>
        <w:snapToGrid w:val="0"/>
        <w:spacing w:line="600" w:lineRule="exact"/>
        <w:ind w:firstLine="620"/>
        <w:jc w:val="both"/>
        <w:rPr>
          <w:sz w:val="32"/>
          <w:szCs w:val="32"/>
        </w:rPr>
      </w:pPr>
      <w:r>
        <w:rPr>
          <w:rFonts w:hint="eastAsia"/>
          <w:sz w:val="32"/>
          <w:szCs w:val="32"/>
        </w:rPr>
        <w:t>本办法所称渔港，是指主要为渔业生产服务和供渔船停泊、避风、装卸渔获物和补充渔需物资的人工港口、码头或者自然港湾。</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第三条</w:t>
      </w:r>
      <w:r>
        <w:rPr>
          <w:rFonts w:hint="eastAsia"/>
          <w:sz w:val="32"/>
          <w:szCs w:val="32"/>
        </w:rPr>
        <w:t>　本办法适用于在本省水域内航行、作业和停泊的渔船以及渔港的安全监督管理或者与渔船渔港安全有关的其他活动。</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第四条</w:t>
      </w:r>
      <w:r>
        <w:rPr>
          <w:rFonts w:hint="eastAsia"/>
          <w:sz w:val="32"/>
          <w:szCs w:val="32"/>
        </w:rPr>
        <w:t>　县级以上主管渔业工作的部门是本行政区域渔船渔港安全监督的主管机关。其所属的渔政渔港监督管理机构具体负责渔船渔港的安全监督管理工作。</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第五条</w:t>
      </w:r>
      <w:r>
        <w:rPr>
          <w:rFonts w:hint="eastAsia"/>
          <w:sz w:val="32"/>
          <w:szCs w:val="32"/>
        </w:rPr>
        <w:t>　渔船的所有人、经营人应当加强对渔船的管理，建立健全安全责任制度，防止和减少渔船事故的发生。</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第六条</w:t>
      </w:r>
      <w:r>
        <w:rPr>
          <w:rFonts w:hint="eastAsia"/>
          <w:sz w:val="32"/>
          <w:szCs w:val="32"/>
        </w:rPr>
        <w:t>　建造或者改造渔船的，应当在建造或者改造前将渔船的设计图纸及有关技术资料报送当地渔船检验机构审批。</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第七条</w:t>
      </w:r>
      <w:r>
        <w:rPr>
          <w:rFonts w:hint="eastAsia"/>
          <w:sz w:val="32"/>
          <w:szCs w:val="32"/>
        </w:rPr>
        <w:t>　承担渔船修造的厂家，应当按照渔船检验机构批准的设计图纸施工，按照规定向渔船检验机构申报建造检验，并在交船时出具质量合格证明。</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第八条</w:t>
      </w:r>
      <w:r>
        <w:rPr>
          <w:rFonts w:hint="eastAsia"/>
          <w:sz w:val="32"/>
          <w:szCs w:val="32"/>
        </w:rPr>
        <w:t>　机动渔船和载重量</w:t>
      </w:r>
      <w:r>
        <w:rPr>
          <w:sz w:val="32"/>
          <w:szCs w:val="32"/>
        </w:rPr>
        <w:t>1</w:t>
      </w:r>
      <w:r>
        <w:rPr>
          <w:rFonts w:hint="eastAsia"/>
          <w:sz w:val="32"/>
          <w:szCs w:val="32"/>
        </w:rPr>
        <w:t>吨以上的非机动渔船，应当按照国家有关规定接受检验，取得检验合格证。</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第九条</w:t>
      </w:r>
      <w:r>
        <w:rPr>
          <w:rFonts w:hint="eastAsia"/>
          <w:sz w:val="32"/>
          <w:szCs w:val="32"/>
        </w:rPr>
        <w:t>　渔船所有人应当向渔政渔港监督管理机构申请登记，领取《渔业船舶证书》和牌照。</w:t>
      </w:r>
    </w:p>
    <w:p>
      <w:pPr>
        <w:pStyle w:val="7"/>
        <w:widowControl w:val="0"/>
        <w:adjustRightInd w:val="0"/>
        <w:snapToGrid w:val="0"/>
        <w:spacing w:line="600" w:lineRule="exact"/>
        <w:ind w:firstLine="620"/>
        <w:jc w:val="both"/>
        <w:rPr>
          <w:sz w:val="32"/>
          <w:szCs w:val="32"/>
        </w:rPr>
      </w:pPr>
      <w:r>
        <w:rPr>
          <w:rFonts w:hint="eastAsia"/>
          <w:sz w:val="32"/>
          <w:szCs w:val="32"/>
        </w:rPr>
        <w:t>载重量不足</w:t>
      </w:r>
      <w:r>
        <w:rPr>
          <w:sz w:val="32"/>
          <w:szCs w:val="32"/>
        </w:rPr>
        <w:t>1</w:t>
      </w:r>
      <w:r>
        <w:rPr>
          <w:rFonts w:hint="eastAsia"/>
          <w:sz w:val="32"/>
          <w:szCs w:val="32"/>
        </w:rPr>
        <w:t>吨的非机动渔船以及养殖场内专门从事养殖的舢板、排筏，免于登记。</w:t>
      </w:r>
    </w:p>
    <w:p>
      <w:pPr>
        <w:pStyle w:val="7"/>
        <w:widowControl w:val="0"/>
        <w:adjustRightInd w:val="0"/>
        <w:snapToGrid w:val="0"/>
        <w:spacing w:line="600" w:lineRule="exact"/>
        <w:ind w:firstLine="620"/>
        <w:jc w:val="both"/>
        <w:rPr>
          <w:sz w:val="32"/>
          <w:szCs w:val="32"/>
        </w:rPr>
      </w:pPr>
      <w:r>
        <w:rPr>
          <w:rFonts w:hint="eastAsia"/>
          <w:sz w:val="32"/>
          <w:szCs w:val="32"/>
        </w:rPr>
        <w:t>渔船买卖、报废或者改变用途，渔船所有人应当向原发证机关办理变更登记、注销登记手续。</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第十条</w:t>
      </w:r>
      <w:r>
        <w:rPr>
          <w:rFonts w:hint="eastAsia"/>
          <w:sz w:val="32"/>
          <w:szCs w:val="32"/>
        </w:rPr>
        <w:t>　省外渔船进入我省水域从事渔业活动的，应当按照规定到当地渔政渔港监督管理机构办理签证手续，并服从当地渔政渔港监督管理机构的管理。</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第十一条</w:t>
      </w:r>
      <w:r>
        <w:rPr>
          <w:rFonts w:hint="eastAsia"/>
          <w:sz w:val="32"/>
          <w:szCs w:val="32"/>
        </w:rPr>
        <w:t>　渔船应当按照规定配备船员。驾驶人员、轮机人员、机驾长、驾长等职务船员必须持有相应的《渔业船员证书》，方可操作。无渔业船员证书的不得从事职务船员工作。</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第十二条</w:t>
      </w:r>
      <w:r>
        <w:rPr>
          <w:rFonts w:hint="eastAsia"/>
          <w:sz w:val="32"/>
          <w:szCs w:val="32"/>
        </w:rPr>
        <w:t>　渔船应当配备保障渔船、船员安全的信号、救生、消防设备等，并在船上明显位置固定牌照。</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第十三条</w:t>
      </w:r>
      <w:r>
        <w:rPr>
          <w:rFonts w:hint="eastAsia"/>
          <w:sz w:val="32"/>
          <w:szCs w:val="32"/>
        </w:rPr>
        <w:t>　渔船的所有人、经营人，应当对渔船、船员的安全负责，并做到：</w:t>
      </w:r>
    </w:p>
    <w:p>
      <w:pPr>
        <w:pStyle w:val="7"/>
        <w:widowControl w:val="0"/>
        <w:adjustRightInd w:val="0"/>
        <w:snapToGrid w:val="0"/>
        <w:spacing w:line="600" w:lineRule="exact"/>
        <w:ind w:firstLine="620"/>
        <w:jc w:val="both"/>
        <w:rPr>
          <w:sz w:val="32"/>
          <w:szCs w:val="32"/>
        </w:rPr>
      </w:pPr>
      <w:r>
        <w:rPr>
          <w:rFonts w:hint="eastAsia"/>
          <w:sz w:val="32"/>
          <w:szCs w:val="32"/>
        </w:rPr>
        <w:t>（一）加强渔船的安全技术管理，保持渔船的良好技术状况和适航状态；</w:t>
      </w:r>
    </w:p>
    <w:p>
      <w:pPr>
        <w:pStyle w:val="7"/>
        <w:widowControl w:val="0"/>
        <w:adjustRightInd w:val="0"/>
        <w:snapToGrid w:val="0"/>
        <w:spacing w:line="600" w:lineRule="exact"/>
        <w:ind w:firstLine="620"/>
        <w:jc w:val="both"/>
        <w:rPr>
          <w:sz w:val="32"/>
          <w:szCs w:val="32"/>
        </w:rPr>
      </w:pPr>
      <w:r>
        <w:rPr>
          <w:rFonts w:hint="eastAsia"/>
          <w:sz w:val="32"/>
          <w:szCs w:val="32"/>
        </w:rPr>
        <w:t>（二）加强船员的技术培训和安全教育，不得违章指挥；</w:t>
      </w:r>
    </w:p>
    <w:p>
      <w:pPr>
        <w:pStyle w:val="7"/>
        <w:widowControl w:val="0"/>
        <w:adjustRightInd w:val="0"/>
        <w:snapToGrid w:val="0"/>
        <w:spacing w:line="600" w:lineRule="exact"/>
        <w:ind w:firstLine="620"/>
        <w:jc w:val="both"/>
        <w:rPr>
          <w:sz w:val="32"/>
          <w:szCs w:val="32"/>
        </w:rPr>
      </w:pPr>
      <w:r>
        <w:rPr>
          <w:rFonts w:hint="eastAsia"/>
          <w:sz w:val="32"/>
          <w:szCs w:val="32"/>
        </w:rPr>
        <w:t>（三）根据渔船的技术性能、船员条件、限定航区以及水文气象条件，合理使用、调度渔船；</w:t>
      </w:r>
    </w:p>
    <w:p>
      <w:pPr>
        <w:pStyle w:val="7"/>
        <w:widowControl w:val="0"/>
        <w:adjustRightInd w:val="0"/>
        <w:snapToGrid w:val="0"/>
        <w:spacing w:line="600" w:lineRule="exact"/>
        <w:ind w:firstLine="620"/>
        <w:jc w:val="both"/>
        <w:rPr>
          <w:sz w:val="32"/>
          <w:szCs w:val="32"/>
        </w:rPr>
      </w:pPr>
      <w:r>
        <w:rPr>
          <w:rFonts w:hint="eastAsia"/>
          <w:sz w:val="32"/>
          <w:szCs w:val="32"/>
        </w:rPr>
        <w:t>（四）接受渔政渔港监督管理机构的监督管理。</w:t>
      </w:r>
    </w:p>
    <w:p>
      <w:pPr>
        <w:pStyle w:val="7"/>
        <w:widowControl w:val="0"/>
        <w:adjustRightInd w:val="0"/>
        <w:snapToGrid w:val="0"/>
        <w:spacing w:line="600" w:lineRule="exact"/>
        <w:ind w:firstLine="620"/>
        <w:jc w:val="both"/>
        <w:rPr>
          <w:sz w:val="32"/>
          <w:szCs w:val="32"/>
        </w:rPr>
      </w:pPr>
      <w:r>
        <w:rPr>
          <w:rFonts w:hint="eastAsia"/>
          <w:sz w:val="32"/>
          <w:szCs w:val="32"/>
        </w:rPr>
        <w:t>渔船在航道上航行、作业和停泊，还必须遵守有关水上交通安全管理的法律、法规和规章的规定，接受交通部门港航监督机构的监督管理。</w:t>
      </w:r>
    </w:p>
    <w:p>
      <w:pPr>
        <w:pStyle w:val="7"/>
        <w:widowControl w:val="0"/>
        <w:adjustRightInd w:val="0"/>
        <w:snapToGrid w:val="0"/>
        <w:spacing w:line="600" w:lineRule="exact"/>
        <w:ind w:firstLine="620"/>
        <w:jc w:val="both"/>
        <w:rPr>
          <w:sz w:val="32"/>
          <w:szCs w:val="32"/>
        </w:rPr>
      </w:pPr>
      <w:r>
        <w:rPr>
          <w:rFonts w:hint="eastAsia"/>
          <w:sz w:val="32"/>
          <w:szCs w:val="32"/>
        </w:rPr>
        <w:t>渔船进入血吸虫病疫区水域航行、作业和停泊的，还应当遵守《湖南省血吸虫病防治管理条例》的有关规定。</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第十四条</w:t>
      </w:r>
      <w:r>
        <w:rPr>
          <w:rFonts w:hint="eastAsia"/>
          <w:sz w:val="32"/>
          <w:szCs w:val="32"/>
        </w:rPr>
        <w:t>　船员应当遵守下列规则：</w:t>
      </w:r>
    </w:p>
    <w:p>
      <w:pPr>
        <w:pStyle w:val="7"/>
        <w:widowControl w:val="0"/>
        <w:adjustRightInd w:val="0"/>
        <w:snapToGrid w:val="0"/>
        <w:spacing w:line="600" w:lineRule="exact"/>
        <w:ind w:firstLine="620"/>
        <w:jc w:val="both"/>
        <w:rPr>
          <w:sz w:val="32"/>
          <w:szCs w:val="32"/>
        </w:rPr>
      </w:pPr>
      <w:r>
        <w:rPr>
          <w:rFonts w:hint="eastAsia"/>
          <w:sz w:val="32"/>
          <w:szCs w:val="32"/>
        </w:rPr>
        <w:t>（一）不准违章作业；</w:t>
      </w:r>
    </w:p>
    <w:p>
      <w:pPr>
        <w:pStyle w:val="7"/>
        <w:widowControl w:val="0"/>
        <w:adjustRightInd w:val="0"/>
        <w:snapToGrid w:val="0"/>
        <w:spacing w:line="600" w:lineRule="exact"/>
        <w:ind w:firstLine="620"/>
        <w:jc w:val="both"/>
        <w:rPr>
          <w:sz w:val="32"/>
          <w:szCs w:val="32"/>
        </w:rPr>
      </w:pPr>
      <w:r>
        <w:rPr>
          <w:rFonts w:hint="eastAsia"/>
          <w:sz w:val="32"/>
          <w:szCs w:val="32"/>
        </w:rPr>
        <w:t>（二）航行操作中不准饮酒；</w:t>
      </w:r>
    </w:p>
    <w:p>
      <w:pPr>
        <w:pStyle w:val="7"/>
        <w:widowControl w:val="0"/>
        <w:adjustRightInd w:val="0"/>
        <w:snapToGrid w:val="0"/>
        <w:spacing w:line="600" w:lineRule="exact"/>
        <w:ind w:firstLine="620"/>
        <w:jc w:val="both"/>
        <w:rPr>
          <w:sz w:val="32"/>
          <w:szCs w:val="32"/>
        </w:rPr>
      </w:pPr>
      <w:r>
        <w:rPr>
          <w:rFonts w:hint="eastAsia"/>
          <w:sz w:val="32"/>
          <w:szCs w:val="32"/>
        </w:rPr>
        <w:t>（三）值班人员不得擅离职守、忽视了望；</w:t>
      </w:r>
    </w:p>
    <w:p>
      <w:pPr>
        <w:pStyle w:val="7"/>
        <w:widowControl w:val="0"/>
        <w:adjustRightInd w:val="0"/>
        <w:snapToGrid w:val="0"/>
        <w:spacing w:line="600" w:lineRule="exact"/>
        <w:ind w:firstLine="620"/>
        <w:jc w:val="both"/>
        <w:rPr>
          <w:sz w:val="32"/>
          <w:szCs w:val="32"/>
        </w:rPr>
      </w:pPr>
      <w:r>
        <w:rPr>
          <w:rFonts w:hint="eastAsia"/>
          <w:sz w:val="32"/>
          <w:szCs w:val="32"/>
        </w:rPr>
        <w:t>（四）在恶劣气候下航行、作业，必须穿着救生衣；</w:t>
      </w:r>
    </w:p>
    <w:p>
      <w:pPr>
        <w:pStyle w:val="7"/>
        <w:widowControl w:val="0"/>
        <w:adjustRightInd w:val="0"/>
        <w:snapToGrid w:val="0"/>
        <w:spacing w:line="600" w:lineRule="exact"/>
        <w:ind w:firstLine="620"/>
        <w:jc w:val="both"/>
        <w:rPr>
          <w:sz w:val="32"/>
          <w:szCs w:val="32"/>
        </w:rPr>
      </w:pPr>
      <w:r>
        <w:rPr>
          <w:rFonts w:hint="eastAsia"/>
          <w:sz w:val="32"/>
          <w:szCs w:val="32"/>
        </w:rPr>
        <w:t>（五）职务船员必须持有相应的船员证书。</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第十五条</w:t>
      </w:r>
      <w:r>
        <w:rPr>
          <w:rFonts w:hint="eastAsia"/>
          <w:sz w:val="32"/>
          <w:szCs w:val="32"/>
        </w:rPr>
        <w:t>　在习惯航道内，禁止从事养殖生产或者设置固定网具、拦河捕捞网具。</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第十六条</w:t>
      </w:r>
      <w:r>
        <w:rPr>
          <w:rFonts w:hint="eastAsia"/>
          <w:sz w:val="32"/>
          <w:szCs w:val="32"/>
        </w:rPr>
        <w:t>　渔船从事对拖、单拖、流网捕捞生产或者夜间从事渔业活动的，应当按照规定设置灯光信号标志或者其他明显标志。</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第十七条</w:t>
      </w:r>
      <w:r>
        <w:rPr>
          <w:rFonts w:hint="eastAsia"/>
          <w:sz w:val="32"/>
          <w:szCs w:val="32"/>
        </w:rPr>
        <w:t>　渔船用火，应当防止火灾事故，不得在木质船上使用明火。</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第十八条</w:t>
      </w:r>
      <w:r>
        <w:rPr>
          <w:rFonts w:hint="eastAsia"/>
          <w:sz w:val="32"/>
          <w:szCs w:val="32"/>
        </w:rPr>
        <w:t>　禁止渔船从事营运性载客。未经有关部门批准，渔船不得从事非渔业性运输。</w:t>
      </w:r>
    </w:p>
    <w:p>
      <w:pPr>
        <w:pStyle w:val="7"/>
        <w:widowControl w:val="0"/>
        <w:adjustRightInd w:val="0"/>
        <w:snapToGrid w:val="0"/>
        <w:spacing w:line="600" w:lineRule="exact"/>
        <w:ind w:firstLine="620"/>
        <w:jc w:val="both"/>
        <w:rPr>
          <w:sz w:val="32"/>
          <w:szCs w:val="32"/>
        </w:rPr>
      </w:pPr>
      <w:r>
        <w:rPr>
          <w:rFonts w:hint="eastAsia"/>
          <w:sz w:val="32"/>
          <w:szCs w:val="32"/>
        </w:rPr>
        <w:t>严禁渔船超载。</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第十九条</w:t>
      </w:r>
      <w:r>
        <w:rPr>
          <w:rFonts w:hint="eastAsia"/>
          <w:sz w:val="32"/>
          <w:szCs w:val="32"/>
        </w:rPr>
        <w:t>　在渔船相对集中的地方，当地人民政府应当根据渔船停泊的历史习惯，在不妨碍、影响交通的情况下，划定渔船停泊区域，并设立明显标志。</w:t>
      </w:r>
    </w:p>
    <w:p>
      <w:pPr>
        <w:pStyle w:val="7"/>
        <w:widowControl w:val="0"/>
        <w:adjustRightInd w:val="0"/>
        <w:snapToGrid w:val="0"/>
        <w:spacing w:line="600" w:lineRule="exact"/>
        <w:ind w:firstLine="620"/>
        <w:jc w:val="both"/>
        <w:rPr>
          <w:sz w:val="32"/>
          <w:szCs w:val="32"/>
        </w:rPr>
      </w:pPr>
      <w:r>
        <w:rPr>
          <w:rFonts w:hint="eastAsia"/>
          <w:sz w:val="32"/>
          <w:szCs w:val="32"/>
        </w:rPr>
        <w:t>确需建立人工渔港的，由当地渔政渔港监督管理机构提出方案，经当地县级人民政府同意后，报省渔业行政主管部门批准。</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第二十条</w:t>
      </w:r>
      <w:r>
        <w:rPr>
          <w:rFonts w:hint="eastAsia"/>
          <w:sz w:val="32"/>
          <w:szCs w:val="32"/>
        </w:rPr>
        <w:t>　凡划定了渔船停泊区域或者建立了人工渔港的，渔船应当到指定的区域或者渔港停泊，遵守有关管理规则，并服从管理人员的调度和指挥。</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第二十一条</w:t>
      </w:r>
      <w:r>
        <w:rPr>
          <w:rFonts w:hint="eastAsia"/>
          <w:sz w:val="32"/>
          <w:szCs w:val="32"/>
        </w:rPr>
        <w:t>　渔船进入交通港口停泊的，必须遵守交通港口的管理规定，服从其统一调度和指挥。</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第二十二条</w:t>
      </w:r>
      <w:r>
        <w:rPr>
          <w:rFonts w:hint="eastAsia"/>
          <w:sz w:val="32"/>
          <w:szCs w:val="32"/>
        </w:rPr>
        <w:t>　发生渔船事故，当事人应当采取一切措施组织自救、互救，并及时向当地渔政渔港监督管理机构报告。</w:t>
      </w:r>
    </w:p>
    <w:p>
      <w:pPr>
        <w:pStyle w:val="7"/>
        <w:widowControl w:val="0"/>
        <w:adjustRightInd w:val="0"/>
        <w:snapToGrid w:val="0"/>
        <w:spacing w:line="600" w:lineRule="exact"/>
        <w:ind w:firstLine="620"/>
        <w:jc w:val="both"/>
        <w:rPr>
          <w:sz w:val="32"/>
          <w:szCs w:val="32"/>
        </w:rPr>
      </w:pPr>
      <w:r>
        <w:rPr>
          <w:rFonts w:hint="eastAsia"/>
          <w:sz w:val="32"/>
          <w:szCs w:val="32"/>
        </w:rPr>
        <w:t>过往船舶和事故发生地的单位或者个人，发现遇险渔船以及收到求救信号，应当及时救援。</w:t>
      </w:r>
    </w:p>
    <w:p>
      <w:pPr>
        <w:pStyle w:val="7"/>
        <w:widowControl w:val="0"/>
        <w:adjustRightInd w:val="0"/>
        <w:snapToGrid w:val="0"/>
        <w:spacing w:line="600" w:lineRule="exact"/>
        <w:ind w:firstLine="620"/>
        <w:jc w:val="both"/>
        <w:rPr>
          <w:sz w:val="32"/>
          <w:szCs w:val="32"/>
        </w:rPr>
      </w:pPr>
      <w:r>
        <w:rPr>
          <w:rFonts w:hint="eastAsia"/>
          <w:sz w:val="32"/>
          <w:szCs w:val="32"/>
        </w:rPr>
        <w:t>渔政渔港监督管理机构接到报告后，应当立即赶赴事故现场，组织抢救。</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第二十三条</w:t>
      </w:r>
      <w:r>
        <w:rPr>
          <w:rFonts w:hint="eastAsia"/>
          <w:sz w:val="32"/>
          <w:szCs w:val="32"/>
        </w:rPr>
        <w:t>　事故现场附近的船舶，应当服从现场的统一指挥。</w:t>
      </w:r>
    </w:p>
    <w:p>
      <w:pPr>
        <w:pStyle w:val="7"/>
        <w:widowControl w:val="0"/>
        <w:adjustRightInd w:val="0"/>
        <w:snapToGrid w:val="0"/>
        <w:spacing w:line="600" w:lineRule="exact"/>
        <w:ind w:firstLine="620"/>
        <w:jc w:val="both"/>
        <w:rPr>
          <w:sz w:val="32"/>
          <w:szCs w:val="32"/>
        </w:rPr>
      </w:pPr>
      <w:r>
        <w:rPr>
          <w:rFonts w:hint="eastAsia"/>
          <w:sz w:val="32"/>
          <w:szCs w:val="32"/>
        </w:rPr>
        <w:t>碰撞事故当事渔船，不得擅自离开事故现场。</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第二十四条</w:t>
      </w:r>
      <w:r>
        <w:rPr>
          <w:rFonts w:hint="eastAsia"/>
          <w:sz w:val="32"/>
          <w:szCs w:val="32"/>
        </w:rPr>
        <w:t>　渔政渔港监督管理机构对发生的渔船事故，应当及时查明原因，确定当事人责任后进行处理。</w:t>
      </w:r>
    </w:p>
    <w:p>
      <w:pPr>
        <w:pStyle w:val="7"/>
        <w:widowControl w:val="0"/>
        <w:adjustRightInd w:val="0"/>
        <w:snapToGrid w:val="0"/>
        <w:spacing w:line="600" w:lineRule="exact"/>
        <w:ind w:firstLine="620"/>
        <w:jc w:val="both"/>
        <w:rPr>
          <w:sz w:val="32"/>
          <w:szCs w:val="32"/>
        </w:rPr>
      </w:pPr>
      <w:r>
        <w:rPr>
          <w:rFonts w:hint="eastAsia"/>
          <w:sz w:val="32"/>
          <w:szCs w:val="32"/>
        </w:rPr>
        <w:t>渔船事故当事人和有关人员，应当如实向渔政渔港监督管理机构提供情况。</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第二十五条</w:t>
      </w:r>
      <w:r>
        <w:rPr>
          <w:rFonts w:hint="eastAsia"/>
          <w:sz w:val="32"/>
          <w:szCs w:val="32"/>
        </w:rPr>
        <w:t>　渔船与其他船舶发生碰撞等事故的，由渔政渔港监督管理机构协助港航监督机构进行处理。</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第二十六条</w:t>
      </w:r>
      <w:r>
        <w:rPr>
          <w:rFonts w:hint="eastAsia"/>
          <w:sz w:val="32"/>
          <w:szCs w:val="32"/>
        </w:rPr>
        <w:t>　事故引起的民事纠纷，当事人可以申请渔政渔港监督管理机构或港航监督机构调解，不申请调解或者调解不成的，可以向人民法院起诉。</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第二十七条</w:t>
      </w:r>
      <w:r>
        <w:rPr>
          <w:rFonts w:hint="eastAsia"/>
          <w:sz w:val="32"/>
          <w:szCs w:val="32"/>
        </w:rPr>
        <w:t>　对遵守本办法规定，维护渔船渔港安全、防止重大事故发生或者在渔船事故中救助有功的单位和个人，由主管渔业工作的部门或者人民政府给予表彰、奖励。</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第二十八条</w:t>
      </w:r>
      <w:r>
        <w:rPr>
          <w:rFonts w:hint="eastAsia"/>
          <w:sz w:val="32"/>
          <w:szCs w:val="32"/>
        </w:rPr>
        <w:t>　渔船有下列情形之一的，由县级以上渔政监督管理机构责令停航、改航、停止作业、驶向指定地点或者禁止离港：</w:t>
      </w:r>
    </w:p>
    <w:p>
      <w:pPr>
        <w:pStyle w:val="7"/>
        <w:widowControl w:val="0"/>
        <w:adjustRightInd w:val="0"/>
        <w:snapToGrid w:val="0"/>
        <w:spacing w:line="600" w:lineRule="exact"/>
        <w:ind w:firstLine="620"/>
        <w:jc w:val="both"/>
        <w:rPr>
          <w:sz w:val="32"/>
          <w:szCs w:val="32"/>
        </w:rPr>
      </w:pPr>
      <w:r>
        <w:rPr>
          <w:rFonts w:hint="eastAsia"/>
          <w:sz w:val="32"/>
          <w:szCs w:val="32"/>
        </w:rPr>
        <w:t>（一）处于不适航或者不适拖状态的；</w:t>
      </w:r>
    </w:p>
    <w:p>
      <w:pPr>
        <w:pStyle w:val="7"/>
        <w:widowControl w:val="0"/>
        <w:adjustRightInd w:val="0"/>
        <w:snapToGrid w:val="0"/>
        <w:spacing w:line="600" w:lineRule="exact"/>
        <w:ind w:firstLine="620"/>
        <w:jc w:val="both"/>
        <w:rPr>
          <w:sz w:val="32"/>
          <w:szCs w:val="32"/>
        </w:rPr>
      </w:pPr>
      <w:r>
        <w:rPr>
          <w:rFonts w:hint="eastAsia"/>
          <w:sz w:val="32"/>
          <w:szCs w:val="32"/>
        </w:rPr>
        <w:t>（二）发生事故后手续未清的；</w:t>
      </w:r>
    </w:p>
    <w:p>
      <w:pPr>
        <w:pStyle w:val="7"/>
        <w:widowControl w:val="0"/>
        <w:adjustRightInd w:val="0"/>
        <w:snapToGrid w:val="0"/>
        <w:spacing w:line="600" w:lineRule="exact"/>
        <w:ind w:firstLine="620"/>
        <w:jc w:val="both"/>
        <w:rPr>
          <w:sz w:val="32"/>
          <w:szCs w:val="32"/>
        </w:rPr>
      </w:pPr>
      <w:r>
        <w:rPr>
          <w:rFonts w:hint="eastAsia"/>
          <w:sz w:val="32"/>
          <w:szCs w:val="32"/>
        </w:rPr>
        <w:t>（三）未交付应当承担的事故费用，也未提供担保的；</w:t>
      </w:r>
    </w:p>
    <w:p>
      <w:pPr>
        <w:pStyle w:val="7"/>
        <w:widowControl w:val="0"/>
        <w:adjustRightInd w:val="0"/>
        <w:snapToGrid w:val="0"/>
        <w:spacing w:line="600" w:lineRule="exact"/>
        <w:ind w:firstLine="620"/>
        <w:jc w:val="both"/>
        <w:rPr>
          <w:sz w:val="32"/>
          <w:szCs w:val="32"/>
        </w:rPr>
      </w:pPr>
      <w:r>
        <w:rPr>
          <w:rFonts w:hint="eastAsia"/>
          <w:sz w:val="32"/>
          <w:szCs w:val="32"/>
        </w:rPr>
        <w:t>（四）其他可能发生妨碍航行交通和生产安全情况的。</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第二十九条</w:t>
      </w:r>
      <w:r>
        <w:rPr>
          <w:rFonts w:hint="eastAsia"/>
          <w:sz w:val="32"/>
          <w:szCs w:val="32"/>
        </w:rPr>
        <w:t>　渔船有下列情形之一的，由县级以上渔政监督管理机构对渔船的所有人或经营人给予行政处罚：</w:t>
      </w:r>
    </w:p>
    <w:p>
      <w:pPr>
        <w:pStyle w:val="7"/>
        <w:widowControl w:val="0"/>
        <w:adjustRightInd w:val="0"/>
        <w:snapToGrid w:val="0"/>
        <w:spacing w:line="600" w:lineRule="exact"/>
        <w:ind w:firstLine="620"/>
        <w:jc w:val="both"/>
        <w:rPr>
          <w:sz w:val="32"/>
          <w:szCs w:val="32"/>
        </w:rPr>
      </w:pPr>
      <w:r>
        <w:rPr>
          <w:rFonts w:hint="eastAsia"/>
          <w:sz w:val="32"/>
          <w:szCs w:val="32"/>
        </w:rPr>
        <w:t>（一）未按照规定接受检验或者检验不合格从事渔业活动的，责令停止作业，补办检验手续，可以并处</w:t>
      </w:r>
      <w:r>
        <w:rPr>
          <w:sz w:val="32"/>
          <w:szCs w:val="32"/>
        </w:rPr>
        <w:t>100</w:t>
      </w:r>
      <w:r>
        <w:rPr>
          <w:rFonts w:hint="eastAsia"/>
          <w:sz w:val="32"/>
          <w:szCs w:val="32"/>
        </w:rPr>
        <w:t>元以上</w:t>
      </w:r>
      <w:r>
        <w:rPr>
          <w:sz w:val="32"/>
          <w:szCs w:val="32"/>
        </w:rPr>
        <w:t>500</w:t>
      </w:r>
      <w:r>
        <w:rPr>
          <w:rFonts w:hint="eastAsia"/>
          <w:sz w:val="32"/>
          <w:szCs w:val="32"/>
        </w:rPr>
        <w:t>元以下的罚款；</w:t>
      </w:r>
    </w:p>
    <w:p>
      <w:pPr>
        <w:pStyle w:val="7"/>
        <w:widowControl w:val="0"/>
        <w:adjustRightInd w:val="0"/>
        <w:snapToGrid w:val="0"/>
        <w:spacing w:line="600" w:lineRule="exact"/>
        <w:ind w:firstLine="620"/>
        <w:jc w:val="both"/>
        <w:rPr>
          <w:sz w:val="32"/>
          <w:szCs w:val="32"/>
        </w:rPr>
      </w:pPr>
      <w:r>
        <w:rPr>
          <w:rFonts w:hint="eastAsia"/>
          <w:sz w:val="32"/>
          <w:szCs w:val="32"/>
        </w:rPr>
        <w:t>（二）未按照规定取得《渔业船舶证书》和牌照航行作业的，责令停止航行、作业，补办有关手续，可以并处</w:t>
      </w:r>
      <w:r>
        <w:rPr>
          <w:sz w:val="32"/>
          <w:szCs w:val="32"/>
        </w:rPr>
        <w:t>200</w:t>
      </w:r>
      <w:r>
        <w:rPr>
          <w:rFonts w:hint="eastAsia"/>
          <w:sz w:val="32"/>
          <w:szCs w:val="32"/>
        </w:rPr>
        <w:t>元以上</w:t>
      </w:r>
      <w:r>
        <w:rPr>
          <w:sz w:val="32"/>
          <w:szCs w:val="32"/>
        </w:rPr>
        <w:t>1500</w:t>
      </w:r>
      <w:r>
        <w:rPr>
          <w:rFonts w:hint="eastAsia"/>
          <w:sz w:val="32"/>
          <w:szCs w:val="32"/>
        </w:rPr>
        <w:t>元以下的罚款；</w:t>
      </w:r>
    </w:p>
    <w:p>
      <w:pPr>
        <w:pStyle w:val="7"/>
        <w:widowControl w:val="0"/>
        <w:adjustRightInd w:val="0"/>
        <w:snapToGrid w:val="0"/>
        <w:spacing w:line="600" w:lineRule="exact"/>
        <w:ind w:firstLine="620"/>
        <w:jc w:val="both"/>
        <w:rPr>
          <w:sz w:val="32"/>
          <w:szCs w:val="32"/>
        </w:rPr>
      </w:pPr>
      <w:r>
        <w:rPr>
          <w:rFonts w:hint="eastAsia"/>
          <w:sz w:val="32"/>
          <w:szCs w:val="32"/>
        </w:rPr>
        <w:t>（三）未按照规定配齐合格的信号、消防、救生设备或者其他有关航行安全设备的，责令改正，可以并处</w:t>
      </w:r>
      <w:r>
        <w:rPr>
          <w:sz w:val="32"/>
          <w:szCs w:val="32"/>
        </w:rPr>
        <w:t>50</w:t>
      </w:r>
      <w:r>
        <w:rPr>
          <w:rFonts w:hint="eastAsia"/>
          <w:sz w:val="32"/>
          <w:szCs w:val="32"/>
        </w:rPr>
        <w:t>元以上</w:t>
      </w:r>
      <w:r>
        <w:rPr>
          <w:sz w:val="32"/>
          <w:szCs w:val="32"/>
        </w:rPr>
        <w:t>500</w:t>
      </w:r>
      <w:r>
        <w:rPr>
          <w:rFonts w:hint="eastAsia"/>
          <w:sz w:val="32"/>
          <w:szCs w:val="32"/>
        </w:rPr>
        <w:t>元以下的罚款；</w:t>
      </w:r>
    </w:p>
    <w:p>
      <w:pPr>
        <w:pStyle w:val="7"/>
        <w:widowControl w:val="0"/>
        <w:adjustRightInd w:val="0"/>
        <w:snapToGrid w:val="0"/>
        <w:spacing w:line="600" w:lineRule="exact"/>
        <w:ind w:firstLine="620"/>
        <w:jc w:val="both"/>
        <w:rPr>
          <w:sz w:val="32"/>
          <w:szCs w:val="32"/>
        </w:rPr>
      </w:pPr>
      <w:r>
        <w:rPr>
          <w:rFonts w:hint="eastAsia"/>
          <w:sz w:val="32"/>
          <w:szCs w:val="32"/>
        </w:rPr>
        <w:t>（四）超载的，责令改正，可以并处</w:t>
      </w:r>
      <w:r>
        <w:rPr>
          <w:sz w:val="32"/>
          <w:szCs w:val="32"/>
        </w:rPr>
        <w:t>50</w:t>
      </w:r>
      <w:r>
        <w:rPr>
          <w:rFonts w:hint="eastAsia"/>
          <w:sz w:val="32"/>
          <w:szCs w:val="32"/>
        </w:rPr>
        <w:t>元以上</w:t>
      </w:r>
      <w:r>
        <w:rPr>
          <w:sz w:val="32"/>
          <w:szCs w:val="32"/>
        </w:rPr>
        <w:t>100</w:t>
      </w:r>
      <w:r>
        <w:rPr>
          <w:rFonts w:hint="eastAsia"/>
          <w:sz w:val="32"/>
          <w:szCs w:val="32"/>
        </w:rPr>
        <w:t>元以下罚款；</w:t>
      </w:r>
    </w:p>
    <w:p>
      <w:pPr>
        <w:pStyle w:val="7"/>
        <w:widowControl w:val="0"/>
        <w:adjustRightInd w:val="0"/>
        <w:snapToGrid w:val="0"/>
        <w:spacing w:line="600" w:lineRule="exact"/>
        <w:ind w:firstLine="620"/>
        <w:jc w:val="both"/>
        <w:rPr>
          <w:sz w:val="32"/>
          <w:szCs w:val="32"/>
        </w:rPr>
      </w:pPr>
      <w:r>
        <w:rPr>
          <w:rFonts w:hint="eastAsia"/>
          <w:sz w:val="32"/>
          <w:szCs w:val="32"/>
        </w:rPr>
        <w:t>（五）肇事渔船，逃离事故现场的，处以</w:t>
      </w:r>
      <w:r>
        <w:rPr>
          <w:sz w:val="32"/>
          <w:szCs w:val="32"/>
        </w:rPr>
        <w:t>500</w:t>
      </w:r>
      <w:r>
        <w:rPr>
          <w:rFonts w:hint="eastAsia"/>
          <w:sz w:val="32"/>
          <w:szCs w:val="32"/>
        </w:rPr>
        <w:t>元以上</w:t>
      </w:r>
      <w:r>
        <w:rPr>
          <w:sz w:val="32"/>
          <w:szCs w:val="32"/>
        </w:rPr>
        <w:t>1000</w:t>
      </w:r>
      <w:r>
        <w:rPr>
          <w:rFonts w:hint="eastAsia"/>
          <w:sz w:val="32"/>
          <w:szCs w:val="32"/>
        </w:rPr>
        <w:t>元以下罚款；</w:t>
      </w:r>
    </w:p>
    <w:p>
      <w:pPr>
        <w:pStyle w:val="7"/>
        <w:widowControl w:val="0"/>
        <w:adjustRightInd w:val="0"/>
        <w:snapToGrid w:val="0"/>
        <w:spacing w:line="600" w:lineRule="exact"/>
        <w:ind w:firstLine="620"/>
        <w:jc w:val="both"/>
        <w:rPr>
          <w:sz w:val="32"/>
          <w:szCs w:val="32"/>
        </w:rPr>
      </w:pPr>
      <w:r>
        <w:rPr>
          <w:rFonts w:hint="eastAsia"/>
          <w:sz w:val="32"/>
          <w:szCs w:val="32"/>
        </w:rPr>
        <w:t>（六）职务船员无船员证书、持无效船员证书或者持不相应船员证书操作的，责令停止操作，处以</w:t>
      </w:r>
      <w:r>
        <w:rPr>
          <w:sz w:val="32"/>
          <w:szCs w:val="32"/>
        </w:rPr>
        <w:t>50</w:t>
      </w:r>
      <w:r>
        <w:rPr>
          <w:rFonts w:hint="eastAsia"/>
          <w:sz w:val="32"/>
          <w:szCs w:val="32"/>
        </w:rPr>
        <w:t>元以上</w:t>
      </w:r>
      <w:r>
        <w:rPr>
          <w:sz w:val="32"/>
          <w:szCs w:val="32"/>
        </w:rPr>
        <w:t>500</w:t>
      </w:r>
      <w:r>
        <w:rPr>
          <w:rFonts w:hint="eastAsia"/>
          <w:sz w:val="32"/>
          <w:szCs w:val="32"/>
        </w:rPr>
        <w:t>元以下的罚款。</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第三十条</w:t>
      </w:r>
      <w:r>
        <w:rPr>
          <w:rFonts w:hint="eastAsia"/>
          <w:sz w:val="32"/>
          <w:szCs w:val="32"/>
        </w:rPr>
        <w:t>　建造、改造的渔船检验不合格或者不申报检验擅自出厂的，由渔政监督管理机构责令补办检验手续或者返修，对渔船修造厂家处以</w:t>
      </w:r>
      <w:r>
        <w:rPr>
          <w:sz w:val="32"/>
          <w:szCs w:val="32"/>
        </w:rPr>
        <w:t>2000</w:t>
      </w:r>
      <w:r>
        <w:rPr>
          <w:rFonts w:hint="eastAsia"/>
          <w:sz w:val="32"/>
          <w:szCs w:val="32"/>
        </w:rPr>
        <w:t>元以上</w:t>
      </w:r>
      <w:r>
        <w:rPr>
          <w:sz w:val="32"/>
          <w:szCs w:val="32"/>
        </w:rPr>
        <w:t>30000</w:t>
      </w:r>
      <w:r>
        <w:rPr>
          <w:rFonts w:hint="eastAsia"/>
          <w:sz w:val="32"/>
          <w:szCs w:val="32"/>
        </w:rPr>
        <w:t>元以下的罚款。</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第三十一条</w:t>
      </w:r>
      <w:r>
        <w:rPr>
          <w:rFonts w:hint="eastAsia"/>
          <w:sz w:val="32"/>
          <w:szCs w:val="32"/>
        </w:rPr>
        <w:t>　渔船有下列情形之一的，由县级以上渔政监督管理机构、港航监督机构给予行政处罚：</w:t>
      </w:r>
    </w:p>
    <w:p>
      <w:pPr>
        <w:pStyle w:val="7"/>
        <w:widowControl w:val="0"/>
        <w:adjustRightInd w:val="0"/>
        <w:snapToGrid w:val="0"/>
        <w:spacing w:line="600" w:lineRule="exact"/>
        <w:ind w:firstLine="620"/>
        <w:jc w:val="both"/>
        <w:rPr>
          <w:sz w:val="32"/>
          <w:szCs w:val="32"/>
        </w:rPr>
      </w:pPr>
      <w:r>
        <w:rPr>
          <w:rFonts w:hint="eastAsia"/>
          <w:sz w:val="32"/>
          <w:szCs w:val="32"/>
        </w:rPr>
        <w:t>（一）从事营运性载客的，对违章人员处以</w:t>
      </w:r>
      <w:r>
        <w:rPr>
          <w:sz w:val="32"/>
          <w:szCs w:val="32"/>
        </w:rPr>
        <w:t>200</w:t>
      </w:r>
      <w:r>
        <w:rPr>
          <w:rFonts w:hint="eastAsia"/>
          <w:sz w:val="32"/>
          <w:szCs w:val="32"/>
        </w:rPr>
        <w:t>元以上</w:t>
      </w:r>
      <w:r>
        <w:rPr>
          <w:sz w:val="32"/>
          <w:szCs w:val="32"/>
        </w:rPr>
        <w:t>500</w:t>
      </w:r>
      <w:r>
        <w:rPr>
          <w:rFonts w:hint="eastAsia"/>
          <w:sz w:val="32"/>
          <w:szCs w:val="32"/>
        </w:rPr>
        <w:t>元以下的罚款，对所有人、经营人处以</w:t>
      </w:r>
      <w:r>
        <w:rPr>
          <w:sz w:val="32"/>
          <w:szCs w:val="32"/>
        </w:rPr>
        <w:t>2000</w:t>
      </w:r>
      <w:r>
        <w:rPr>
          <w:rFonts w:hint="eastAsia"/>
          <w:sz w:val="32"/>
          <w:szCs w:val="32"/>
        </w:rPr>
        <w:t>元以上</w:t>
      </w:r>
      <w:r>
        <w:rPr>
          <w:sz w:val="32"/>
          <w:szCs w:val="32"/>
        </w:rPr>
        <w:t>4000</w:t>
      </w:r>
      <w:r>
        <w:rPr>
          <w:rFonts w:hint="eastAsia"/>
          <w:sz w:val="32"/>
          <w:szCs w:val="32"/>
        </w:rPr>
        <w:t>元以下的罚款；</w:t>
      </w:r>
    </w:p>
    <w:p>
      <w:pPr>
        <w:pStyle w:val="7"/>
        <w:widowControl w:val="0"/>
        <w:adjustRightInd w:val="0"/>
        <w:snapToGrid w:val="0"/>
        <w:spacing w:line="600" w:lineRule="exact"/>
        <w:ind w:firstLine="620"/>
        <w:jc w:val="both"/>
        <w:rPr>
          <w:sz w:val="32"/>
          <w:szCs w:val="32"/>
        </w:rPr>
      </w:pPr>
      <w:r>
        <w:rPr>
          <w:rFonts w:hint="eastAsia"/>
          <w:sz w:val="32"/>
          <w:szCs w:val="32"/>
        </w:rPr>
        <w:t>（二）在习惯航道设置固定网具、拦河捕捞网具或者从事养殖生产的，对违章人员处以</w:t>
      </w:r>
      <w:r>
        <w:rPr>
          <w:sz w:val="32"/>
          <w:szCs w:val="32"/>
        </w:rPr>
        <w:t>50</w:t>
      </w:r>
      <w:r>
        <w:rPr>
          <w:rFonts w:hint="eastAsia"/>
          <w:sz w:val="32"/>
          <w:szCs w:val="32"/>
        </w:rPr>
        <w:t>元以上</w:t>
      </w:r>
      <w:r>
        <w:rPr>
          <w:sz w:val="32"/>
          <w:szCs w:val="32"/>
        </w:rPr>
        <w:t>200</w:t>
      </w:r>
      <w:r>
        <w:rPr>
          <w:rFonts w:hint="eastAsia"/>
          <w:sz w:val="32"/>
          <w:szCs w:val="32"/>
        </w:rPr>
        <w:t>元以下的罚款，对所有人、经营人处以</w:t>
      </w:r>
      <w:r>
        <w:rPr>
          <w:sz w:val="32"/>
          <w:szCs w:val="32"/>
        </w:rPr>
        <w:t>500</w:t>
      </w:r>
      <w:r>
        <w:rPr>
          <w:rFonts w:hint="eastAsia"/>
          <w:sz w:val="32"/>
          <w:szCs w:val="32"/>
        </w:rPr>
        <w:t>元以上</w:t>
      </w:r>
      <w:r>
        <w:rPr>
          <w:sz w:val="32"/>
          <w:szCs w:val="32"/>
        </w:rPr>
        <w:t>2000</w:t>
      </w:r>
      <w:r>
        <w:rPr>
          <w:rFonts w:hint="eastAsia"/>
          <w:sz w:val="32"/>
          <w:szCs w:val="32"/>
        </w:rPr>
        <w:t>元以下的罚款。</w:t>
      </w:r>
    </w:p>
    <w:p>
      <w:pPr>
        <w:pStyle w:val="7"/>
        <w:widowControl w:val="0"/>
        <w:adjustRightInd w:val="0"/>
        <w:snapToGrid w:val="0"/>
        <w:spacing w:line="600" w:lineRule="exact"/>
        <w:ind w:firstLine="620"/>
        <w:jc w:val="both"/>
        <w:rPr>
          <w:sz w:val="32"/>
          <w:szCs w:val="32"/>
        </w:rPr>
      </w:pPr>
      <w:r>
        <w:rPr>
          <w:rFonts w:hint="eastAsia"/>
          <w:sz w:val="32"/>
          <w:szCs w:val="32"/>
        </w:rPr>
        <w:t>对同一违法行为，不得给予两次以上罚款的行政处罚。</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第三十二条</w:t>
      </w:r>
      <w:r>
        <w:rPr>
          <w:rFonts w:hint="eastAsia"/>
          <w:sz w:val="32"/>
          <w:szCs w:val="32"/>
        </w:rPr>
        <w:t>　当事人对行政处罚决定不服的，可以依据《中华人民共和国行政复议法》、《中华人民共和国行政诉讼法》的规定，申请行政复议或者提起诉讼。不申请行政复议、不起诉又不履行行政处罚决定的，由作出处罚决定的机关申请人民法院强制执行。</w:t>
      </w:r>
    </w:p>
    <w:p>
      <w:pPr>
        <w:pStyle w:val="7"/>
        <w:widowControl w:val="0"/>
        <w:adjustRightInd w:val="0"/>
        <w:snapToGrid w:val="0"/>
        <w:spacing w:line="600" w:lineRule="exact"/>
        <w:ind w:firstLine="620"/>
        <w:jc w:val="both"/>
        <w:rPr>
          <w:sz w:val="32"/>
          <w:szCs w:val="32"/>
        </w:rPr>
      </w:pPr>
      <w:r>
        <w:rPr>
          <w:rFonts w:hint="eastAsia" w:ascii="黑体" w:hAnsi="黑体" w:eastAsia="黑体"/>
          <w:sz w:val="32"/>
          <w:szCs w:val="32"/>
        </w:rPr>
        <w:t>第三十三条</w:t>
      </w:r>
      <w:r>
        <w:rPr>
          <w:rFonts w:hint="eastAsia"/>
          <w:sz w:val="32"/>
          <w:szCs w:val="32"/>
        </w:rPr>
        <w:t>　渔政渔港监督管理人员在渔船渔港安全监督管理过程中，滥用职权，玩忽职守，徇私舞弊的，由其所在单位或者上级主管部门给予行政处分；情节严重构成犯罪的，依法追究刑事责任。</w:t>
      </w:r>
    </w:p>
    <w:p>
      <w:pPr>
        <w:pStyle w:val="7"/>
        <w:widowControl w:val="0"/>
        <w:adjustRightInd w:val="0"/>
        <w:snapToGrid w:val="0"/>
        <w:spacing w:line="600" w:lineRule="exact"/>
        <w:ind w:firstLine="620"/>
        <w:jc w:val="both"/>
        <w:rPr>
          <w:rFonts w:hint="eastAsia"/>
          <w:sz w:val="32"/>
          <w:szCs w:val="32"/>
          <w:lang w:val="en-US" w:eastAsia="zh-CN"/>
        </w:rPr>
      </w:pPr>
      <w:r>
        <w:rPr>
          <w:rFonts w:hint="eastAsia" w:ascii="黑体" w:hAnsi="黑体" w:eastAsia="黑体"/>
          <w:sz w:val="32"/>
          <w:szCs w:val="32"/>
        </w:rPr>
        <w:t>第三十四条</w:t>
      </w:r>
      <w:r>
        <w:rPr>
          <w:rFonts w:hint="eastAsia"/>
          <w:sz w:val="32"/>
          <w:szCs w:val="32"/>
        </w:rPr>
        <w:t>　本办法自发布之日起施行。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Yjk2ZDkwNmQ1MGM2NzQzMDk5ZjU1YjY5YzUzYTkifQ=="/>
  </w:docVars>
  <w:rsids>
    <w:rsidRoot w:val="7C9011D9"/>
    <w:rsid w:val="019E71BD"/>
    <w:rsid w:val="06A67E67"/>
    <w:rsid w:val="080F63D8"/>
    <w:rsid w:val="09341458"/>
    <w:rsid w:val="152D2DCA"/>
    <w:rsid w:val="155220B9"/>
    <w:rsid w:val="22440422"/>
    <w:rsid w:val="31A15F24"/>
    <w:rsid w:val="39A232A0"/>
    <w:rsid w:val="3B5A6BBB"/>
    <w:rsid w:val="3EDA13A6"/>
    <w:rsid w:val="420550DE"/>
    <w:rsid w:val="42F058B7"/>
    <w:rsid w:val="436109F6"/>
    <w:rsid w:val="441A38D4"/>
    <w:rsid w:val="4BC77339"/>
    <w:rsid w:val="4C9236C5"/>
    <w:rsid w:val="52F46F0B"/>
    <w:rsid w:val="55E064E0"/>
    <w:rsid w:val="608816D1"/>
    <w:rsid w:val="69D9326D"/>
    <w:rsid w:val="6D0E3F22"/>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paragraph" w:customStyle="1" w:styleId="7">
    <w:name w:val="15.5正文（仿宋GB）"/>
    <w:basedOn w:val="1"/>
    <w:qFormat/>
    <w:uiPriority w:val="0"/>
    <w:pPr>
      <w:widowControl/>
      <w:ind w:firstLine="200" w:firstLineChars="200"/>
      <w:jc w:val="left"/>
    </w:pPr>
    <w:rPr>
      <w:rFonts w:ascii="方正书宋简体" w:hAnsi="方正书宋简体" w:eastAsia="仿宋_GB2312"/>
      <w:color w:val="000000"/>
      <w:kern w:val="0"/>
      <w:sz w:val="31"/>
      <w:szCs w:val="31"/>
    </w:rPr>
  </w:style>
  <w:style w:type="paragraph" w:customStyle="1" w:styleId="8">
    <w:name w:val="一级标题（二号小标宋）"/>
    <w:basedOn w:val="1"/>
    <w:qFormat/>
    <w:uiPriority w:val="0"/>
    <w:pPr>
      <w:widowControl/>
      <w:jc w:val="center"/>
    </w:pPr>
    <w:rPr>
      <w:rFonts w:ascii="方正书宋简体" w:hAnsi="方正书宋简体" w:eastAsia="方正小标宋_GBK"/>
      <w:color w:val="000000"/>
      <w:kern w:val="0"/>
      <w:sz w:val="42"/>
      <w:szCs w:val="42"/>
    </w:rPr>
  </w:style>
  <w:style w:type="paragraph" w:customStyle="1" w:styleId="9">
    <w:name w:val="15.5楷体（标题下楷体）"/>
    <w:basedOn w:val="1"/>
    <w:qFormat/>
    <w:uiPriority w:val="0"/>
    <w:pPr>
      <w:widowControl/>
      <w:spacing w:before="105"/>
      <w:ind w:firstLine="200" w:firstLineChars="200"/>
      <w:jc w:val="center"/>
    </w:pPr>
    <w:rPr>
      <w:rFonts w:ascii="方正书宋简体" w:hAnsi="方正书宋简体" w:eastAsia="楷体_GB2312"/>
      <w:color w:val="000000"/>
      <w:kern w:val="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3081</Words>
  <Characters>3153</Characters>
  <Lines>0</Lines>
  <Paragraphs>0</Paragraphs>
  <TotalTime>1</TotalTime>
  <ScaleCrop>false</ScaleCrop>
  <LinksUpToDate>false</LinksUpToDate>
  <CharactersWithSpaces>3190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喻琢</cp:lastModifiedBy>
  <cp:lastPrinted>2021-09-22T01:19:00Z</cp:lastPrinted>
  <dcterms:modified xsi:type="dcterms:W3CDTF">2023-01-06T02:13:37Z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08F815330155442E8268DC11CD06062B</vt:lpwstr>
  </property>
</Properties>
</file>