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ind w:firstLine="0" w:firstLineChars="0"/>
      </w:pPr>
    </w:p>
    <w:p>
      <w:pPr>
        <w:pStyle w:val="7"/>
        <w:widowControl w:val="0"/>
        <w:adjustRightInd w:val="0"/>
        <w:snapToGrid w:val="0"/>
        <w:spacing w:line="600" w:lineRule="exact"/>
        <w:ind w:firstLine="0" w:firstLineChars="0"/>
      </w:pPr>
    </w:p>
    <w:p>
      <w:pPr>
        <w:pStyle w:val="8"/>
        <w:widowControl w:val="0"/>
        <w:adjustRightInd w:val="0"/>
        <w:snapToGrid w:val="0"/>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湖南省森林和野生动物类型自然保护区</w:t>
      </w:r>
    </w:p>
    <w:p>
      <w:pPr>
        <w:pStyle w:val="8"/>
        <w:widowControl w:val="0"/>
        <w:adjustRightInd w:val="0"/>
        <w:snapToGrid w:val="0"/>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管理实施细则</w:t>
      </w:r>
    </w:p>
    <w:bookmarkEnd w:id="0"/>
    <w:p>
      <w:pPr>
        <w:pStyle w:val="9"/>
        <w:widowControl w:val="0"/>
        <w:adjustRightInd w:val="0"/>
        <w:snapToGrid w:val="0"/>
        <w:spacing w:before="0" w:line="600" w:lineRule="exact"/>
        <w:ind w:firstLine="620"/>
        <w:jc w:val="left"/>
      </w:pPr>
      <w:r>
        <w:rPr>
          <w:rFonts w:hint="eastAsia"/>
        </w:rPr>
        <w:t>（</w:t>
      </w:r>
      <w:r>
        <w:t>1985</w:t>
      </w:r>
      <w:r>
        <w:rPr>
          <w:rFonts w:hint="eastAsia"/>
        </w:rPr>
        <w:t>年</w:t>
      </w:r>
      <w:r>
        <w:t>9</w:t>
      </w:r>
      <w:r>
        <w:rPr>
          <w:rFonts w:hint="eastAsia"/>
        </w:rPr>
        <w:t>月</w:t>
      </w:r>
      <w:r>
        <w:t>10</w:t>
      </w:r>
      <w:r>
        <w:rPr>
          <w:rFonts w:hint="eastAsia"/>
        </w:rPr>
        <w:t>日湘政办发〔</w:t>
      </w:r>
      <w:r>
        <w:t>1985</w:t>
      </w:r>
      <w:r>
        <w:rPr>
          <w:rFonts w:hint="eastAsia"/>
        </w:rPr>
        <w:t>〕</w:t>
      </w:r>
      <w:r>
        <w:t>37</w:t>
      </w:r>
      <w:r>
        <w:rPr>
          <w:rFonts w:hint="eastAsia"/>
        </w:rPr>
        <w:t>号公布　</w:t>
      </w:r>
      <w:r>
        <w:t>1998</w:t>
      </w:r>
      <w:r>
        <w:rPr>
          <w:rFonts w:hint="eastAsia"/>
        </w:rPr>
        <w:t>年</w:t>
      </w:r>
      <w:r>
        <w:t>5</w:t>
      </w:r>
      <w:r>
        <w:rPr>
          <w:rFonts w:hint="eastAsia"/>
        </w:rPr>
        <w:t>月</w:t>
      </w:r>
      <w:r>
        <w:t>4</w:t>
      </w:r>
      <w:r>
        <w:rPr>
          <w:rFonts w:hint="eastAsia"/>
        </w:rPr>
        <w:t>日湖南省人民政府令第</w:t>
      </w:r>
      <w:r>
        <w:t>112</w:t>
      </w:r>
      <w:r>
        <w:rPr>
          <w:rFonts w:hint="eastAsia"/>
        </w:rPr>
        <w:t>号修改 自1985年9月10日起施行）</w:t>
      </w:r>
    </w:p>
    <w:p>
      <w:pPr>
        <w:pStyle w:val="9"/>
        <w:widowControl w:val="0"/>
        <w:adjustRightInd w:val="0"/>
        <w:snapToGrid w:val="0"/>
        <w:spacing w:before="0" w:line="600" w:lineRule="exact"/>
        <w:ind w:firstLine="620"/>
        <w:jc w:val="left"/>
      </w:pPr>
    </w:p>
    <w:p>
      <w:pPr>
        <w:pStyle w:val="7"/>
        <w:widowControl w:val="0"/>
        <w:adjustRightInd w:val="0"/>
        <w:snapToGrid w:val="0"/>
        <w:spacing w:line="600" w:lineRule="exact"/>
        <w:ind w:firstLine="620"/>
        <w:jc w:val="both"/>
      </w:pPr>
      <w:r>
        <w:rPr>
          <w:rFonts w:hint="eastAsia" w:ascii="黑体" w:hAnsi="黑体" w:eastAsia="黑体"/>
        </w:rPr>
        <w:t>第一条</w:t>
      </w:r>
      <w:r>
        <w:rPr>
          <w:rFonts w:hint="eastAsia"/>
        </w:rPr>
        <w:t>　为了保持自然生态平衡，加强森林和野生动物类型自然保护区的管理，根据国务院批准颁布的《森林和野生动物类型自然保护区管理办法》，结合我省实际情况，制定本实施细则。</w:t>
      </w:r>
    </w:p>
    <w:p>
      <w:pPr>
        <w:pStyle w:val="7"/>
        <w:widowControl w:val="0"/>
        <w:adjustRightInd w:val="0"/>
        <w:snapToGrid w:val="0"/>
        <w:spacing w:line="600" w:lineRule="exact"/>
        <w:ind w:firstLine="620"/>
        <w:jc w:val="both"/>
      </w:pPr>
      <w:r>
        <w:rPr>
          <w:rFonts w:hint="eastAsia" w:ascii="黑体" w:hAnsi="黑体" w:eastAsia="黑体"/>
        </w:rPr>
        <w:t>第二条</w:t>
      </w:r>
      <w:r>
        <w:rPr>
          <w:rFonts w:hint="eastAsia"/>
        </w:rPr>
        <w:t>　凡森林和野生动物（包括两栖纲、爬行纲、鸟纲和哺乳纲的动物）类型自然保护区（以下简称自然保护区），均按国家《森林和野生动物类型自然保护区管理办法》和本细则管理。</w:t>
      </w:r>
    </w:p>
    <w:p>
      <w:pPr>
        <w:pStyle w:val="7"/>
        <w:widowControl w:val="0"/>
        <w:adjustRightInd w:val="0"/>
        <w:snapToGrid w:val="0"/>
        <w:spacing w:line="600" w:lineRule="exact"/>
        <w:ind w:firstLine="620"/>
        <w:jc w:val="both"/>
      </w:pPr>
      <w:r>
        <w:rPr>
          <w:rFonts w:hint="eastAsia" w:ascii="黑体" w:hAnsi="黑体" w:eastAsia="黑体"/>
        </w:rPr>
        <w:t>第三条</w:t>
      </w:r>
      <w:r>
        <w:rPr>
          <w:rFonts w:hint="eastAsia"/>
        </w:rPr>
        <w:t>　自然保护区分为国家和省、县自然保护区。</w:t>
      </w:r>
    </w:p>
    <w:p>
      <w:pPr>
        <w:pStyle w:val="7"/>
        <w:widowControl w:val="0"/>
        <w:adjustRightInd w:val="0"/>
        <w:snapToGrid w:val="0"/>
        <w:spacing w:line="600" w:lineRule="exact"/>
        <w:ind w:firstLine="620"/>
        <w:jc w:val="both"/>
      </w:pPr>
      <w:r>
        <w:rPr>
          <w:rFonts w:hint="eastAsia"/>
        </w:rPr>
        <w:t>（一）国家自然保护区，由省人民政府提出区划方案，报国务院批准；</w:t>
      </w:r>
    </w:p>
    <w:p>
      <w:pPr>
        <w:pStyle w:val="7"/>
        <w:widowControl w:val="0"/>
        <w:adjustRightInd w:val="0"/>
        <w:snapToGrid w:val="0"/>
        <w:spacing w:line="600" w:lineRule="exact"/>
        <w:ind w:firstLine="620"/>
        <w:jc w:val="both"/>
      </w:pPr>
      <w:r>
        <w:rPr>
          <w:rFonts w:hint="eastAsia"/>
        </w:rPr>
        <w:t>（二）省自然保护区，由省林业主管部门商同所在县人民政府提出区划方案，报省人民政府批准，并报国务院备案；</w:t>
      </w:r>
    </w:p>
    <w:p>
      <w:pPr>
        <w:pStyle w:val="7"/>
        <w:widowControl w:val="0"/>
        <w:adjustRightInd w:val="0"/>
        <w:snapToGrid w:val="0"/>
        <w:spacing w:line="600" w:lineRule="exact"/>
        <w:ind w:firstLine="620"/>
        <w:jc w:val="both"/>
      </w:pPr>
      <w:r>
        <w:rPr>
          <w:rFonts w:hint="eastAsia"/>
        </w:rPr>
        <w:t>（三）县自然保护区，由县林业主管部门提出区划方案，报县人民政府批准，并报省人民政府及省林业主管部门备案。</w:t>
      </w:r>
    </w:p>
    <w:p>
      <w:pPr>
        <w:pStyle w:val="7"/>
        <w:widowControl w:val="0"/>
        <w:adjustRightInd w:val="0"/>
        <w:snapToGrid w:val="0"/>
        <w:spacing w:line="600" w:lineRule="exact"/>
        <w:ind w:firstLine="620"/>
        <w:jc w:val="both"/>
      </w:pPr>
      <w:r>
        <w:rPr>
          <w:rFonts w:hint="eastAsia" w:ascii="黑体" w:hAnsi="黑体" w:eastAsia="黑体"/>
        </w:rPr>
        <w:t>第四条</w:t>
      </w:r>
      <w:r>
        <w:rPr>
          <w:rFonts w:hint="eastAsia"/>
        </w:rPr>
        <w:t>　自然保护区由县级以上人民政府划定面积和区界。区界一经划定，即树立界标，不得任意变动。</w:t>
      </w:r>
    </w:p>
    <w:p>
      <w:pPr>
        <w:pStyle w:val="7"/>
        <w:widowControl w:val="0"/>
        <w:adjustRightInd w:val="0"/>
        <w:snapToGrid w:val="0"/>
        <w:spacing w:line="600" w:lineRule="exact"/>
        <w:ind w:firstLine="620"/>
        <w:jc w:val="both"/>
      </w:pPr>
      <w:r>
        <w:rPr>
          <w:rFonts w:hint="eastAsia"/>
        </w:rPr>
        <w:t>划定区界的原则是</w:t>
      </w:r>
    </w:p>
    <w:p>
      <w:pPr>
        <w:pStyle w:val="7"/>
        <w:widowControl w:val="0"/>
        <w:adjustRightInd w:val="0"/>
        <w:snapToGrid w:val="0"/>
        <w:spacing w:line="600" w:lineRule="exact"/>
        <w:ind w:firstLine="620"/>
        <w:jc w:val="both"/>
      </w:pPr>
      <w:r>
        <w:rPr>
          <w:rFonts w:hint="eastAsia"/>
        </w:rPr>
        <w:t>（一）应保证保护对象所必需的最合适范围；</w:t>
      </w:r>
    </w:p>
    <w:p>
      <w:pPr>
        <w:pStyle w:val="7"/>
        <w:widowControl w:val="0"/>
        <w:adjustRightInd w:val="0"/>
        <w:snapToGrid w:val="0"/>
        <w:spacing w:line="600" w:lineRule="exact"/>
        <w:ind w:firstLine="620"/>
        <w:jc w:val="both"/>
      </w:pPr>
      <w:r>
        <w:rPr>
          <w:rFonts w:hint="eastAsia"/>
        </w:rPr>
        <w:t>（二）自然环境和生态系统比较完整或演替明显或生物种源比较丰富；</w:t>
      </w:r>
    </w:p>
    <w:p>
      <w:pPr>
        <w:pStyle w:val="7"/>
        <w:widowControl w:val="0"/>
        <w:adjustRightInd w:val="0"/>
        <w:snapToGrid w:val="0"/>
        <w:spacing w:line="600" w:lineRule="exact"/>
        <w:ind w:firstLine="620"/>
        <w:jc w:val="both"/>
      </w:pPr>
      <w:r>
        <w:rPr>
          <w:rFonts w:hint="eastAsia"/>
        </w:rPr>
        <w:t>（三）既要保持保护对象的整体性，又要有利于当地经济建设和群众生产生活的安排。</w:t>
      </w:r>
    </w:p>
    <w:p>
      <w:pPr>
        <w:pStyle w:val="7"/>
        <w:widowControl w:val="0"/>
        <w:adjustRightInd w:val="0"/>
        <w:snapToGrid w:val="0"/>
        <w:spacing w:line="600" w:lineRule="exact"/>
        <w:ind w:firstLine="620"/>
        <w:jc w:val="both"/>
      </w:pPr>
      <w:r>
        <w:rPr>
          <w:rFonts w:hint="eastAsia" w:ascii="黑体" w:hAnsi="黑体" w:eastAsia="黑体"/>
        </w:rPr>
        <w:t>第五条</w:t>
      </w:r>
      <w:r>
        <w:rPr>
          <w:rFonts w:hint="eastAsia"/>
        </w:rPr>
        <w:t>　自然保护区建设，要统一规划设计，按管辖范围报林业主管部门批准。</w:t>
      </w:r>
    </w:p>
    <w:p>
      <w:pPr>
        <w:pStyle w:val="7"/>
        <w:widowControl w:val="0"/>
        <w:adjustRightInd w:val="0"/>
        <w:snapToGrid w:val="0"/>
        <w:spacing w:line="600" w:lineRule="exact"/>
        <w:ind w:firstLine="620"/>
        <w:jc w:val="both"/>
      </w:pPr>
      <w:r>
        <w:rPr>
          <w:rFonts w:hint="eastAsia" w:ascii="黑体" w:hAnsi="黑体" w:eastAsia="黑体"/>
        </w:rPr>
        <w:t>第六条</w:t>
      </w:r>
      <w:r>
        <w:rPr>
          <w:rFonts w:hint="eastAsia"/>
        </w:rPr>
        <w:t>　自然保护区分别由国家和地方各级人民政府设立管理机构，隶属同级人民政府，归林业主管部门具体管理。</w:t>
      </w:r>
    </w:p>
    <w:p>
      <w:pPr>
        <w:pStyle w:val="7"/>
        <w:widowControl w:val="0"/>
        <w:adjustRightInd w:val="0"/>
        <w:snapToGrid w:val="0"/>
        <w:spacing w:line="600" w:lineRule="exact"/>
        <w:ind w:firstLine="620"/>
        <w:jc w:val="both"/>
      </w:pPr>
      <w:r>
        <w:rPr>
          <w:rFonts w:hint="eastAsia" w:ascii="黑体" w:hAnsi="黑体" w:eastAsia="黑体"/>
        </w:rPr>
        <w:t>第七条</w:t>
      </w:r>
      <w:r>
        <w:rPr>
          <w:rFonts w:hint="eastAsia"/>
        </w:rPr>
        <w:t>　自然保护区管理机构的职责：</w:t>
      </w:r>
    </w:p>
    <w:p>
      <w:pPr>
        <w:pStyle w:val="7"/>
        <w:widowControl w:val="0"/>
        <w:adjustRightInd w:val="0"/>
        <w:snapToGrid w:val="0"/>
        <w:spacing w:line="600" w:lineRule="exact"/>
        <w:ind w:firstLine="620"/>
        <w:jc w:val="both"/>
      </w:pPr>
      <w:r>
        <w:rPr>
          <w:rFonts w:hint="eastAsia"/>
        </w:rPr>
        <w:t>（一）贯彻执行国家和省关于自然保护区管理的政策、法规和规章，开展保护自然资源的宣传教育工作；</w:t>
      </w:r>
    </w:p>
    <w:p>
      <w:pPr>
        <w:pStyle w:val="7"/>
        <w:widowControl w:val="0"/>
        <w:adjustRightInd w:val="0"/>
        <w:snapToGrid w:val="0"/>
        <w:spacing w:line="600" w:lineRule="exact"/>
        <w:ind w:firstLine="620"/>
        <w:jc w:val="both"/>
      </w:pPr>
      <w:r>
        <w:rPr>
          <w:rFonts w:hint="eastAsia"/>
        </w:rPr>
        <w:t>（二）进行植被、土壤、气象、生态等科学考察，探索自然演变规律和合理利用森林资源的途径；</w:t>
      </w:r>
    </w:p>
    <w:p>
      <w:pPr>
        <w:pStyle w:val="7"/>
        <w:widowControl w:val="0"/>
        <w:adjustRightInd w:val="0"/>
        <w:snapToGrid w:val="0"/>
        <w:spacing w:line="600" w:lineRule="exact"/>
        <w:ind w:firstLine="620"/>
        <w:jc w:val="both"/>
      </w:pPr>
      <w:r>
        <w:rPr>
          <w:rFonts w:hint="eastAsia"/>
        </w:rPr>
        <w:t>（三）对珍稀动植物进行生态观察、研究，以及引种、驯化、保护和发展珍贵稀有野生动植物资源；</w:t>
      </w:r>
    </w:p>
    <w:p>
      <w:pPr>
        <w:pStyle w:val="7"/>
        <w:widowControl w:val="0"/>
        <w:adjustRightInd w:val="0"/>
        <w:snapToGrid w:val="0"/>
        <w:spacing w:line="600" w:lineRule="exact"/>
        <w:ind w:firstLine="620"/>
        <w:jc w:val="both"/>
      </w:pPr>
      <w:r>
        <w:rPr>
          <w:rFonts w:hint="eastAsia"/>
        </w:rPr>
        <w:t>（四）负责自然保护区的行政管理。</w:t>
      </w:r>
    </w:p>
    <w:p>
      <w:pPr>
        <w:pStyle w:val="7"/>
        <w:widowControl w:val="0"/>
        <w:adjustRightInd w:val="0"/>
        <w:snapToGrid w:val="0"/>
        <w:spacing w:line="600" w:lineRule="exact"/>
        <w:ind w:firstLine="620"/>
        <w:jc w:val="both"/>
      </w:pPr>
      <w:r>
        <w:rPr>
          <w:rFonts w:hint="eastAsia" w:ascii="黑体" w:hAnsi="黑体" w:eastAsia="黑体"/>
        </w:rPr>
        <w:t>第八条</w:t>
      </w:r>
      <w:r>
        <w:rPr>
          <w:rFonts w:hint="eastAsia"/>
        </w:rPr>
        <w:t>　自然保护区分别按核心保护区和实验区管理：</w:t>
      </w:r>
    </w:p>
    <w:p>
      <w:pPr>
        <w:pStyle w:val="7"/>
        <w:widowControl w:val="0"/>
        <w:adjustRightInd w:val="0"/>
        <w:snapToGrid w:val="0"/>
        <w:spacing w:line="600" w:lineRule="exact"/>
        <w:ind w:firstLine="620"/>
        <w:jc w:val="both"/>
      </w:pPr>
      <w:r>
        <w:rPr>
          <w:rFonts w:hint="eastAsia"/>
        </w:rPr>
        <w:t>（一）核心保护区只供经批准的人员进行观测研究活动。严禁任何单位和个人到核心保护区采伐、狩猎、垦殖、放牧、采挖标本和种苗、开山炸石、旅游，以及有碍自然资源保护管理的其他各项建设和活动。</w:t>
      </w:r>
    </w:p>
    <w:p>
      <w:pPr>
        <w:pStyle w:val="7"/>
        <w:widowControl w:val="0"/>
        <w:adjustRightInd w:val="0"/>
        <w:snapToGrid w:val="0"/>
        <w:spacing w:line="600" w:lineRule="exact"/>
        <w:ind w:firstLine="620"/>
        <w:jc w:val="both"/>
      </w:pPr>
      <w:r>
        <w:rPr>
          <w:rFonts w:hint="eastAsia"/>
        </w:rPr>
        <w:t>（二）实验区可以进行科学实验和考察、教学实习、引种驯化、培育珍稀动植物，以及合理经营利用森林和野生动植物资源等研究活动。严禁乱砍滥伐、乱捕滥猎和毁林开荒。</w:t>
      </w:r>
    </w:p>
    <w:p>
      <w:pPr>
        <w:pStyle w:val="7"/>
        <w:widowControl w:val="0"/>
        <w:adjustRightInd w:val="0"/>
        <w:snapToGrid w:val="0"/>
        <w:spacing w:line="600" w:lineRule="exact"/>
        <w:ind w:firstLine="620"/>
        <w:jc w:val="both"/>
      </w:pPr>
      <w:r>
        <w:rPr>
          <w:rFonts w:hint="eastAsia" w:ascii="黑体" w:hAnsi="黑体" w:eastAsia="黑体"/>
        </w:rPr>
        <w:t>第九条</w:t>
      </w:r>
      <w:r>
        <w:rPr>
          <w:rFonts w:hint="eastAsia"/>
        </w:rPr>
        <w:t>　凡需进入自然保护区从事科研、教学、考察、拍摄影片、登山等活动的团体和个人，事先须与自然保护区管理机构联系，经省林业主管部门同意。</w:t>
      </w:r>
    </w:p>
    <w:p>
      <w:pPr>
        <w:pStyle w:val="7"/>
        <w:widowControl w:val="0"/>
        <w:adjustRightInd w:val="0"/>
        <w:snapToGrid w:val="0"/>
        <w:spacing w:line="600" w:lineRule="exact"/>
        <w:ind w:firstLine="620"/>
        <w:jc w:val="both"/>
      </w:pPr>
      <w:r>
        <w:rPr>
          <w:rFonts w:hint="eastAsia"/>
        </w:rPr>
        <w:t>任何部门、团体、单位与国外或港商签署涉及国家自然保护区的协议，接待外国人到国家自然保护区从事有关活动，必须征得林业部的同意，涉及省、县自然保护区的，必须征得省林业主管部门的同意。</w:t>
      </w:r>
    </w:p>
    <w:p>
      <w:pPr>
        <w:pStyle w:val="7"/>
        <w:widowControl w:val="0"/>
        <w:adjustRightInd w:val="0"/>
        <w:snapToGrid w:val="0"/>
        <w:spacing w:line="600" w:lineRule="exact"/>
        <w:ind w:firstLine="620"/>
        <w:jc w:val="both"/>
      </w:pPr>
      <w:r>
        <w:rPr>
          <w:rFonts w:hint="eastAsia"/>
        </w:rPr>
        <w:t>经批准进入自然保护区的人员，应遵守自然保护区管理法规和管理机构的制度，并交纳保护管理费。</w:t>
      </w:r>
    </w:p>
    <w:p>
      <w:pPr>
        <w:pStyle w:val="7"/>
        <w:widowControl w:val="0"/>
        <w:adjustRightInd w:val="0"/>
        <w:snapToGrid w:val="0"/>
        <w:spacing w:line="600" w:lineRule="exact"/>
        <w:ind w:firstLine="620"/>
        <w:jc w:val="both"/>
      </w:pPr>
      <w:r>
        <w:rPr>
          <w:rFonts w:hint="eastAsia" w:ascii="黑体" w:hAnsi="黑体" w:eastAsia="黑体"/>
        </w:rPr>
        <w:t>第十条</w:t>
      </w:r>
      <w:r>
        <w:rPr>
          <w:rFonts w:hint="eastAsia"/>
        </w:rPr>
        <w:t>　自然保护区管理机构应会同有关部门划定生产活动区，供自然保护区内的居民进行生产经营活动，合理解决群众生产生活问题；自然保护区内的居民应协助管理机构做好自然资源保护工作。</w:t>
      </w:r>
    </w:p>
    <w:p>
      <w:pPr>
        <w:pStyle w:val="7"/>
        <w:widowControl w:val="0"/>
        <w:adjustRightInd w:val="0"/>
        <w:snapToGrid w:val="0"/>
        <w:spacing w:line="600" w:lineRule="exact"/>
        <w:ind w:firstLine="620"/>
        <w:jc w:val="both"/>
      </w:pPr>
      <w:r>
        <w:rPr>
          <w:rFonts w:hint="eastAsia" w:ascii="黑体" w:hAnsi="黑体" w:eastAsia="黑体"/>
        </w:rPr>
        <w:t>第十一条</w:t>
      </w:r>
      <w:r>
        <w:rPr>
          <w:rFonts w:hint="eastAsia"/>
        </w:rPr>
        <w:t>　自然保护区内的科研工作，由自然保护区管理机构作出规划，报林业主管部门批准，有计划地开展。</w:t>
      </w:r>
    </w:p>
    <w:p>
      <w:pPr>
        <w:pStyle w:val="7"/>
        <w:widowControl w:val="0"/>
        <w:adjustRightInd w:val="0"/>
        <w:snapToGrid w:val="0"/>
        <w:spacing w:line="600" w:lineRule="exact"/>
        <w:ind w:firstLine="620"/>
        <w:jc w:val="both"/>
      </w:pPr>
      <w:r>
        <w:rPr>
          <w:rFonts w:hint="eastAsia" w:ascii="黑体" w:hAnsi="黑体" w:eastAsia="黑体"/>
        </w:rPr>
        <w:t>第十二条</w:t>
      </w:r>
      <w:r>
        <w:rPr>
          <w:rFonts w:hint="eastAsia"/>
        </w:rPr>
        <w:t>　有条件的自然保护区，在确保自然资源不被破坏和环境质量的前提下，经林业部或省林业主管部门批准，可在划定的范围内开展旅游活动，同时必须遵守以下规定：</w:t>
      </w:r>
    </w:p>
    <w:p>
      <w:pPr>
        <w:pStyle w:val="7"/>
        <w:widowControl w:val="0"/>
        <w:adjustRightInd w:val="0"/>
        <w:snapToGrid w:val="0"/>
        <w:spacing w:line="600" w:lineRule="exact"/>
        <w:ind w:firstLine="620"/>
        <w:jc w:val="both"/>
      </w:pPr>
      <w:r>
        <w:rPr>
          <w:rFonts w:hint="eastAsia"/>
        </w:rPr>
        <w:t>（一）旅游业务由自然保护区管理机构统一管理，所得收入用于自然保护区的建设和保护事业；</w:t>
      </w:r>
    </w:p>
    <w:p>
      <w:pPr>
        <w:pStyle w:val="7"/>
        <w:widowControl w:val="0"/>
        <w:adjustRightInd w:val="0"/>
        <w:snapToGrid w:val="0"/>
        <w:spacing w:line="600" w:lineRule="exact"/>
        <w:ind w:firstLine="620"/>
        <w:jc w:val="both"/>
      </w:pPr>
      <w:r>
        <w:rPr>
          <w:rFonts w:hint="eastAsia"/>
        </w:rPr>
        <w:t>（二）国内外有关部门、个人投资或与自然保护区联合兴办旅游建筑和设施等事项，由林业主管部门统一管理，建筑和设施的产权归自然保护区，所得收益在一定时期内按比例分成，但不得改变自然保护区的隶属关系；</w:t>
      </w:r>
    </w:p>
    <w:p>
      <w:pPr>
        <w:pStyle w:val="7"/>
        <w:widowControl w:val="0"/>
        <w:adjustRightInd w:val="0"/>
        <w:snapToGrid w:val="0"/>
        <w:spacing w:line="600" w:lineRule="exact"/>
        <w:ind w:firstLine="620"/>
        <w:jc w:val="both"/>
      </w:pPr>
      <w:r>
        <w:rPr>
          <w:rFonts w:hint="eastAsia"/>
        </w:rPr>
        <w:t>（三）旅游区的总体规划，由自然保护区管理机构负责编制，报省林业主管部门审查批准后实施。</w:t>
      </w:r>
    </w:p>
    <w:p>
      <w:pPr>
        <w:pStyle w:val="7"/>
        <w:widowControl w:val="0"/>
        <w:adjustRightInd w:val="0"/>
        <w:snapToGrid w:val="0"/>
        <w:spacing w:line="600" w:lineRule="exact"/>
        <w:ind w:firstLine="620"/>
        <w:jc w:val="both"/>
      </w:pPr>
      <w:r>
        <w:rPr>
          <w:rFonts w:hint="eastAsia" w:ascii="黑体" w:hAnsi="黑体" w:eastAsia="黑体"/>
        </w:rPr>
        <w:t>第十三条</w:t>
      </w:r>
      <w:r>
        <w:rPr>
          <w:rFonts w:hint="eastAsia"/>
        </w:rPr>
        <w:t>　自然保护区周围不准建立损害和污染环境的工矿企业，现有这类企业必须限期治理。</w:t>
      </w:r>
    </w:p>
    <w:p>
      <w:pPr>
        <w:pStyle w:val="7"/>
        <w:widowControl w:val="0"/>
        <w:adjustRightInd w:val="0"/>
        <w:snapToGrid w:val="0"/>
        <w:spacing w:line="600" w:lineRule="exact"/>
        <w:ind w:firstLine="620"/>
        <w:jc w:val="both"/>
      </w:pPr>
      <w:r>
        <w:rPr>
          <w:rFonts w:hint="eastAsia" w:ascii="黑体" w:hAnsi="黑体" w:eastAsia="黑体"/>
        </w:rPr>
        <w:t>第十四条</w:t>
      </w:r>
      <w:r>
        <w:rPr>
          <w:rFonts w:hint="eastAsia"/>
        </w:rPr>
        <w:t>　根据国家有关规定和需要，可在自然保护区设立公安派出所或配备公安特派员维护治安，查处破坏自然保护区资源的行为。</w:t>
      </w:r>
    </w:p>
    <w:p>
      <w:pPr>
        <w:pStyle w:val="7"/>
        <w:widowControl w:val="0"/>
        <w:adjustRightInd w:val="0"/>
        <w:snapToGrid w:val="0"/>
        <w:spacing w:line="600" w:lineRule="exact"/>
        <w:ind w:firstLine="620"/>
        <w:jc w:val="both"/>
      </w:pPr>
      <w:r>
        <w:rPr>
          <w:rFonts w:hint="eastAsia" w:ascii="黑体" w:hAnsi="黑体" w:eastAsia="黑体"/>
        </w:rPr>
        <w:t>第十五条</w:t>
      </w:r>
      <w:r>
        <w:rPr>
          <w:rFonts w:hint="eastAsia"/>
        </w:rPr>
        <w:t>　自然保护区管理机构工作人员和人民群众，保护自然资源有突出成绩的，由自然保护区管理机构或当地人民政府给予精神或物资奖励。</w:t>
      </w:r>
    </w:p>
    <w:p>
      <w:pPr>
        <w:pStyle w:val="7"/>
        <w:widowControl w:val="0"/>
        <w:adjustRightInd w:val="0"/>
        <w:snapToGrid w:val="0"/>
        <w:spacing w:line="600" w:lineRule="exact"/>
        <w:ind w:firstLine="620"/>
        <w:jc w:val="both"/>
      </w:pPr>
      <w:r>
        <w:rPr>
          <w:rFonts w:hint="eastAsia" w:ascii="黑体" w:hAnsi="黑体" w:eastAsia="黑体"/>
        </w:rPr>
        <w:t>第十六条</w:t>
      </w:r>
      <w:r>
        <w:rPr>
          <w:rFonts w:hint="eastAsia"/>
        </w:rPr>
        <w:t>　违反本细则规定，有下列行为之一的单位或者个人，由自然保护区管理机构责令其改正，并可以根据不同情节处以</w:t>
      </w:r>
      <w:r>
        <w:t>100</w:t>
      </w:r>
      <w:r>
        <w:rPr>
          <w:rFonts w:hint="eastAsia"/>
        </w:rPr>
        <w:t>元以上</w:t>
      </w:r>
      <w:r>
        <w:t>500</w:t>
      </w:r>
      <w:r>
        <w:rPr>
          <w:rFonts w:hint="eastAsia"/>
        </w:rPr>
        <w:t>元以下的罚款：</w:t>
      </w:r>
    </w:p>
    <w:p>
      <w:pPr>
        <w:pStyle w:val="7"/>
        <w:widowControl w:val="0"/>
        <w:adjustRightInd w:val="0"/>
        <w:snapToGrid w:val="0"/>
        <w:spacing w:line="600" w:lineRule="exact"/>
        <w:ind w:firstLine="620"/>
        <w:jc w:val="both"/>
      </w:pPr>
      <w:r>
        <w:rPr>
          <w:rFonts w:hint="eastAsia"/>
        </w:rPr>
        <w:t>（一）擅自移动或者破坏自然保护区界标的；</w:t>
      </w:r>
    </w:p>
    <w:p>
      <w:pPr>
        <w:pStyle w:val="7"/>
        <w:widowControl w:val="0"/>
        <w:adjustRightInd w:val="0"/>
        <w:snapToGrid w:val="0"/>
        <w:spacing w:line="600" w:lineRule="exact"/>
        <w:ind w:firstLine="620"/>
        <w:jc w:val="both"/>
      </w:pPr>
      <w:r>
        <w:rPr>
          <w:rFonts w:hint="eastAsia"/>
        </w:rPr>
        <w:t>（二）进入自然保护区不服从管理机构管理的；</w:t>
      </w:r>
    </w:p>
    <w:p>
      <w:pPr>
        <w:pStyle w:val="7"/>
        <w:widowControl w:val="0"/>
        <w:adjustRightInd w:val="0"/>
        <w:snapToGrid w:val="0"/>
        <w:spacing w:line="600" w:lineRule="exact"/>
        <w:ind w:firstLine="620"/>
        <w:jc w:val="both"/>
      </w:pPr>
      <w:r>
        <w:rPr>
          <w:rFonts w:hint="eastAsia"/>
        </w:rPr>
        <w:t>（三）经批准在自然保护区的实验区内从事科学研究、教学实习或者标本采集的单位、个人，不向自然保护区管理机构提交活动成果副本的。</w:t>
      </w:r>
    </w:p>
    <w:p>
      <w:pPr>
        <w:pStyle w:val="7"/>
        <w:widowControl w:val="0"/>
        <w:adjustRightInd w:val="0"/>
        <w:snapToGrid w:val="0"/>
        <w:spacing w:line="600" w:lineRule="exact"/>
        <w:ind w:firstLine="620"/>
        <w:jc w:val="both"/>
      </w:pPr>
      <w:r>
        <w:rPr>
          <w:rFonts w:hint="eastAsia" w:ascii="黑体" w:hAnsi="黑体" w:eastAsia="黑体"/>
        </w:rPr>
        <w:t>第十七条</w:t>
      </w:r>
      <w:r>
        <w:rPr>
          <w:rFonts w:hint="eastAsia"/>
        </w:rPr>
        <w:t>　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w:t>
      </w:r>
      <w:r>
        <w:t>300</w:t>
      </w:r>
      <w:r>
        <w:rPr>
          <w:rFonts w:hint="eastAsia"/>
        </w:rPr>
        <w:t>元以上</w:t>
      </w:r>
      <w:r>
        <w:t>10000</w:t>
      </w:r>
      <w:r>
        <w:rPr>
          <w:rFonts w:hint="eastAsia"/>
        </w:rPr>
        <w:t>元以下的罚款。</w:t>
      </w:r>
    </w:p>
    <w:p>
      <w:pPr>
        <w:pStyle w:val="7"/>
        <w:widowControl w:val="0"/>
        <w:adjustRightInd w:val="0"/>
        <w:snapToGrid w:val="0"/>
        <w:spacing w:line="600" w:lineRule="exact"/>
        <w:ind w:firstLine="620"/>
        <w:jc w:val="both"/>
      </w:pPr>
      <w:r>
        <w:rPr>
          <w:rFonts w:hint="eastAsia" w:ascii="黑体" w:hAnsi="黑体" w:eastAsia="黑体"/>
        </w:rPr>
        <w:t>第十八条</w:t>
      </w:r>
      <w:r>
        <w:rPr>
          <w:rFonts w:hint="eastAsia"/>
        </w:rPr>
        <w:t>　罚款上缴同级财政部门。</w:t>
      </w:r>
    </w:p>
    <w:p>
      <w:pPr>
        <w:pStyle w:val="7"/>
        <w:widowControl w:val="0"/>
        <w:adjustRightInd w:val="0"/>
        <w:snapToGrid w:val="0"/>
        <w:spacing w:line="600" w:lineRule="exact"/>
        <w:ind w:firstLine="620"/>
        <w:jc w:val="both"/>
      </w:pPr>
      <w:r>
        <w:rPr>
          <w:rFonts w:hint="eastAsia" w:ascii="黑体" w:hAnsi="黑体" w:eastAsia="黑体"/>
        </w:rPr>
        <w:t>第十九条</w:t>
      </w:r>
      <w:r>
        <w:rPr>
          <w:rFonts w:hint="eastAsia"/>
        </w:rPr>
        <w:t>　自然保护区管理人员，应模范遵守国家法规，廉洁奉公，忠于职守。因失职造成损失的，由管理机构给予行政处分。触犯刑律的，依法追究刑事责任。</w:t>
      </w:r>
    </w:p>
    <w:p>
      <w:pPr>
        <w:pStyle w:val="7"/>
        <w:widowControl w:val="0"/>
        <w:adjustRightInd w:val="0"/>
        <w:snapToGrid w:val="0"/>
        <w:spacing w:line="600" w:lineRule="exact"/>
        <w:ind w:firstLine="620"/>
        <w:jc w:val="both"/>
      </w:pPr>
      <w:r>
        <w:rPr>
          <w:rFonts w:hint="eastAsia" w:ascii="黑体" w:hAnsi="黑体" w:eastAsia="黑体"/>
        </w:rPr>
        <w:t>第二十条</w:t>
      </w:r>
      <w:r>
        <w:rPr>
          <w:rFonts w:hint="eastAsia"/>
        </w:rPr>
        <w:t>　自然保护区所在县人民政府可根据本细则制定具体规定。</w:t>
      </w:r>
    </w:p>
    <w:p>
      <w:pPr>
        <w:pStyle w:val="7"/>
        <w:widowControl w:val="0"/>
        <w:adjustRightInd w:val="0"/>
        <w:snapToGrid w:val="0"/>
        <w:spacing w:line="600" w:lineRule="exact"/>
        <w:ind w:firstLine="620"/>
        <w:jc w:val="both"/>
      </w:pPr>
      <w:r>
        <w:rPr>
          <w:rFonts w:hint="eastAsia" w:ascii="黑体" w:hAnsi="黑体" w:eastAsia="黑体"/>
        </w:rPr>
        <w:t>第二十一条</w:t>
      </w:r>
      <w:r>
        <w:rPr>
          <w:rFonts w:hint="eastAsia"/>
        </w:rPr>
        <w:t>　非自然保护区的珍贵稀有野生动植物，由所在县人民政府采取措施加以保护，并报省林业主管部门备案。</w:t>
      </w:r>
    </w:p>
    <w:p>
      <w:pPr>
        <w:pStyle w:val="7"/>
        <w:widowControl w:val="0"/>
        <w:adjustRightInd w:val="0"/>
        <w:snapToGrid w:val="0"/>
        <w:spacing w:line="600" w:lineRule="exact"/>
        <w:ind w:firstLine="620"/>
        <w:jc w:val="both"/>
      </w:pPr>
      <w:r>
        <w:rPr>
          <w:rFonts w:hint="eastAsia" w:ascii="黑体" w:hAnsi="黑体" w:eastAsia="黑体"/>
        </w:rPr>
        <w:t>第二十二条</w:t>
      </w:r>
      <w:r>
        <w:rPr>
          <w:rFonts w:hint="eastAsia"/>
        </w:rPr>
        <w:t>　本细则解释权归省林业厅。</w:t>
      </w:r>
    </w:p>
    <w:p>
      <w:pPr>
        <w:pStyle w:val="7"/>
        <w:widowControl w:val="0"/>
        <w:adjustRightInd w:val="0"/>
        <w:snapToGrid w:val="0"/>
        <w:spacing w:line="600" w:lineRule="exact"/>
        <w:ind w:firstLine="620"/>
        <w:jc w:val="both"/>
        <w:rPr>
          <w:rFonts w:hint="eastAsia"/>
          <w:lang w:val="en-US" w:eastAsia="zh-CN"/>
        </w:rPr>
      </w:pPr>
      <w:r>
        <w:rPr>
          <w:rFonts w:hint="eastAsia" w:ascii="黑体" w:hAnsi="黑体" w:eastAsia="黑体"/>
        </w:rPr>
        <w:t>第二十三条</w:t>
      </w:r>
      <w:r>
        <w:rPr>
          <w:rFonts w:hint="eastAsia"/>
        </w:rPr>
        <w:t>　本细则自发布之日起施行。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9E71BD"/>
    <w:rsid w:val="06A67E67"/>
    <w:rsid w:val="080F63D8"/>
    <w:rsid w:val="09341458"/>
    <w:rsid w:val="152D2DCA"/>
    <w:rsid w:val="22440422"/>
    <w:rsid w:val="2D7254CD"/>
    <w:rsid w:val="31A15F24"/>
    <w:rsid w:val="39A232A0"/>
    <w:rsid w:val="3B5A6BBB"/>
    <w:rsid w:val="3EDA13A6"/>
    <w:rsid w:val="42F058B7"/>
    <w:rsid w:val="436109F6"/>
    <w:rsid w:val="441A38D4"/>
    <w:rsid w:val="4BC77339"/>
    <w:rsid w:val="4C9236C5"/>
    <w:rsid w:val="512F4004"/>
    <w:rsid w:val="52F46F0B"/>
    <w:rsid w:val="55E064E0"/>
    <w:rsid w:val="608816D1"/>
    <w:rsid w:val="6D0E3F22"/>
    <w:rsid w:val="726D4A36"/>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15.5正文（仿宋GB）"/>
    <w:basedOn w:val="1"/>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8">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9">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2281</Characters>
  <Lines>0</Lines>
  <Paragraphs>0</Paragraphs>
  <TotalTime>1</TotalTime>
  <ScaleCrop>false</ScaleCrop>
  <LinksUpToDate>false</LinksUpToDate>
  <CharactersWithSpaces>2305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2023-01-05T02:52:37Z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6B5597A251EE43508792508A85705B02</vt:lpwstr>
  </property>
</Properties>
</file>