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宋体" w:hAnsi="宋体"/>
          <w:b/>
          <w:kern w:val="0"/>
          <w:sz w:val="44"/>
          <w:szCs w:val="44"/>
          <w:lang w:val="zh-TW"/>
        </w:rPr>
      </w:pPr>
      <w:bookmarkStart w:id="0" w:name="_GoBack"/>
      <w:r>
        <w:rPr>
          <w:rFonts w:hint="eastAsia" w:ascii="宋体" w:hAnsi="宋体"/>
          <w:b/>
          <w:kern w:val="0"/>
          <w:sz w:val="44"/>
          <w:szCs w:val="44"/>
          <w:lang w:val="zh-TW" w:eastAsia="zh-TW"/>
        </w:rPr>
        <w:t>中国（</w:t>
      </w:r>
      <w:r>
        <w:rPr>
          <w:rFonts w:hint="eastAsia" w:ascii="宋体" w:hAnsi="宋体"/>
          <w:b/>
          <w:kern w:val="0"/>
          <w:sz w:val="44"/>
          <w:szCs w:val="44"/>
          <w:lang w:val="zh-TW"/>
        </w:rPr>
        <w:t>郴州</w:t>
      </w:r>
      <w:r>
        <w:rPr>
          <w:rFonts w:hint="eastAsia" w:ascii="宋体" w:hAnsi="宋体"/>
          <w:b/>
          <w:kern w:val="0"/>
          <w:sz w:val="44"/>
          <w:szCs w:val="44"/>
          <w:lang w:val="zh-TW" w:eastAsia="zh-TW"/>
        </w:rPr>
        <w:t>）跨境电子商务综合试验区</w:t>
      </w:r>
    </w:p>
    <w:p>
      <w:pPr>
        <w:adjustRightInd w:val="0"/>
        <w:snapToGrid w:val="0"/>
        <w:spacing w:line="600" w:lineRule="exact"/>
        <w:jc w:val="center"/>
        <w:rPr>
          <w:rFonts w:hint="eastAsia" w:ascii="宋体" w:hAnsi="宋体"/>
          <w:b/>
          <w:kern w:val="0"/>
          <w:sz w:val="44"/>
          <w:szCs w:val="44"/>
          <w:lang w:val="zh-TW"/>
        </w:rPr>
      </w:pPr>
      <w:r>
        <w:rPr>
          <w:rFonts w:hint="eastAsia" w:ascii="宋体" w:hAnsi="宋体"/>
          <w:b/>
          <w:kern w:val="0"/>
          <w:sz w:val="44"/>
          <w:szCs w:val="44"/>
          <w:lang w:val="zh-TW" w:eastAsia="zh-TW"/>
        </w:rPr>
        <w:t>建设责任清单</w:t>
      </w:r>
    </w:p>
    <w:bookmarkEnd w:id="0"/>
    <w:tbl>
      <w:tblPr>
        <w:tblStyle w:val="4"/>
        <w:tblW w:w="9175" w:type="dxa"/>
        <w:jc w:val="center"/>
        <w:tblLayout w:type="autofit"/>
        <w:tblCellMar>
          <w:top w:w="0" w:type="dxa"/>
          <w:left w:w="108" w:type="dxa"/>
          <w:bottom w:w="0" w:type="dxa"/>
          <w:right w:w="108" w:type="dxa"/>
        </w:tblCellMar>
      </w:tblPr>
      <w:tblGrid>
        <w:gridCol w:w="884"/>
        <w:gridCol w:w="1244"/>
        <w:gridCol w:w="5196"/>
        <w:gridCol w:w="1851"/>
      </w:tblGrid>
      <w:tr>
        <w:tblPrEx>
          <w:tblCellMar>
            <w:top w:w="0" w:type="dxa"/>
            <w:left w:w="108" w:type="dxa"/>
            <w:bottom w:w="0" w:type="dxa"/>
            <w:right w:w="108" w:type="dxa"/>
          </w:tblCellMar>
        </w:tblPrEx>
        <w:trPr>
          <w:trHeight w:val="510" w:hRule="atLeast"/>
          <w:tblHeader/>
          <w:jc w:val="center"/>
        </w:trPr>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rFonts w:ascii="黑体" w:hAnsi="黑体" w:eastAsia="黑体"/>
                <w:bCs/>
                <w:kern w:val="0"/>
                <w:szCs w:val="21"/>
              </w:rPr>
            </w:pPr>
            <w:r>
              <w:rPr>
                <w:rFonts w:hint="eastAsia" w:ascii="黑体" w:hAnsi="黑体" w:eastAsia="黑体"/>
                <w:bCs/>
                <w:kern w:val="0"/>
                <w:szCs w:val="21"/>
                <w:lang w:eastAsia="zh-TW"/>
              </w:rPr>
              <w:t>序号</w:t>
            </w:r>
          </w:p>
        </w:tc>
        <w:tc>
          <w:tcPr>
            <w:tcW w:w="1244"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rFonts w:ascii="黑体" w:hAnsi="黑体" w:eastAsia="黑体"/>
                <w:bCs/>
                <w:kern w:val="0"/>
                <w:szCs w:val="21"/>
              </w:rPr>
            </w:pPr>
            <w:r>
              <w:rPr>
                <w:rFonts w:hint="eastAsia" w:ascii="黑体" w:hAnsi="黑体" w:eastAsia="黑体"/>
                <w:bCs/>
                <w:kern w:val="0"/>
                <w:szCs w:val="21"/>
                <w:lang w:eastAsia="zh-TW"/>
              </w:rPr>
              <w:t>目标</w:t>
            </w:r>
          </w:p>
        </w:tc>
        <w:tc>
          <w:tcPr>
            <w:tcW w:w="519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rFonts w:ascii="黑体" w:hAnsi="黑体" w:eastAsia="黑体"/>
                <w:bCs/>
                <w:kern w:val="0"/>
                <w:szCs w:val="21"/>
              </w:rPr>
            </w:pPr>
            <w:r>
              <w:rPr>
                <w:rFonts w:hint="eastAsia" w:ascii="黑体" w:hAnsi="黑体" w:eastAsia="黑体"/>
                <w:bCs/>
                <w:kern w:val="0"/>
                <w:szCs w:val="21"/>
                <w:lang w:eastAsia="zh-TW"/>
              </w:rPr>
              <w:t>具体要求</w:t>
            </w:r>
          </w:p>
        </w:tc>
        <w:tc>
          <w:tcPr>
            <w:tcW w:w="18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rFonts w:ascii="黑体" w:hAnsi="黑体" w:eastAsia="黑体"/>
                <w:bCs/>
                <w:kern w:val="0"/>
                <w:szCs w:val="21"/>
              </w:rPr>
            </w:pPr>
            <w:r>
              <w:rPr>
                <w:rFonts w:hint="eastAsia" w:ascii="黑体" w:hAnsi="黑体" w:eastAsia="黑体"/>
                <w:bCs/>
                <w:kern w:val="0"/>
                <w:szCs w:val="21"/>
              </w:rPr>
              <w:t>责任单位</w:t>
            </w:r>
          </w:p>
        </w:tc>
      </w:tr>
      <w:tr>
        <w:tblPrEx>
          <w:tblCellMar>
            <w:top w:w="0" w:type="dxa"/>
            <w:left w:w="108" w:type="dxa"/>
            <w:bottom w:w="0" w:type="dxa"/>
            <w:right w:w="108" w:type="dxa"/>
          </w:tblCellMar>
        </w:tblPrEx>
        <w:trPr>
          <w:trHeight w:val="654" w:hRule="atLeast"/>
          <w:tblHeader/>
          <w:jc w:val="center"/>
        </w:trPr>
        <w:tc>
          <w:tcPr>
            <w:tcW w:w="884" w:type="dxa"/>
            <w:vMerge w:val="restart"/>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一</w:t>
            </w:r>
          </w:p>
        </w:tc>
        <w:tc>
          <w:tcPr>
            <w:tcW w:w="1244" w:type="dxa"/>
            <w:vMerge w:val="restart"/>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建设跨境电商线上综合服务平台</w:t>
            </w:r>
            <w:r>
              <w:rPr>
                <w:kern w:val="0"/>
                <w:szCs w:val="21"/>
              </w:rPr>
              <w:t xml:space="preserve"> </w:t>
            </w: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lang w:eastAsia="zh-TW"/>
              </w:rPr>
              <w:t>1</w:t>
            </w:r>
            <w:r>
              <w:rPr>
                <w:kern w:val="0"/>
                <w:szCs w:val="21"/>
              </w:rPr>
              <w:t xml:space="preserve">. </w:t>
            </w:r>
            <w:r>
              <w:rPr>
                <w:rFonts w:hAnsi="宋体"/>
                <w:kern w:val="0"/>
                <w:szCs w:val="21"/>
                <w:lang w:eastAsia="zh-TW"/>
              </w:rPr>
              <w:t>建设线上综合服务平台，实现企业、服务机构、监管部门等的信息互联互通。</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p>
            <w:pPr>
              <w:widowControl/>
              <w:spacing w:line="280" w:lineRule="exact"/>
              <w:ind w:left="-63" w:leftChars="-30" w:right="-63" w:rightChars="-30"/>
              <w:rPr>
                <w:kern w:val="0"/>
                <w:szCs w:val="21"/>
              </w:rPr>
            </w:pPr>
            <w:r>
              <w:rPr>
                <w:rFonts w:hAnsi="宋体"/>
                <w:kern w:val="0"/>
                <w:szCs w:val="21"/>
              </w:rPr>
              <w:t>省商务厅</w:t>
            </w:r>
          </w:p>
        </w:tc>
      </w:tr>
      <w:tr>
        <w:tblPrEx>
          <w:tblCellMar>
            <w:top w:w="0" w:type="dxa"/>
            <w:left w:w="108" w:type="dxa"/>
            <w:bottom w:w="0" w:type="dxa"/>
            <w:right w:w="108" w:type="dxa"/>
          </w:tblCellMar>
        </w:tblPrEx>
        <w:trPr>
          <w:trHeight w:val="549" w:hRule="atLeast"/>
          <w:tblHeader/>
          <w:jc w:val="center"/>
        </w:trPr>
        <w:tc>
          <w:tcPr>
            <w:tcW w:w="88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124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lang w:eastAsia="zh-TW"/>
              </w:rPr>
              <w:t>2</w:t>
            </w:r>
            <w:r>
              <w:rPr>
                <w:kern w:val="0"/>
                <w:szCs w:val="21"/>
              </w:rPr>
              <w:t xml:space="preserve">. </w:t>
            </w:r>
            <w:r>
              <w:rPr>
                <w:rFonts w:hAnsi="宋体"/>
                <w:kern w:val="0"/>
                <w:szCs w:val="21"/>
                <w:lang w:eastAsia="zh-TW"/>
              </w:rPr>
              <w:t>开放海关综合服务平台，对接线上综合服务平台。</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p>
            <w:pPr>
              <w:widowControl/>
              <w:spacing w:line="280" w:lineRule="exact"/>
              <w:ind w:left="-63" w:leftChars="-30" w:right="-63" w:rightChars="-30"/>
              <w:rPr>
                <w:kern w:val="0"/>
                <w:szCs w:val="21"/>
              </w:rPr>
            </w:pPr>
            <w:r>
              <w:rPr>
                <w:rFonts w:hAnsi="宋体"/>
                <w:kern w:val="0"/>
                <w:szCs w:val="21"/>
              </w:rPr>
              <w:t>长沙海关</w:t>
            </w:r>
          </w:p>
        </w:tc>
      </w:tr>
      <w:tr>
        <w:tblPrEx>
          <w:tblCellMar>
            <w:top w:w="0" w:type="dxa"/>
            <w:left w:w="108" w:type="dxa"/>
            <w:bottom w:w="0" w:type="dxa"/>
            <w:right w:w="108" w:type="dxa"/>
          </w:tblCellMar>
        </w:tblPrEx>
        <w:trPr>
          <w:trHeight w:val="684" w:hRule="atLeast"/>
          <w:tblHeader/>
          <w:jc w:val="center"/>
        </w:trPr>
        <w:tc>
          <w:tcPr>
            <w:tcW w:w="88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124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lang w:eastAsia="zh-TW"/>
              </w:rPr>
              <w:t>3</w:t>
            </w:r>
            <w:r>
              <w:rPr>
                <w:kern w:val="0"/>
                <w:szCs w:val="21"/>
              </w:rPr>
              <w:t xml:space="preserve">. </w:t>
            </w:r>
            <w:r>
              <w:rPr>
                <w:rFonts w:hAnsi="宋体"/>
                <w:kern w:val="0"/>
                <w:szCs w:val="21"/>
                <w:lang w:eastAsia="zh-TW"/>
              </w:rPr>
              <w:t>开放出口退税申报综合服务平台，对接线上综合服务平台。</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lang w:eastAsia="zh-TW"/>
              </w:rPr>
              <w:t>省税务局</w:t>
            </w:r>
          </w:p>
        </w:tc>
      </w:tr>
      <w:tr>
        <w:tblPrEx>
          <w:tblCellMar>
            <w:top w:w="0" w:type="dxa"/>
            <w:left w:w="108" w:type="dxa"/>
            <w:bottom w:w="0" w:type="dxa"/>
            <w:right w:w="108" w:type="dxa"/>
          </w:tblCellMar>
        </w:tblPrEx>
        <w:trPr>
          <w:trHeight w:val="850" w:hRule="atLeast"/>
          <w:tblHeader/>
          <w:jc w:val="center"/>
        </w:trPr>
        <w:tc>
          <w:tcPr>
            <w:tcW w:w="88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124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lang w:eastAsia="zh-TW"/>
              </w:rPr>
              <w:t>4</w:t>
            </w:r>
            <w:r>
              <w:rPr>
                <w:kern w:val="0"/>
                <w:szCs w:val="21"/>
              </w:rPr>
              <w:t xml:space="preserve">. </w:t>
            </w:r>
            <w:r>
              <w:rPr>
                <w:rFonts w:hAnsi="宋体"/>
                <w:kern w:val="0"/>
                <w:szCs w:val="21"/>
                <w:lang w:eastAsia="zh-TW"/>
              </w:rPr>
              <w:t>向线上综合服务平台开放认证认可、药品监管等相关数据，实现市场主体信息化综合管理系统与线上综合服务平台无缝对接。</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lang w:eastAsia="zh-TW"/>
              </w:rPr>
              <w:t>省市场监管局</w:t>
            </w:r>
          </w:p>
        </w:tc>
      </w:tr>
      <w:tr>
        <w:tblPrEx>
          <w:tblCellMar>
            <w:top w:w="0" w:type="dxa"/>
            <w:left w:w="108" w:type="dxa"/>
            <w:bottom w:w="0" w:type="dxa"/>
            <w:right w:w="108" w:type="dxa"/>
          </w:tblCellMar>
        </w:tblPrEx>
        <w:trPr>
          <w:trHeight w:val="707" w:hRule="atLeast"/>
          <w:tblHeader/>
          <w:jc w:val="center"/>
        </w:trPr>
        <w:tc>
          <w:tcPr>
            <w:tcW w:w="884" w:type="dxa"/>
            <w:vMerge w:val="restart"/>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二</w:t>
            </w:r>
          </w:p>
        </w:tc>
        <w:tc>
          <w:tcPr>
            <w:tcW w:w="1244" w:type="dxa"/>
            <w:vMerge w:val="restart"/>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lang w:eastAsia="zh-TW"/>
              </w:rPr>
            </w:pPr>
            <w:r>
              <w:rPr>
                <w:rFonts w:hAnsi="宋体"/>
                <w:kern w:val="0"/>
                <w:szCs w:val="21"/>
                <w:lang w:eastAsia="zh-TW"/>
              </w:rPr>
              <w:t>建设跨境电商</w:t>
            </w:r>
            <w:r>
              <w:rPr>
                <w:rFonts w:hAnsi="宋体"/>
                <w:kern w:val="0"/>
                <w:szCs w:val="21"/>
              </w:rPr>
              <w:t>线下</w:t>
            </w:r>
            <w:r>
              <w:rPr>
                <w:rFonts w:hAnsi="宋体"/>
                <w:kern w:val="0"/>
                <w:szCs w:val="21"/>
                <w:lang w:eastAsia="zh-TW"/>
              </w:rPr>
              <w:t>园区平台</w:t>
            </w: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5. </w:t>
            </w:r>
            <w:r>
              <w:rPr>
                <w:rFonts w:hAnsi="宋体"/>
                <w:kern w:val="0"/>
                <w:szCs w:val="21"/>
              </w:rPr>
              <w:t>统筹县市区建设跨境电商产业园区，逐步形成具有一定规模和影响力的跨境电商生态圈。</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p>
            <w:pPr>
              <w:widowControl/>
              <w:spacing w:line="280" w:lineRule="exact"/>
              <w:ind w:left="-63" w:leftChars="-30" w:right="-63" w:rightChars="-30"/>
              <w:rPr>
                <w:kern w:val="0"/>
                <w:szCs w:val="21"/>
              </w:rPr>
            </w:pPr>
            <w:r>
              <w:rPr>
                <w:rFonts w:hAnsi="宋体"/>
                <w:kern w:val="0"/>
                <w:szCs w:val="21"/>
              </w:rPr>
              <w:t>省商务厅</w:t>
            </w:r>
          </w:p>
        </w:tc>
      </w:tr>
      <w:tr>
        <w:tblPrEx>
          <w:tblCellMar>
            <w:top w:w="0" w:type="dxa"/>
            <w:left w:w="108" w:type="dxa"/>
            <w:bottom w:w="0" w:type="dxa"/>
            <w:right w:w="108" w:type="dxa"/>
          </w:tblCellMar>
        </w:tblPrEx>
        <w:trPr>
          <w:trHeight w:val="972" w:hRule="atLeast"/>
          <w:tblHeader/>
          <w:jc w:val="center"/>
        </w:trPr>
        <w:tc>
          <w:tcPr>
            <w:tcW w:w="88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124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6. </w:t>
            </w:r>
            <w:r>
              <w:rPr>
                <w:rFonts w:hAnsi="宋体"/>
                <w:kern w:val="0"/>
                <w:szCs w:val="21"/>
              </w:rPr>
              <w:t>发挥郴州综合保税区和铁路口岸物流中心水、铁、公路及通关优势，完善仓储配套，打造服务粤港澳大湾区的跨境电商物流通关基地。</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tc>
      </w:tr>
      <w:tr>
        <w:tblPrEx>
          <w:tblCellMar>
            <w:top w:w="0" w:type="dxa"/>
            <w:left w:w="108" w:type="dxa"/>
            <w:bottom w:w="0" w:type="dxa"/>
            <w:right w:w="108" w:type="dxa"/>
          </w:tblCellMar>
        </w:tblPrEx>
        <w:trPr>
          <w:trHeight w:val="703" w:hRule="atLeast"/>
          <w:tblHeader/>
          <w:jc w:val="center"/>
        </w:trPr>
        <w:tc>
          <w:tcPr>
            <w:tcW w:w="88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124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7. </w:t>
            </w:r>
            <w:r>
              <w:rPr>
                <w:rFonts w:hAnsi="宋体"/>
                <w:kern w:val="0"/>
                <w:szCs w:val="21"/>
              </w:rPr>
              <w:t>突出郴州高新技术产业开发区电商产业集聚优势，建设跨境电商孵化基地和总部基地。</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tc>
      </w:tr>
      <w:tr>
        <w:tblPrEx>
          <w:tblCellMar>
            <w:top w:w="0" w:type="dxa"/>
            <w:left w:w="108" w:type="dxa"/>
            <w:bottom w:w="0" w:type="dxa"/>
            <w:right w:w="108" w:type="dxa"/>
          </w:tblCellMar>
        </w:tblPrEx>
        <w:trPr>
          <w:trHeight w:val="1124" w:hRule="atLeast"/>
          <w:tblHeader/>
          <w:jc w:val="center"/>
        </w:trPr>
        <w:tc>
          <w:tcPr>
            <w:tcW w:w="88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124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8.</w:t>
            </w:r>
            <w:r>
              <w:rPr>
                <w:szCs w:val="21"/>
              </w:rPr>
              <w:t xml:space="preserve"> </w:t>
            </w:r>
            <w:r>
              <w:rPr>
                <w:rFonts w:hAnsi="宋体"/>
                <w:kern w:val="0"/>
                <w:szCs w:val="21"/>
              </w:rPr>
              <w:t>在郴州高新技术产业开发区（郴州综合保税区）、湘南国际物流园探索建设集国际邮件、国际快件、</w:t>
            </w:r>
            <w:r>
              <w:rPr>
                <w:rFonts w:hint="eastAsia" w:hAnsi="宋体"/>
                <w:kern w:val="0"/>
                <w:szCs w:val="21"/>
              </w:rPr>
              <w:t>“</w:t>
            </w:r>
            <w:r>
              <w:rPr>
                <w:kern w:val="0"/>
                <w:szCs w:val="21"/>
              </w:rPr>
              <w:t>9610</w:t>
            </w:r>
            <w:r>
              <w:rPr>
                <w:rFonts w:hint="eastAsia"/>
                <w:kern w:val="0"/>
                <w:szCs w:val="21"/>
              </w:rPr>
              <w:t>”</w:t>
            </w:r>
            <w:r>
              <w:rPr>
                <w:rFonts w:hAnsi="宋体"/>
                <w:kern w:val="0"/>
                <w:szCs w:val="21"/>
              </w:rPr>
              <w:t>跨境直购、</w:t>
            </w:r>
            <w:r>
              <w:rPr>
                <w:rFonts w:hint="eastAsia" w:hAnsi="宋体"/>
                <w:kern w:val="0"/>
                <w:szCs w:val="21"/>
              </w:rPr>
              <w:t>“</w:t>
            </w:r>
            <w:r>
              <w:rPr>
                <w:kern w:val="0"/>
                <w:szCs w:val="21"/>
              </w:rPr>
              <w:t>1210</w:t>
            </w:r>
            <w:r>
              <w:rPr>
                <w:rFonts w:hint="eastAsia"/>
                <w:kern w:val="0"/>
                <w:szCs w:val="21"/>
              </w:rPr>
              <w:t>”</w:t>
            </w:r>
            <w:r>
              <w:rPr>
                <w:rFonts w:hAnsi="宋体"/>
                <w:kern w:val="0"/>
                <w:szCs w:val="21"/>
              </w:rPr>
              <w:t>保税备货、</w:t>
            </w:r>
            <w:r>
              <w:rPr>
                <w:rFonts w:hint="eastAsia" w:hAnsi="宋体"/>
                <w:kern w:val="0"/>
                <w:szCs w:val="21"/>
              </w:rPr>
              <w:t>“</w:t>
            </w:r>
            <w:r>
              <w:rPr>
                <w:kern w:val="0"/>
                <w:szCs w:val="21"/>
              </w:rPr>
              <w:t>9710</w:t>
            </w:r>
            <w:r>
              <w:rPr>
                <w:rFonts w:hint="eastAsia"/>
                <w:kern w:val="0"/>
                <w:szCs w:val="21"/>
              </w:rPr>
              <w:t>”</w:t>
            </w:r>
            <w:r>
              <w:rPr>
                <w:rFonts w:hAnsi="宋体"/>
                <w:kern w:val="0"/>
                <w:szCs w:val="21"/>
              </w:rPr>
              <w:t>跨境电商</w:t>
            </w:r>
            <w:r>
              <w:rPr>
                <w:kern w:val="0"/>
                <w:szCs w:val="21"/>
              </w:rPr>
              <w:t>B2B</w:t>
            </w:r>
            <w:r>
              <w:rPr>
                <w:rFonts w:hAnsi="宋体"/>
                <w:kern w:val="0"/>
                <w:szCs w:val="21"/>
              </w:rPr>
              <w:t>直接出口、</w:t>
            </w:r>
            <w:r>
              <w:rPr>
                <w:rFonts w:hint="eastAsia" w:hAnsi="宋体"/>
                <w:kern w:val="0"/>
                <w:szCs w:val="21"/>
              </w:rPr>
              <w:t>“</w:t>
            </w:r>
            <w:r>
              <w:rPr>
                <w:kern w:val="0"/>
                <w:szCs w:val="21"/>
              </w:rPr>
              <w:t>9810</w:t>
            </w:r>
            <w:r>
              <w:rPr>
                <w:rFonts w:hint="eastAsia"/>
                <w:kern w:val="0"/>
                <w:szCs w:val="21"/>
              </w:rPr>
              <w:t>”</w:t>
            </w:r>
            <w:r>
              <w:rPr>
                <w:rFonts w:hAnsi="宋体"/>
                <w:kern w:val="0"/>
                <w:szCs w:val="21"/>
              </w:rPr>
              <w:t>跨境电商出口海</w:t>
            </w:r>
            <w:r>
              <w:rPr>
                <w:rFonts w:ascii="宋体" w:hAnsi="宋体"/>
                <w:kern w:val="0"/>
                <w:szCs w:val="21"/>
              </w:rPr>
              <w:t>外仓的“六位一体”跨境</w:t>
            </w:r>
            <w:r>
              <w:rPr>
                <w:rFonts w:hAnsi="宋体"/>
                <w:kern w:val="0"/>
                <w:szCs w:val="21"/>
              </w:rPr>
              <w:t>电商综合服务平台，不断优化园区跨境电商生态链，汇集跨境电商平台、保税仓储、智能物流、电子通关、金融支付等。</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p>
            <w:pPr>
              <w:widowControl/>
              <w:spacing w:line="280" w:lineRule="exact"/>
              <w:ind w:left="-63" w:leftChars="-30" w:right="-63" w:rightChars="-30"/>
              <w:rPr>
                <w:kern w:val="0"/>
                <w:szCs w:val="21"/>
              </w:rPr>
            </w:pPr>
            <w:r>
              <w:rPr>
                <w:rFonts w:hAnsi="宋体"/>
                <w:kern w:val="0"/>
                <w:szCs w:val="21"/>
              </w:rPr>
              <w:t>长沙海关</w:t>
            </w:r>
          </w:p>
        </w:tc>
      </w:tr>
      <w:tr>
        <w:tblPrEx>
          <w:tblCellMar>
            <w:top w:w="0" w:type="dxa"/>
            <w:left w:w="108" w:type="dxa"/>
            <w:bottom w:w="0" w:type="dxa"/>
            <w:right w:w="108" w:type="dxa"/>
          </w:tblCellMar>
        </w:tblPrEx>
        <w:trPr>
          <w:trHeight w:val="857" w:hRule="atLeast"/>
          <w:tblHeader/>
          <w:jc w:val="center"/>
        </w:trPr>
        <w:tc>
          <w:tcPr>
            <w:tcW w:w="884" w:type="dxa"/>
            <w:vMerge w:val="restart"/>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三</w:t>
            </w:r>
          </w:p>
        </w:tc>
        <w:tc>
          <w:tcPr>
            <w:tcW w:w="1244" w:type="dxa"/>
            <w:vMerge w:val="restart"/>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lang w:eastAsia="zh-TW"/>
              </w:rPr>
              <w:t>大力引进和培育跨境电子商务主体</w:t>
            </w: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9. </w:t>
            </w:r>
            <w:r>
              <w:rPr>
                <w:rFonts w:hAnsi="宋体"/>
                <w:kern w:val="0"/>
                <w:szCs w:val="21"/>
                <w:lang w:eastAsia="zh-TW"/>
              </w:rPr>
              <w:t>引进行业龙头企业，培育本地行业企业，支持中小跨境电商做强做大，鼓励传统企业转型升级；打造本地跨境特色产品。</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tc>
      </w:tr>
      <w:tr>
        <w:tblPrEx>
          <w:tblCellMar>
            <w:top w:w="0" w:type="dxa"/>
            <w:left w:w="108" w:type="dxa"/>
            <w:bottom w:w="0" w:type="dxa"/>
            <w:right w:w="108" w:type="dxa"/>
          </w:tblCellMar>
        </w:tblPrEx>
        <w:trPr>
          <w:trHeight w:val="570" w:hRule="atLeast"/>
          <w:tblHeader/>
          <w:jc w:val="center"/>
        </w:trPr>
        <w:tc>
          <w:tcPr>
            <w:tcW w:w="88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124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10. </w:t>
            </w:r>
            <w:r>
              <w:rPr>
                <w:rFonts w:hAnsi="宋体"/>
                <w:kern w:val="0"/>
                <w:szCs w:val="21"/>
              </w:rPr>
              <w:t>郴州综合保税区重点发展以高端消费品、加工贸易为主的业务。</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tc>
      </w:tr>
      <w:tr>
        <w:tblPrEx>
          <w:tblCellMar>
            <w:top w:w="0" w:type="dxa"/>
            <w:left w:w="108" w:type="dxa"/>
            <w:bottom w:w="0" w:type="dxa"/>
            <w:right w:w="108" w:type="dxa"/>
          </w:tblCellMar>
        </w:tblPrEx>
        <w:trPr>
          <w:trHeight w:val="689" w:hRule="atLeast"/>
          <w:tblHeader/>
          <w:jc w:val="center"/>
        </w:trPr>
        <w:tc>
          <w:tcPr>
            <w:tcW w:w="88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124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lang w:eastAsia="zh-TW"/>
              </w:rPr>
              <w:t>1</w:t>
            </w:r>
            <w:r>
              <w:rPr>
                <w:kern w:val="0"/>
                <w:szCs w:val="21"/>
              </w:rPr>
              <w:t xml:space="preserve">1. </w:t>
            </w:r>
            <w:r>
              <w:rPr>
                <w:rFonts w:hAnsi="宋体"/>
                <w:kern w:val="0"/>
                <w:szCs w:val="21"/>
                <w:lang w:eastAsia="zh-TW"/>
              </w:rPr>
              <w:t>郴州铁路口岸（郴州国际快件中心）重点发展以海铁联运对非跨境电商为主的业务。</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tc>
      </w:tr>
      <w:tr>
        <w:tblPrEx>
          <w:tblCellMar>
            <w:top w:w="0" w:type="dxa"/>
            <w:left w:w="108" w:type="dxa"/>
            <w:bottom w:w="0" w:type="dxa"/>
            <w:right w:w="108" w:type="dxa"/>
          </w:tblCellMar>
        </w:tblPrEx>
        <w:trPr>
          <w:trHeight w:val="1834" w:hRule="atLeast"/>
          <w:tblHeader/>
          <w:jc w:val="center"/>
        </w:trPr>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r>
              <w:rPr>
                <w:rFonts w:hAnsi="宋体"/>
                <w:kern w:val="0"/>
                <w:szCs w:val="21"/>
              </w:rPr>
              <w:t>四</w:t>
            </w:r>
          </w:p>
        </w:tc>
        <w:tc>
          <w:tcPr>
            <w:tcW w:w="1244" w:type="dxa"/>
            <w:tcBorders>
              <w:top w:val="single" w:color="auto" w:sz="4" w:space="0"/>
              <w:left w:val="nil"/>
              <w:bottom w:val="single" w:color="auto" w:sz="4" w:space="0"/>
              <w:right w:val="single" w:color="auto" w:sz="4" w:space="0"/>
            </w:tcBorders>
            <w:shd w:val="clear" w:color="auto" w:fill="FFFFFF"/>
            <w:noWrap w:val="0"/>
            <w:vAlign w:val="center"/>
          </w:tcPr>
          <w:p>
            <w:pPr>
              <w:spacing w:line="280" w:lineRule="exact"/>
              <w:ind w:left="-63" w:leftChars="-30" w:right="-63" w:rightChars="-30"/>
              <w:jc w:val="left"/>
              <w:rPr>
                <w:kern w:val="0"/>
                <w:szCs w:val="21"/>
              </w:rPr>
            </w:pPr>
            <w:r>
              <w:rPr>
                <w:rFonts w:hAnsi="宋体"/>
                <w:kern w:val="0"/>
                <w:szCs w:val="21"/>
              </w:rPr>
              <w:t>构建八体系</w:t>
            </w:r>
          </w:p>
        </w:tc>
        <w:tc>
          <w:tcPr>
            <w:tcW w:w="519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12. </w:t>
            </w:r>
            <w:r>
              <w:rPr>
                <w:rFonts w:hAnsi="宋体"/>
                <w:kern w:val="0"/>
                <w:szCs w:val="21"/>
              </w:rPr>
              <w:t>建设信息共享体系，实现监管部门、金融机构、跨境电商企业、国际物流企业之间信息互联互通。</w:t>
            </w:r>
          </w:p>
        </w:tc>
        <w:tc>
          <w:tcPr>
            <w:tcW w:w="18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lang w:eastAsia="zh-TW"/>
              </w:rPr>
              <w:t>郴州市人民政府</w:t>
            </w:r>
            <w:r>
              <w:rPr>
                <w:rFonts w:hAnsi="宋体"/>
                <w:kern w:val="0"/>
                <w:szCs w:val="21"/>
              </w:rPr>
              <w:t>、</w:t>
            </w:r>
            <w:r>
              <w:rPr>
                <w:rFonts w:hAnsi="宋体"/>
                <w:kern w:val="0"/>
                <w:szCs w:val="21"/>
                <w:lang w:eastAsia="zh-TW"/>
              </w:rPr>
              <w:t>省商务厅</w:t>
            </w:r>
            <w:r>
              <w:rPr>
                <w:rFonts w:hAnsi="宋体"/>
                <w:kern w:val="0"/>
                <w:szCs w:val="21"/>
              </w:rPr>
              <w:t>、</w:t>
            </w:r>
            <w:r>
              <w:rPr>
                <w:rFonts w:hAnsi="宋体"/>
                <w:kern w:val="0"/>
                <w:szCs w:val="21"/>
                <w:lang w:eastAsia="zh-TW"/>
              </w:rPr>
              <w:t>省税务局</w:t>
            </w:r>
            <w:r>
              <w:rPr>
                <w:rFonts w:hAnsi="宋体"/>
                <w:kern w:val="0"/>
                <w:szCs w:val="21"/>
              </w:rPr>
              <w:t>、</w:t>
            </w:r>
            <w:r>
              <w:rPr>
                <w:rFonts w:hAnsi="宋体"/>
                <w:kern w:val="0"/>
                <w:szCs w:val="21"/>
                <w:lang w:eastAsia="zh-TW"/>
              </w:rPr>
              <w:t>国家外汇管理局湖南省分局</w:t>
            </w:r>
            <w:r>
              <w:rPr>
                <w:rFonts w:hAnsi="宋体"/>
                <w:kern w:val="0"/>
                <w:szCs w:val="21"/>
              </w:rPr>
              <w:t>、</w:t>
            </w:r>
            <w:r>
              <w:rPr>
                <w:rFonts w:hAnsi="宋体"/>
                <w:kern w:val="0"/>
                <w:szCs w:val="21"/>
                <w:lang w:eastAsia="zh-TW"/>
              </w:rPr>
              <w:t>长沙海关</w:t>
            </w:r>
          </w:p>
        </w:tc>
      </w:tr>
      <w:tr>
        <w:tblPrEx>
          <w:tblCellMar>
            <w:top w:w="0" w:type="dxa"/>
            <w:left w:w="108" w:type="dxa"/>
            <w:bottom w:w="0" w:type="dxa"/>
            <w:right w:w="108" w:type="dxa"/>
          </w:tblCellMar>
        </w:tblPrEx>
        <w:trPr>
          <w:trHeight w:val="1412" w:hRule="atLeast"/>
          <w:tblHeader/>
          <w:jc w:val="center"/>
        </w:trPr>
        <w:tc>
          <w:tcPr>
            <w:tcW w:w="884" w:type="dxa"/>
            <w:vMerge w:val="restart"/>
            <w:tcBorders>
              <w:top w:val="single" w:color="auto" w:sz="4" w:space="0"/>
              <w:left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p>
        </w:tc>
        <w:tc>
          <w:tcPr>
            <w:tcW w:w="1244" w:type="dxa"/>
            <w:vMerge w:val="restart"/>
            <w:tcBorders>
              <w:top w:val="single" w:color="auto" w:sz="4" w:space="0"/>
              <w:left w:val="nil"/>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p>
        </w:tc>
        <w:tc>
          <w:tcPr>
            <w:tcW w:w="519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13. </w:t>
            </w:r>
            <w:r>
              <w:rPr>
                <w:rFonts w:hAnsi="宋体"/>
                <w:kern w:val="0"/>
                <w:szCs w:val="21"/>
              </w:rPr>
              <w:t>发</w:t>
            </w:r>
            <w:r>
              <w:rPr>
                <w:rFonts w:ascii="宋体" w:hAnsi="宋体"/>
                <w:kern w:val="0"/>
                <w:szCs w:val="21"/>
              </w:rPr>
              <w:t>展“多式联运”，建立“内陆+港海运口岸”国</w:t>
            </w:r>
            <w:r>
              <w:rPr>
                <w:rFonts w:hAnsi="宋体"/>
                <w:kern w:val="0"/>
                <w:szCs w:val="21"/>
              </w:rPr>
              <w:t>际物流货运通道，形成流程规范的跨境电商智能物流体系。</w:t>
            </w:r>
          </w:p>
        </w:tc>
        <w:tc>
          <w:tcPr>
            <w:tcW w:w="18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省商务厅（省政府口岸办）、省发展改革委、省交通运输厅、省邮政管理局、</w:t>
            </w:r>
            <w:r>
              <w:rPr>
                <w:rFonts w:hAnsi="宋体"/>
                <w:kern w:val="0"/>
                <w:szCs w:val="21"/>
                <w:lang w:eastAsia="zh-TW"/>
              </w:rPr>
              <w:t>郴州市人民政府</w:t>
            </w:r>
          </w:p>
        </w:tc>
      </w:tr>
      <w:tr>
        <w:tblPrEx>
          <w:tblCellMar>
            <w:top w:w="0" w:type="dxa"/>
            <w:left w:w="108" w:type="dxa"/>
            <w:bottom w:w="0" w:type="dxa"/>
            <w:right w:w="108" w:type="dxa"/>
          </w:tblCellMar>
        </w:tblPrEx>
        <w:trPr>
          <w:trHeight w:val="1418" w:hRule="atLeast"/>
          <w:tblHeader/>
          <w:jc w:val="center"/>
        </w:trPr>
        <w:tc>
          <w:tcPr>
            <w:tcW w:w="884" w:type="dxa"/>
            <w:vMerge w:val="continue"/>
            <w:tcBorders>
              <w:left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p>
        </w:tc>
        <w:tc>
          <w:tcPr>
            <w:tcW w:w="1244" w:type="dxa"/>
            <w:vMerge w:val="continue"/>
            <w:tcBorders>
              <w:left w:val="nil"/>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lang w:eastAsia="zh-TW"/>
              </w:rPr>
              <w:t>1</w:t>
            </w:r>
            <w:r>
              <w:rPr>
                <w:kern w:val="0"/>
                <w:szCs w:val="21"/>
              </w:rPr>
              <w:t>4.</w:t>
            </w:r>
            <w:r>
              <w:rPr>
                <w:szCs w:val="21"/>
              </w:rPr>
              <w:t xml:space="preserve"> </w:t>
            </w:r>
            <w:r>
              <w:rPr>
                <w:rFonts w:hAnsi="宋体"/>
                <w:kern w:val="0"/>
                <w:szCs w:val="21"/>
              </w:rPr>
              <w:t>建设金融服务体系。</w:t>
            </w:r>
            <w:r>
              <w:rPr>
                <w:rFonts w:hAnsi="宋体"/>
                <w:kern w:val="0"/>
                <w:szCs w:val="21"/>
                <w:lang w:eastAsia="zh-TW"/>
              </w:rPr>
              <w:t>鼓励金融机构与跨境电商企业开展合作，建立多元化、多渠道的投融资渠道</w:t>
            </w:r>
            <w:r>
              <w:rPr>
                <w:rFonts w:hint="eastAsia" w:hAnsi="宋体"/>
                <w:kern w:val="0"/>
                <w:szCs w:val="21"/>
              </w:rPr>
              <w:t>，</w:t>
            </w:r>
            <w:r>
              <w:rPr>
                <w:rFonts w:hAnsi="宋体"/>
                <w:kern w:val="0"/>
                <w:szCs w:val="21"/>
                <w:lang w:eastAsia="zh-TW"/>
              </w:rPr>
              <w:t>对具有真实交易背景的跨境电商交易提供支付结算、信用保险、融资、担保等风险可控的在线金融服务。鼓励跨境电商活动使用人民币计价结</w:t>
            </w:r>
            <w:r>
              <w:rPr>
                <w:rFonts w:hint="eastAsia" w:hAnsi="宋体"/>
                <w:kern w:val="0"/>
                <w:szCs w:val="21"/>
              </w:rPr>
              <w:t>算</w:t>
            </w:r>
            <w:r>
              <w:rPr>
                <w:rFonts w:hAnsi="宋体"/>
                <w:kern w:val="0"/>
                <w:szCs w:val="21"/>
              </w:rPr>
              <w:t>。</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人民银行长沙中心支行、省地方金融监管局、</w:t>
            </w:r>
            <w:r>
              <w:rPr>
                <w:rFonts w:hAnsi="宋体"/>
                <w:kern w:val="0"/>
                <w:szCs w:val="21"/>
                <w:lang w:eastAsia="zh-TW"/>
              </w:rPr>
              <w:t>湖南</w:t>
            </w:r>
            <w:r>
              <w:rPr>
                <w:rFonts w:hAnsi="宋体"/>
                <w:kern w:val="0"/>
                <w:szCs w:val="21"/>
              </w:rPr>
              <w:t>银</w:t>
            </w:r>
            <w:r>
              <w:rPr>
                <w:rFonts w:hAnsi="宋体"/>
                <w:kern w:val="0"/>
                <w:szCs w:val="21"/>
                <w:lang w:eastAsia="zh-TW"/>
              </w:rPr>
              <w:t>保监局</w:t>
            </w:r>
          </w:p>
        </w:tc>
      </w:tr>
      <w:tr>
        <w:tblPrEx>
          <w:tblCellMar>
            <w:top w:w="0" w:type="dxa"/>
            <w:left w:w="108" w:type="dxa"/>
            <w:bottom w:w="0" w:type="dxa"/>
            <w:right w:w="108" w:type="dxa"/>
          </w:tblCellMar>
        </w:tblPrEx>
        <w:trPr>
          <w:trHeight w:val="701" w:hRule="atLeast"/>
          <w:tblHeader/>
          <w:jc w:val="center"/>
        </w:trPr>
        <w:tc>
          <w:tcPr>
            <w:tcW w:w="884" w:type="dxa"/>
            <w:vMerge w:val="continue"/>
            <w:tcBorders>
              <w:left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p>
        </w:tc>
        <w:tc>
          <w:tcPr>
            <w:tcW w:w="1244" w:type="dxa"/>
            <w:vMerge w:val="continue"/>
            <w:tcBorders>
              <w:left w:val="nil"/>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lang w:eastAsia="zh-TW"/>
              </w:rPr>
              <w:t>1</w:t>
            </w:r>
            <w:r>
              <w:rPr>
                <w:kern w:val="0"/>
                <w:szCs w:val="21"/>
              </w:rPr>
              <w:t xml:space="preserve">5. </w:t>
            </w:r>
            <w:r>
              <w:rPr>
                <w:rFonts w:hAnsi="宋体"/>
                <w:kern w:val="0"/>
                <w:szCs w:val="21"/>
              </w:rPr>
              <w:t>建设信用管理体系。</w:t>
            </w:r>
            <w:r>
              <w:rPr>
                <w:rFonts w:hAnsi="宋体"/>
                <w:kern w:val="0"/>
                <w:szCs w:val="21"/>
                <w:lang w:eastAsia="zh-TW"/>
              </w:rPr>
              <w:t>建立跨境电商信用数据库和信用评价、信用监管、信用负面清单系统</w:t>
            </w:r>
            <w:r>
              <w:rPr>
                <w:rFonts w:hAnsi="宋体"/>
                <w:kern w:val="0"/>
                <w:szCs w:val="21"/>
              </w:rPr>
              <w:t>。</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lang w:eastAsia="zh-TW"/>
              </w:rPr>
              <w:t>省商务厅</w:t>
            </w:r>
            <w:r>
              <w:rPr>
                <w:rFonts w:hAnsi="宋体"/>
                <w:kern w:val="0"/>
                <w:szCs w:val="21"/>
              </w:rPr>
              <w:t>、</w:t>
            </w:r>
            <w:r>
              <w:rPr>
                <w:rFonts w:hAnsi="宋体"/>
                <w:kern w:val="0"/>
                <w:szCs w:val="21"/>
                <w:lang w:eastAsia="zh-TW"/>
              </w:rPr>
              <w:t>郴州市人民政府</w:t>
            </w:r>
          </w:p>
        </w:tc>
      </w:tr>
      <w:tr>
        <w:tblPrEx>
          <w:tblCellMar>
            <w:top w:w="0" w:type="dxa"/>
            <w:left w:w="108" w:type="dxa"/>
            <w:bottom w:w="0" w:type="dxa"/>
            <w:right w:w="108" w:type="dxa"/>
          </w:tblCellMar>
        </w:tblPrEx>
        <w:trPr>
          <w:trHeight w:val="984" w:hRule="atLeast"/>
          <w:tblHeader/>
          <w:jc w:val="center"/>
        </w:trPr>
        <w:tc>
          <w:tcPr>
            <w:tcW w:w="884" w:type="dxa"/>
            <w:vMerge w:val="continue"/>
            <w:tcBorders>
              <w:left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p>
        </w:tc>
        <w:tc>
          <w:tcPr>
            <w:tcW w:w="1244" w:type="dxa"/>
            <w:vMerge w:val="continue"/>
            <w:tcBorders>
              <w:left w:val="nil"/>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16. </w:t>
            </w:r>
            <w:r>
              <w:rPr>
                <w:rFonts w:hAnsi="宋体"/>
                <w:kern w:val="0"/>
                <w:szCs w:val="21"/>
              </w:rPr>
              <w:t>建设统计监测体系。建立跨境电商大数据中心，完善统计方法。建立健全跨境电商统计管理体系，发布郴州跨境电子商务发展指数。</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lang w:eastAsia="zh-TW"/>
              </w:rPr>
              <w:t>省商务厅</w:t>
            </w:r>
            <w:r>
              <w:rPr>
                <w:rFonts w:hAnsi="宋体"/>
                <w:kern w:val="0"/>
                <w:szCs w:val="21"/>
              </w:rPr>
              <w:t>、</w:t>
            </w:r>
            <w:r>
              <w:rPr>
                <w:rFonts w:hAnsi="宋体"/>
                <w:kern w:val="0"/>
                <w:szCs w:val="21"/>
                <w:lang w:eastAsia="zh-TW"/>
              </w:rPr>
              <w:t>长沙海关</w:t>
            </w:r>
            <w:r>
              <w:rPr>
                <w:rFonts w:hAnsi="宋体"/>
                <w:kern w:val="0"/>
                <w:szCs w:val="21"/>
              </w:rPr>
              <w:t>、</w:t>
            </w:r>
            <w:r>
              <w:rPr>
                <w:rFonts w:hAnsi="宋体"/>
                <w:kern w:val="0"/>
                <w:szCs w:val="21"/>
                <w:lang w:eastAsia="zh-TW"/>
              </w:rPr>
              <w:t>省统计局</w:t>
            </w:r>
            <w:r>
              <w:rPr>
                <w:rFonts w:hAnsi="宋体"/>
                <w:kern w:val="0"/>
                <w:szCs w:val="21"/>
              </w:rPr>
              <w:t>、</w:t>
            </w:r>
            <w:r>
              <w:rPr>
                <w:rFonts w:hAnsi="宋体"/>
                <w:kern w:val="0"/>
                <w:szCs w:val="21"/>
                <w:lang w:eastAsia="zh-TW"/>
              </w:rPr>
              <w:t>郴州市人民政府</w:t>
            </w:r>
          </w:p>
        </w:tc>
      </w:tr>
      <w:tr>
        <w:tblPrEx>
          <w:tblCellMar>
            <w:top w:w="0" w:type="dxa"/>
            <w:left w:w="108" w:type="dxa"/>
            <w:bottom w:w="0" w:type="dxa"/>
            <w:right w:w="108" w:type="dxa"/>
          </w:tblCellMar>
        </w:tblPrEx>
        <w:trPr>
          <w:trHeight w:val="984" w:hRule="atLeast"/>
          <w:tblHeader/>
          <w:jc w:val="center"/>
        </w:trPr>
        <w:tc>
          <w:tcPr>
            <w:tcW w:w="884" w:type="dxa"/>
            <w:vMerge w:val="continue"/>
            <w:tcBorders>
              <w:left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p>
        </w:tc>
        <w:tc>
          <w:tcPr>
            <w:tcW w:w="1244" w:type="dxa"/>
            <w:vMerge w:val="continue"/>
            <w:tcBorders>
              <w:left w:val="nil"/>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lang w:eastAsia="zh-TW"/>
              </w:rPr>
              <w:t>1</w:t>
            </w:r>
            <w:r>
              <w:rPr>
                <w:kern w:val="0"/>
                <w:szCs w:val="21"/>
              </w:rPr>
              <w:t xml:space="preserve">7. </w:t>
            </w:r>
            <w:r>
              <w:rPr>
                <w:rFonts w:hAnsi="宋体"/>
                <w:kern w:val="0"/>
                <w:szCs w:val="21"/>
              </w:rPr>
              <w:t>建设风险防控体系。</w:t>
            </w:r>
            <w:r>
              <w:rPr>
                <w:rFonts w:hAnsi="宋体"/>
                <w:kern w:val="0"/>
                <w:szCs w:val="21"/>
                <w:lang w:eastAsia="zh-TW"/>
              </w:rPr>
              <w:t>建立跨境电商业务全流程的风险管理和防控体系，发挥外汇、海关、税务等部门的监管职责和跨境电商平台的主体责任，实现</w:t>
            </w:r>
            <w:r>
              <w:rPr>
                <w:rFonts w:ascii="宋体" w:hAnsi="宋体"/>
                <w:kern w:val="0"/>
                <w:szCs w:val="21"/>
                <w:lang w:eastAsia="zh-TW"/>
              </w:rPr>
              <w:t>跨境电商“安全规范、风险可控”。</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省商务厅、长沙海关、国家外汇管理局湖南省分局、省税务局</w:t>
            </w:r>
          </w:p>
        </w:tc>
      </w:tr>
      <w:tr>
        <w:tblPrEx>
          <w:tblCellMar>
            <w:top w:w="0" w:type="dxa"/>
            <w:left w:w="108" w:type="dxa"/>
            <w:bottom w:w="0" w:type="dxa"/>
            <w:right w:w="108" w:type="dxa"/>
          </w:tblCellMar>
        </w:tblPrEx>
        <w:trPr>
          <w:trHeight w:val="1124" w:hRule="atLeast"/>
          <w:tblHeader/>
          <w:jc w:val="center"/>
        </w:trPr>
        <w:tc>
          <w:tcPr>
            <w:tcW w:w="884" w:type="dxa"/>
            <w:vMerge w:val="continue"/>
            <w:tcBorders>
              <w:left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p>
        </w:tc>
        <w:tc>
          <w:tcPr>
            <w:tcW w:w="1244" w:type="dxa"/>
            <w:vMerge w:val="continue"/>
            <w:tcBorders>
              <w:left w:val="nil"/>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18. </w:t>
            </w:r>
            <w:r>
              <w:rPr>
                <w:rFonts w:hAnsi="宋体"/>
                <w:kern w:val="0"/>
                <w:szCs w:val="21"/>
              </w:rPr>
              <w:t>建设品牌营销体系。建立跨境电商出口品牌培育、发展和保护机制，鼓励企业创立自主品牌。建立线上线下联动的产销对接机制，推动形成辐射湖南全省及周边地区，对</w:t>
            </w:r>
            <w:r>
              <w:rPr>
                <w:rFonts w:ascii="宋体" w:hAnsi="宋体"/>
                <w:kern w:val="0"/>
                <w:szCs w:val="21"/>
              </w:rPr>
              <w:t>接“一带一路”、</w:t>
            </w:r>
            <w:r>
              <w:rPr>
                <w:rFonts w:hAnsi="宋体"/>
                <w:kern w:val="0"/>
                <w:szCs w:val="21"/>
              </w:rPr>
              <w:t>面向全球的跨境电商品牌营销网络。</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tc>
      </w:tr>
      <w:tr>
        <w:tblPrEx>
          <w:tblCellMar>
            <w:top w:w="0" w:type="dxa"/>
            <w:left w:w="108" w:type="dxa"/>
            <w:bottom w:w="0" w:type="dxa"/>
            <w:right w:w="108" w:type="dxa"/>
          </w:tblCellMar>
        </w:tblPrEx>
        <w:trPr>
          <w:trHeight w:val="842" w:hRule="atLeast"/>
          <w:tblHeader/>
          <w:jc w:val="center"/>
        </w:trPr>
        <w:tc>
          <w:tcPr>
            <w:tcW w:w="884" w:type="dxa"/>
            <w:vMerge w:val="continue"/>
            <w:tcBorders>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p>
        </w:tc>
        <w:tc>
          <w:tcPr>
            <w:tcW w:w="1244" w:type="dxa"/>
            <w:vMerge w:val="continue"/>
            <w:tcBorders>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color w:val="FF0000"/>
                <w:kern w:val="0"/>
                <w:szCs w:val="21"/>
              </w:rPr>
            </w:pPr>
            <w:r>
              <w:rPr>
                <w:kern w:val="0"/>
                <w:szCs w:val="21"/>
              </w:rPr>
              <w:t xml:space="preserve">19. </w:t>
            </w:r>
            <w:r>
              <w:rPr>
                <w:rFonts w:hAnsi="宋体"/>
                <w:kern w:val="0"/>
                <w:szCs w:val="21"/>
              </w:rPr>
              <w:t>建设人才服务体系。积极开展与跨境电商有关的实习、培训和科研活动。引进和培育高端领军人才，汇聚人才资源。</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省教育厅、省人力资源社会保障厅</w:t>
            </w:r>
          </w:p>
        </w:tc>
      </w:tr>
      <w:tr>
        <w:tblPrEx>
          <w:tblCellMar>
            <w:top w:w="0" w:type="dxa"/>
            <w:left w:w="108" w:type="dxa"/>
            <w:bottom w:w="0" w:type="dxa"/>
            <w:right w:w="108" w:type="dxa"/>
          </w:tblCellMar>
        </w:tblPrEx>
        <w:trPr>
          <w:trHeight w:val="845" w:hRule="atLeast"/>
          <w:tblHeader/>
          <w:jc w:val="center"/>
        </w:trPr>
        <w:tc>
          <w:tcPr>
            <w:tcW w:w="884" w:type="dxa"/>
            <w:vMerge w:val="restart"/>
            <w:tcBorders>
              <w:top w:val="single" w:color="auto" w:sz="4" w:space="0"/>
              <w:left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rFonts w:hint="eastAsia"/>
                <w:kern w:val="0"/>
                <w:szCs w:val="21"/>
              </w:rPr>
            </w:pPr>
            <w:r>
              <w:rPr>
                <w:rFonts w:hAnsi="宋体"/>
                <w:kern w:val="0"/>
                <w:szCs w:val="21"/>
              </w:rPr>
              <w:t>五</w:t>
            </w:r>
          </w:p>
        </w:tc>
        <w:tc>
          <w:tcPr>
            <w:tcW w:w="1244" w:type="dxa"/>
            <w:vMerge w:val="restart"/>
            <w:tcBorders>
              <w:top w:val="single" w:color="auto" w:sz="4" w:space="0"/>
              <w:left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rFonts w:hint="eastAsia"/>
                <w:kern w:val="0"/>
                <w:szCs w:val="21"/>
              </w:rPr>
            </w:pPr>
            <w:r>
              <w:rPr>
                <w:rFonts w:hAnsi="宋体"/>
                <w:kern w:val="0"/>
                <w:szCs w:val="21"/>
              </w:rPr>
              <w:t>创新发展模式</w:t>
            </w:r>
          </w:p>
        </w:tc>
        <w:tc>
          <w:tcPr>
            <w:tcW w:w="519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20. </w:t>
            </w:r>
            <w:r>
              <w:rPr>
                <w:rFonts w:hAnsi="宋体"/>
                <w:kern w:val="0"/>
                <w:szCs w:val="21"/>
              </w:rPr>
              <w:t>拓</w:t>
            </w:r>
            <w:r>
              <w:rPr>
                <w:rFonts w:ascii="宋体" w:hAnsi="宋体"/>
                <w:kern w:val="0"/>
                <w:szCs w:val="21"/>
              </w:rPr>
              <w:t>展“跨境电商+优势产业”出口渠道</w:t>
            </w:r>
            <w:r>
              <w:rPr>
                <w:rFonts w:hAnsi="宋体"/>
                <w:kern w:val="0"/>
                <w:szCs w:val="21"/>
              </w:rPr>
              <w:t>，支持工业企业开展跨境电</w:t>
            </w:r>
            <w:r>
              <w:rPr>
                <w:rFonts w:hint="eastAsia" w:hAnsi="宋体"/>
                <w:kern w:val="0"/>
                <w:szCs w:val="21"/>
              </w:rPr>
              <w:t>商</w:t>
            </w:r>
            <w:r>
              <w:rPr>
                <w:rFonts w:hAnsi="宋体"/>
                <w:kern w:val="0"/>
                <w:szCs w:val="21"/>
              </w:rPr>
              <w:t>业务，支持优势产业与跨境电商平台、企业对接。</w:t>
            </w:r>
          </w:p>
        </w:tc>
        <w:tc>
          <w:tcPr>
            <w:tcW w:w="18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郴州市人民政府、长沙海关</w:t>
            </w:r>
          </w:p>
        </w:tc>
      </w:tr>
      <w:tr>
        <w:tblPrEx>
          <w:tblCellMar>
            <w:top w:w="0" w:type="dxa"/>
            <w:left w:w="108" w:type="dxa"/>
            <w:bottom w:w="0" w:type="dxa"/>
            <w:right w:w="108" w:type="dxa"/>
          </w:tblCellMar>
        </w:tblPrEx>
        <w:trPr>
          <w:trHeight w:val="825" w:hRule="atLeast"/>
          <w:tblHeader/>
          <w:jc w:val="center"/>
        </w:trPr>
        <w:tc>
          <w:tcPr>
            <w:tcW w:w="884" w:type="dxa"/>
            <w:vMerge w:val="continue"/>
            <w:tcBorders>
              <w:left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p>
        </w:tc>
        <w:tc>
          <w:tcPr>
            <w:tcW w:w="1244" w:type="dxa"/>
            <w:vMerge w:val="continue"/>
            <w:tcBorders>
              <w:left w:val="single" w:color="auto" w:sz="4" w:space="0"/>
              <w:right w:val="single" w:color="auto" w:sz="4" w:space="0"/>
            </w:tcBorders>
            <w:shd w:val="clear" w:color="auto" w:fill="FFFFFF"/>
            <w:noWrap w:val="0"/>
            <w:vAlign w:val="center"/>
          </w:tcPr>
          <w:p>
            <w:pPr>
              <w:spacing w:line="280" w:lineRule="exact"/>
              <w:ind w:left="-63" w:leftChars="-30" w:right="-63" w:rightChars="-30"/>
              <w:jc w:val="left"/>
              <w:rPr>
                <w:rFonts w:hint="eastAsia"/>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21. </w:t>
            </w:r>
            <w:r>
              <w:rPr>
                <w:rFonts w:ascii="宋体" w:hAnsi="宋体"/>
                <w:kern w:val="0"/>
                <w:szCs w:val="21"/>
              </w:rPr>
              <w:t>探索“跨境电商+高端消费品”进口模式</w:t>
            </w:r>
            <w:r>
              <w:rPr>
                <w:rFonts w:hAnsi="宋体"/>
                <w:kern w:val="0"/>
                <w:szCs w:val="21"/>
              </w:rPr>
              <w:t>。推进</w:t>
            </w:r>
            <w:r>
              <w:rPr>
                <w:rFonts w:hint="eastAsia" w:hAnsi="宋体"/>
                <w:kern w:val="0"/>
                <w:szCs w:val="21"/>
              </w:rPr>
              <w:t>“</w:t>
            </w:r>
            <w:r>
              <w:rPr>
                <w:kern w:val="0"/>
                <w:szCs w:val="21"/>
              </w:rPr>
              <w:t>1210</w:t>
            </w:r>
            <w:r>
              <w:rPr>
                <w:rFonts w:hint="eastAsia"/>
                <w:kern w:val="0"/>
                <w:szCs w:val="21"/>
              </w:rPr>
              <w:t>”</w:t>
            </w:r>
            <w:r>
              <w:rPr>
                <w:rFonts w:hAnsi="宋体"/>
                <w:kern w:val="0"/>
                <w:szCs w:val="21"/>
              </w:rPr>
              <w:t>进口、进出商品展示展销和线下</w:t>
            </w:r>
            <w:r>
              <w:rPr>
                <w:kern w:val="0"/>
                <w:szCs w:val="21"/>
              </w:rPr>
              <w:t>O2O</w:t>
            </w:r>
            <w:r>
              <w:rPr>
                <w:rFonts w:hAnsi="宋体"/>
                <w:kern w:val="0"/>
                <w:szCs w:val="21"/>
              </w:rPr>
              <w:t>业务，支持企业利用全球跨境电商供应链优势，扩大高端消费品进口。</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长沙海关、郴州市人民政府</w:t>
            </w:r>
          </w:p>
        </w:tc>
      </w:tr>
      <w:tr>
        <w:tblPrEx>
          <w:tblCellMar>
            <w:top w:w="0" w:type="dxa"/>
            <w:left w:w="108" w:type="dxa"/>
            <w:bottom w:w="0" w:type="dxa"/>
            <w:right w:w="108" w:type="dxa"/>
          </w:tblCellMar>
        </w:tblPrEx>
        <w:trPr>
          <w:trHeight w:val="2684" w:hRule="atLeast"/>
          <w:tblHeader/>
          <w:jc w:val="center"/>
        </w:trPr>
        <w:tc>
          <w:tcPr>
            <w:tcW w:w="884" w:type="dxa"/>
            <w:vMerge w:val="continue"/>
            <w:tcBorders>
              <w:left w:val="single" w:color="auto" w:sz="4" w:space="0"/>
              <w:bottom w:val="single" w:color="auto" w:sz="4" w:space="0"/>
              <w:right w:val="single" w:color="auto" w:sz="4" w:space="0"/>
            </w:tcBorders>
            <w:shd w:val="clear" w:color="auto" w:fill="FFFFFF"/>
            <w:noWrap w:val="0"/>
            <w:vAlign w:val="center"/>
          </w:tcPr>
          <w:p>
            <w:pPr>
              <w:spacing w:line="280" w:lineRule="exact"/>
              <w:ind w:left="-63" w:leftChars="-30" w:right="-63" w:rightChars="-30"/>
              <w:jc w:val="center"/>
              <w:rPr>
                <w:rFonts w:hint="eastAsia"/>
                <w:kern w:val="0"/>
                <w:szCs w:val="21"/>
              </w:rPr>
            </w:pPr>
          </w:p>
        </w:tc>
        <w:tc>
          <w:tcPr>
            <w:tcW w:w="1244" w:type="dxa"/>
            <w:vMerge w:val="continue"/>
            <w:tcBorders>
              <w:left w:val="single" w:color="auto" w:sz="4" w:space="0"/>
              <w:bottom w:val="single" w:color="auto" w:sz="4" w:space="0"/>
              <w:right w:val="single" w:color="auto" w:sz="4" w:space="0"/>
            </w:tcBorders>
            <w:shd w:val="clear" w:color="auto" w:fill="FFFFFF"/>
            <w:noWrap w:val="0"/>
            <w:vAlign w:val="center"/>
          </w:tcPr>
          <w:p>
            <w:pPr>
              <w:spacing w:line="280" w:lineRule="exact"/>
              <w:ind w:left="-63" w:leftChars="-30" w:right="-63" w:rightChars="-30"/>
              <w:jc w:val="left"/>
              <w:rPr>
                <w:kern w:val="0"/>
                <w:szCs w:val="21"/>
              </w:rPr>
            </w:pPr>
          </w:p>
        </w:tc>
        <w:tc>
          <w:tcPr>
            <w:tcW w:w="519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22. </w:t>
            </w:r>
            <w:r>
              <w:rPr>
                <w:rFonts w:hAnsi="宋体"/>
                <w:kern w:val="0"/>
                <w:szCs w:val="21"/>
              </w:rPr>
              <w:t>开展</w:t>
            </w:r>
            <w:r>
              <w:rPr>
                <w:rFonts w:ascii="宋体" w:hAnsi="宋体"/>
                <w:kern w:val="0"/>
                <w:szCs w:val="21"/>
              </w:rPr>
              <w:t>“跨境电商+精准扶贫”推动农产品上行。支持郴州农业特色产业（汝城县辣椒，临武县临武鸭，桂东县玲珑茶、黄桃，永兴县冰糖柑，宜章县脐橙、香芋，北湖区蘑菇、豆制品、裕湘面业，资兴市蜜桔、狗脑贡茶、东江鱼、“湘江源”蔬菜、“湘赣红”区域公用品牌、安仁县枳壳等“湘九味”道地药材等）利用跨境电商开展出口贸易，建设农产品线上交易平台和线下集配中心，进一步加强服务粤港澳大湾区的农产品上行能力。</w:t>
            </w:r>
          </w:p>
        </w:tc>
        <w:tc>
          <w:tcPr>
            <w:tcW w:w="18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省商务厅、省农业农村厅、省市场监管局</w:t>
            </w:r>
          </w:p>
        </w:tc>
      </w:tr>
      <w:tr>
        <w:tblPrEx>
          <w:tblCellMar>
            <w:top w:w="0" w:type="dxa"/>
            <w:left w:w="108" w:type="dxa"/>
            <w:bottom w:w="0" w:type="dxa"/>
            <w:right w:w="108" w:type="dxa"/>
          </w:tblCellMar>
        </w:tblPrEx>
        <w:trPr>
          <w:trHeight w:val="1837" w:hRule="atLeast"/>
          <w:tblHeader/>
          <w:jc w:val="center"/>
        </w:trPr>
        <w:tc>
          <w:tcPr>
            <w:tcW w:w="884" w:type="dxa"/>
            <w:vMerge w:val="restart"/>
            <w:tcBorders>
              <w:top w:val="single" w:color="auto" w:sz="4" w:space="0"/>
              <w:left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p>
        </w:tc>
        <w:tc>
          <w:tcPr>
            <w:tcW w:w="1244" w:type="dxa"/>
            <w:vMerge w:val="restart"/>
            <w:tcBorders>
              <w:top w:val="single" w:color="auto" w:sz="4" w:space="0"/>
              <w:left w:val="single" w:color="auto" w:sz="4" w:space="0"/>
              <w:right w:val="single" w:color="auto" w:sz="4" w:space="0"/>
            </w:tcBorders>
            <w:shd w:val="clear" w:color="auto" w:fill="FFFFFF"/>
            <w:noWrap w:val="0"/>
            <w:vAlign w:val="center"/>
          </w:tcPr>
          <w:p>
            <w:pPr>
              <w:spacing w:line="280" w:lineRule="exact"/>
              <w:ind w:left="-63" w:leftChars="-30" w:right="-63" w:rightChars="-30"/>
              <w:jc w:val="left"/>
              <w:rPr>
                <w:kern w:val="0"/>
                <w:szCs w:val="21"/>
              </w:rPr>
            </w:pPr>
          </w:p>
        </w:tc>
        <w:tc>
          <w:tcPr>
            <w:tcW w:w="519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23. </w:t>
            </w:r>
            <w:r>
              <w:rPr>
                <w:rFonts w:hAnsi="宋体"/>
                <w:kern w:val="0"/>
                <w:szCs w:val="21"/>
              </w:rPr>
              <w:t>打造</w:t>
            </w:r>
            <w:r>
              <w:rPr>
                <w:rFonts w:ascii="宋体" w:hAnsi="宋体"/>
                <w:kern w:val="0"/>
                <w:szCs w:val="21"/>
              </w:rPr>
              <w:t>“跨境电商+批发市场”新生态。依托郴州综试区，打造集聚新零售产业、跨境电商展示、智能仓储物流配送、跨境电商产品供应链基地、电商企业孵化为一体的跨境电商示范园区。支持市场主体多渠道、多方式开拓国际市场，形成批发市场与跨境电商融合发展的外贸新生态。</w:t>
            </w:r>
          </w:p>
        </w:tc>
        <w:tc>
          <w:tcPr>
            <w:tcW w:w="18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tc>
      </w:tr>
      <w:tr>
        <w:tblPrEx>
          <w:tblCellMar>
            <w:top w:w="0" w:type="dxa"/>
            <w:left w:w="108" w:type="dxa"/>
            <w:bottom w:w="0" w:type="dxa"/>
            <w:right w:w="108" w:type="dxa"/>
          </w:tblCellMar>
        </w:tblPrEx>
        <w:trPr>
          <w:trHeight w:val="1270" w:hRule="atLeast"/>
          <w:tblHeader/>
          <w:jc w:val="center"/>
        </w:trPr>
        <w:tc>
          <w:tcPr>
            <w:tcW w:w="884" w:type="dxa"/>
            <w:vMerge w:val="continue"/>
            <w:tcBorders>
              <w:left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p>
        </w:tc>
        <w:tc>
          <w:tcPr>
            <w:tcW w:w="1244" w:type="dxa"/>
            <w:vMerge w:val="continue"/>
            <w:tcBorders>
              <w:left w:val="single" w:color="auto" w:sz="4" w:space="0"/>
              <w:right w:val="single" w:color="auto" w:sz="4" w:space="0"/>
            </w:tcBorders>
            <w:shd w:val="clear" w:color="auto" w:fill="FFFFFF"/>
            <w:noWrap w:val="0"/>
            <w:vAlign w:val="center"/>
          </w:tcPr>
          <w:p>
            <w:pPr>
              <w:spacing w:line="280" w:lineRule="exact"/>
              <w:ind w:left="-63" w:leftChars="-30" w:right="-63" w:rightChars="-30"/>
              <w:jc w:val="left"/>
              <w:rPr>
                <w:kern w:val="0"/>
                <w:szCs w:val="21"/>
              </w:rPr>
            </w:pPr>
          </w:p>
        </w:tc>
        <w:tc>
          <w:tcPr>
            <w:tcW w:w="519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24.</w:t>
            </w:r>
            <w:r>
              <w:rPr>
                <w:szCs w:val="21"/>
              </w:rPr>
              <w:t xml:space="preserve"> </w:t>
            </w:r>
            <w:r>
              <w:rPr>
                <w:rFonts w:hAnsi="宋体"/>
                <w:kern w:val="0"/>
                <w:szCs w:val="21"/>
              </w:rPr>
              <w:t>培</w:t>
            </w:r>
            <w:r>
              <w:rPr>
                <w:rFonts w:ascii="宋体" w:hAnsi="宋体"/>
                <w:kern w:val="0"/>
                <w:szCs w:val="21"/>
              </w:rPr>
              <w:t>育“跨境电商+大数据”新产业。依托东江湖大数据产业园，推动形成湖南省跨境电商大数据中心，争创国家跨境电商数据云灾备基地、华南跨境电商大数据应用和产业集聚区，实现跨境电商大数</w:t>
            </w:r>
            <w:r>
              <w:rPr>
                <w:rFonts w:hAnsi="宋体"/>
                <w:kern w:val="0"/>
                <w:szCs w:val="21"/>
              </w:rPr>
              <w:t>据产业的集聚。</w:t>
            </w:r>
          </w:p>
        </w:tc>
        <w:tc>
          <w:tcPr>
            <w:tcW w:w="18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tc>
      </w:tr>
      <w:tr>
        <w:tblPrEx>
          <w:tblCellMar>
            <w:top w:w="0" w:type="dxa"/>
            <w:left w:w="108" w:type="dxa"/>
            <w:bottom w:w="0" w:type="dxa"/>
            <w:right w:w="108" w:type="dxa"/>
          </w:tblCellMar>
        </w:tblPrEx>
        <w:trPr>
          <w:trHeight w:val="1277" w:hRule="atLeast"/>
          <w:tblHeader/>
          <w:jc w:val="center"/>
        </w:trPr>
        <w:tc>
          <w:tcPr>
            <w:tcW w:w="884" w:type="dxa"/>
            <w:vMerge w:val="continue"/>
            <w:tcBorders>
              <w:left w:val="single" w:color="auto" w:sz="4" w:space="0"/>
              <w:bottom w:val="single" w:color="auto" w:sz="4" w:space="0"/>
              <w:right w:val="single" w:color="auto" w:sz="4" w:space="0"/>
            </w:tcBorders>
            <w:shd w:val="clear" w:color="auto" w:fill="FFFFFF"/>
            <w:noWrap w:val="0"/>
            <w:vAlign w:val="center"/>
          </w:tcPr>
          <w:p>
            <w:pPr>
              <w:spacing w:line="280" w:lineRule="exact"/>
              <w:ind w:left="-63" w:leftChars="-30" w:right="-63" w:rightChars="-30"/>
              <w:jc w:val="center"/>
              <w:rPr>
                <w:kern w:val="0"/>
                <w:szCs w:val="21"/>
              </w:rPr>
            </w:pPr>
          </w:p>
        </w:tc>
        <w:tc>
          <w:tcPr>
            <w:tcW w:w="1244" w:type="dxa"/>
            <w:vMerge w:val="continue"/>
            <w:tcBorders>
              <w:left w:val="single" w:color="auto" w:sz="4" w:space="0"/>
              <w:bottom w:val="single" w:color="auto" w:sz="4" w:space="0"/>
              <w:right w:val="single" w:color="auto" w:sz="4" w:space="0"/>
            </w:tcBorders>
            <w:shd w:val="clear" w:color="auto" w:fill="FFFFFF"/>
            <w:noWrap w:val="0"/>
            <w:vAlign w:val="center"/>
          </w:tcPr>
          <w:p>
            <w:pPr>
              <w:spacing w:line="280" w:lineRule="exact"/>
              <w:ind w:left="-63" w:leftChars="-30" w:right="-63" w:rightChars="-30"/>
              <w:jc w:val="left"/>
              <w:rPr>
                <w:kern w:val="0"/>
                <w:szCs w:val="21"/>
              </w:rPr>
            </w:pP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25.</w:t>
            </w:r>
            <w:r>
              <w:rPr>
                <w:szCs w:val="21"/>
              </w:rPr>
              <w:t xml:space="preserve"> </w:t>
            </w:r>
            <w:r>
              <w:rPr>
                <w:rFonts w:hAnsi="宋体"/>
                <w:kern w:val="0"/>
                <w:szCs w:val="21"/>
              </w:rPr>
              <w:t>打</w:t>
            </w:r>
            <w:r>
              <w:rPr>
                <w:rFonts w:ascii="宋体" w:hAnsi="宋体"/>
                <w:kern w:val="0"/>
                <w:szCs w:val="21"/>
              </w:rPr>
              <w:t>造“跨境电商+文化旅游”新品牌。在郴州综合保税区进出口商品展示交易中心开展前店后仓的跨境电商“秒通关”业务，推行“跨境电商+文化旅游+旅游商品”试点，助推文化旅游产业</w:t>
            </w:r>
            <w:r>
              <w:rPr>
                <w:rFonts w:hAnsi="宋体"/>
                <w:kern w:val="0"/>
                <w:szCs w:val="21"/>
              </w:rPr>
              <w:t>与跨境电商产业协同发展。</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郴州市人民政府、省文化和旅游厅</w:t>
            </w:r>
          </w:p>
        </w:tc>
      </w:tr>
      <w:tr>
        <w:tblPrEx>
          <w:tblCellMar>
            <w:top w:w="0" w:type="dxa"/>
            <w:left w:w="108" w:type="dxa"/>
            <w:bottom w:w="0" w:type="dxa"/>
            <w:right w:w="108" w:type="dxa"/>
          </w:tblCellMar>
        </w:tblPrEx>
        <w:trPr>
          <w:trHeight w:val="1675" w:hRule="atLeast"/>
          <w:tblHeader/>
          <w:jc w:val="center"/>
        </w:trPr>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六</w:t>
            </w:r>
          </w:p>
        </w:tc>
        <w:tc>
          <w:tcPr>
            <w:tcW w:w="1244"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r>
              <w:rPr>
                <w:rFonts w:hAnsi="宋体"/>
                <w:kern w:val="0"/>
                <w:szCs w:val="21"/>
              </w:rPr>
              <w:t>优化跨境电商</w:t>
            </w:r>
            <w:r>
              <w:rPr>
                <w:kern w:val="0"/>
                <w:szCs w:val="21"/>
              </w:rPr>
              <w:t>B2B</w:t>
            </w:r>
            <w:r>
              <w:rPr>
                <w:rFonts w:hAnsi="宋体"/>
                <w:kern w:val="0"/>
                <w:szCs w:val="21"/>
              </w:rPr>
              <w:t>出口监管服务</w:t>
            </w: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26.</w:t>
            </w:r>
            <w:r>
              <w:rPr>
                <w:szCs w:val="21"/>
              </w:rPr>
              <w:t xml:space="preserve"> </w:t>
            </w:r>
            <w:r>
              <w:rPr>
                <w:rFonts w:hAnsi="宋体"/>
                <w:kern w:val="0"/>
                <w:szCs w:val="21"/>
              </w:rPr>
              <w:t>制定跨境电商</w:t>
            </w:r>
            <w:r>
              <w:rPr>
                <w:kern w:val="0"/>
                <w:szCs w:val="21"/>
              </w:rPr>
              <w:t>B2B</w:t>
            </w:r>
            <w:r>
              <w:rPr>
                <w:rFonts w:hAnsi="宋体"/>
                <w:kern w:val="0"/>
                <w:szCs w:val="21"/>
              </w:rPr>
              <w:t>出口业务技术标准、申报流程、监管标准和便利化举措，增加跨境电商</w:t>
            </w:r>
            <w:r>
              <w:rPr>
                <w:kern w:val="0"/>
                <w:szCs w:val="21"/>
              </w:rPr>
              <w:t>B2B</w:t>
            </w:r>
            <w:r>
              <w:rPr>
                <w:rFonts w:hAnsi="宋体"/>
                <w:kern w:val="0"/>
                <w:szCs w:val="21"/>
              </w:rPr>
              <w:t>出口模块，建立适应跨境电商</w:t>
            </w:r>
            <w:r>
              <w:rPr>
                <w:kern w:val="0"/>
                <w:szCs w:val="21"/>
              </w:rPr>
              <w:t>B2B</w:t>
            </w:r>
            <w:r>
              <w:rPr>
                <w:rFonts w:hAnsi="宋体"/>
                <w:kern w:val="0"/>
                <w:szCs w:val="21"/>
              </w:rPr>
              <w:t>出口的海关统计方法，实现跨境电商</w:t>
            </w:r>
            <w:r>
              <w:rPr>
                <w:kern w:val="0"/>
                <w:szCs w:val="21"/>
              </w:rPr>
              <w:t>B2B</w:t>
            </w:r>
            <w:r>
              <w:rPr>
                <w:rFonts w:hAnsi="宋体"/>
                <w:kern w:val="0"/>
                <w:szCs w:val="21"/>
              </w:rPr>
              <w:t>出口通关作业无纸化。建立符合条件的</w:t>
            </w:r>
            <w:r>
              <w:rPr>
                <w:kern w:val="0"/>
                <w:szCs w:val="21"/>
              </w:rPr>
              <w:t>B2B</w:t>
            </w:r>
            <w:r>
              <w:rPr>
                <w:rFonts w:hAnsi="宋体"/>
                <w:kern w:val="0"/>
                <w:szCs w:val="21"/>
              </w:rPr>
              <w:t>出口商品免征税复运进境操作流程，试行海关特殊监管区</w:t>
            </w:r>
            <w:r>
              <w:rPr>
                <w:rFonts w:ascii="宋体" w:hAnsi="宋体"/>
                <w:kern w:val="0"/>
                <w:szCs w:val="21"/>
              </w:rPr>
              <w:t>B2B出口“先出区后报关”模式。</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长沙海关、省商务厅、省市场监管局、郴州市人民政府</w:t>
            </w:r>
          </w:p>
        </w:tc>
      </w:tr>
      <w:tr>
        <w:tblPrEx>
          <w:tblCellMar>
            <w:top w:w="0" w:type="dxa"/>
            <w:left w:w="108" w:type="dxa"/>
            <w:bottom w:w="0" w:type="dxa"/>
            <w:right w:w="108" w:type="dxa"/>
          </w:tblCellMar>
        </w:tblPrEx>
        <w:trPr>
          <w:trHeight w:val="976" w:hRule="atLeast"/>
          <w:tblHeader/>
          <w:jc w:val="center"/>
        </w:trPr>
        <w:tc>
          <w:tcPr>
            <w:tcW w:w="884"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七</w:t>
            </w:r>
          </w:p>
        </w:tc>
        <w:tc>
          <w:tcPr>
            <w:tcW w:w="1244"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r>
              <w:rPr>
                <w:rFonts w:hAnsi="宋体"/>
                <w:kern w:val="0"/>
                <w:szCs w:val="21"/>
              </w:rPr>
              <w:t>创新跨境电商</w:t>
            </w:r>
            <w:r>
              <w:rPr>
                <w:kern w:val="0"/>
                <w:szCs w:val="21"/>
              </w:rPr>
              <w:t>B2C</w:t>
            </w:r>
            <w:r>
              <w:rPr>
                <w:rFonts w:hAnsi="宋体"/>
                <w:kern w:val="0"/>
                <w:szCs w:val="21"/>
              </w:rPr>
              <w:t>进出口监管流程</w:t>
            </w: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27.</w:t>
            </w:r>
            <w:r>
              <w:rPr>
                <w:szCs w:val="21"/>
              </w:rPr>
              <w:t xml:space="preserve"> </w:t>
            </w:r>
            <w:r>
              <w:rPr>
                <w:rFonts w:hAnsi="宋体"/>
                <w:kern w:val="0"/>
                <w:szCs w:val="21"/>
              </w:rPr>
              <w:t>创新跨境直购进出口</w:t>
            </w:r>
            <w:r>
              <w:rPr>
                <w:rFonts w:hint="eastAsia" w:hAnsi="宋体"/>
                <w:kern w:val="0"/>
                <w:szCs w:val="21"/>
              </w:rPr>
              <w:t>“</w:t>
            </w:r>
            <w:r>
              <w:rPr>
                <w:kern w:val="0"/>
                <w:szCs w:val="21"/>
              </w:rPr>
              <w:t>9610</w:t>
            </w:r>
            <w:r>
              <w:rPr>
                <w:rFonts w:hint="eastAsia" w:hAnsi="宋体"/>
                <w:kern w:val="0"/>
                <w:szCs w:val="21"/>
              </w:rPr>
              <w:t>”</w:t>
            </w:r>
            <w:r>
              <w:rPr>
                <w:rFonts w:hAnsi="宋体"/>
                <w:kern w:val="0"/>
                <w:szCs w:val="21"/>
              </w:rPr>
              <w:t>模式监管方案，积极创新保税备货进口</w:t>
            </w:r>
            <w:r>
              <w:rPr>
                <w:rFonts w:hint="eastAsia" w:hAnsi="宋体"/>
                <w:kern w:val="0"/>
                <w:szCs w:val="21"/>
              </w:rPr>
              <w:t>“</w:t>
            </w:r>
            <w:r>
              <w:rPr>
                <w:kern w:val="0"/>
                <w:szCs w:val="21"/>
              </w:rPr>
              <w:t>1210</w:t>
            </w:r>
            <w:r>
              <w:rPr>
                <w:rFonts w:hint="eastAsia" w:hAnsi="宋体"/>
                <w:kern w:val="0"/>
                <w:szCs w:val="21"/>
              </w:rPr>
              <w:t>”</w:t>
            </w:r>
            <w:r>
              <w:rPr>
                <w:rFonts w:hAnsi="宋体"/>
                <w:kern w:val="0"/>
                <w:szCs w:val="21"/>
              </w:rPr>
              <w:t>监管方式，支持跨境电商网购保税进口商品进入海关特殊监管区域时先理货后报关。</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长沙海关</w:t>
            </w:r>
          </w:p>
        </w:tc>
      </w:tr>
      <w:tr>
        <w:tblPrEx>
          <w:tblCellMar>
            <w:top w:w="0" w:type="dxa"/>
            <w:left w:w="108" w:type="dxa"/>
            <w:bottom w:w="0" w:type="dxa"/>
            <w:right w:w="108" w:type="dxa"/>
          </w:tblCellMar>
        </w:tblPrEx>
        <w:trPr>
          <w:trHeight w:val="1132" w:hRule="atLeast"/>
          <w:tblHeader/>
          <w:jc w:val="center"/>
        </w:trPr>
        <w:tc>
          <w:tcPr>
            <w:tcW w:w="884"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八</w:t>
            </w:r>
          </w:p>
        </w:tc>
        <w:tc>
          <w:tcPr>
            <w:tcW w:w="1244"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r>
              <w:rPr>
                <w:rFonts w:hAnsi="宋体"/>
                <w:kern w:val="0"/>
                <w:szCs w:val="21"/>
              </w:rPr>
              <w:t>探索国际邮件、快件包裹流通监管方式</w:t>
            </w: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28.</w:t>
            </w:r>
            <w:r>
              <w:rPr>
                <w:szCs w:val="21"/>
              </w:rPr>
              <w:t xml:space="preserve"> </w:t>
            </w:r>
            <w:r>
              <w:rPr>
                <w:rFonts w:hAnsi="宋体"/>
                <w:kern w:val="0"/>
                <w:szCs w:val="21"/>
              </w:rPr>
              <w:t>鼓励建设国际邮件互换局，创新邮政快递包裹流通监管，通过跨境电商综合服务平台汇总联通，探索形成比对互联执法的邮政快递监管方式。</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省邮政管理局、长沙海关</w:t>
            </w:r>
          </w:p>
        </w:tc>
      </w:tr>
      <w:tr>
        <w:tblPrEx>
          <w:tblCellMar>
            <w:top w:w="0" w:type="dxa"/>
            <w:left w:w="108" w:type="dxa"/>
            <w:bottom w:w="0" w:type="dxa"/>
            <w:right w:w="108" w:type="dxa"/>
          </w:tblCellMar>
        </w:tblPrEx>
        <w:trPr>
          <w:trHeight w:val="1735" w:hRule="atLeast"/>
          <w:tblHeader/>
          <w:jc w:val="center"/>
        </w:trPr>
        <w:tc>
          <w:tcPr>
            <w:tcW w:w="884"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九</w:t>
            </w:r>
          </w:p>
        </w:tc>
        <w:tc>
          <w:tcPr>
            <w:tcW w:w="1244"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r>
              <w:rPr>
                <w:rFonts w:hAnsi="宋体"/>
                <w:kern w:val="0"/>
                <w:szCs w:val="21"/>
              </w:rPr>
              <w:t>探</w:t>
            </w:r>
            <w:r>
              <w:rPr>
                <w:rFonts w:ascii="宋体" w:hAnsi="宋体"/>
                <w:kern w:val="0"/>
                <w:szCs w:val="21"/>
              </w:rPr>
              <w:t>索“一区多功能”监管方式</w:t>
            </w: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29.</w:t>
            </w:r>
            <w:r>
              <w:rPr>
                <w:szCs w:val="21"/>
              </w:rPr>
              <w:t xml:space="preserve"> </w:t>
            </w:r>
            <w:r>
              <w:rPr>
                <w:rFonts w:hAnsi="宋体"/>
                <w:kern w:val="0"/>
                <w:szCs w:val="21"/>
              </w:rPr>
              <w:t>建设跨境电商清关中心和转口分拨中心，实现一般出口、特殊区域出口、直购进口、网购保税进口等全业态跨境电商监管功能。建立电子围网和全球中心仓，启动货物状态分类监管业务试点，设立保税区</w:t>
            </w:r>
            <w:r>
              <w:rPr>
                <w:kern w:val="0"/>
                <w:szCs w:val="21"/>
              </w:rPr>
              <w:t>“</w:t>
            </w:r>
            <w:r>
              <w:rPr>
                <w:rFonts w:hAnsi="宋体"/>
                <w:kern w:val="0"/>
                <w:szCs w:val="21"/>
              </w:rPr>
              <w:t>非保账册</w:t>
            </w:r>
            <w:r>
              <w:rPr>
                <w:kern w:val="0"/>
                <w:szCs w:val="21"/>
              </w:rPr>
              <w:t>”</w:t>
            </w:r>
            <w:r>
              <w:rPr>
                <w:rFonts w:hAnsi="宋体"/>
                <w:kern w:val="0"/>
                <w:szCs w:val="21"/>
              </w:rPr>
              <w:t>，实现大数据监管</w:t>
            </w:r>
            <w:r>
              <w:rPr>
                <w:rFonts w:ascii="宋体" w:hAnsi="宋体"/>
                <w:kern w:val="0"/>
                <w:szCs w:val="21"/>
              </w:rPr>
              <w:t>、“一区多功能、一仓多形态”和不同贸易方式互转。</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长沙海关</w:t>
            </w:r>
          </w:p>
        </w:tc>
      </w:tr>
      <w:tr>
        <w:tblPrEx>
          <w:tblCellMar>
            <w:top w:w="0" w:type="dxa"/>
            <w:left w:w="108" w:type="dxa"/>
            <w:bottom w:w="0" w:type="dxa"/>
            <w:right w:w="108" w:type="dxa"/>
          </w:tblCellMar>
        </w:tblPrEx>
        <w:trPr>
          <w:trHeight w:val="2917" w:hRule="atLeast"/>
          <w:tblHeader/>
          <w:jc w:val="center"/>
        </w:trPr>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十</w:t>
            </w:r>
          </w:p>
        </w:tc>
        <w:tc>
          <w:tcPr>
            <w:tcW w:w="1244"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r>
              <w:rPr>
                <w:rFonts w:hAnsi="宋体"/>
                <w:kern w:val="0"/>
                <w:szCs w:val="21"/>
              </w:rPr>
              <w:t>优化税务管理</w:t>
            </w:r>
          </w:p>
        </w:tc>
        <w:tc>
          <w:tcPr>
            <w:tcW w:w="519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30.</w:t>
            </w:r>
            <w:r>
              <w:rPr>
                <w:szCs w:val="21"/>
              </w:rPr>
              <w:t xml:space="preserve"> </w:t>
            </w:r>
            <w:r>
              <w:rPr>
                <w:rFonts w:hAnsi="宋体"/>
                <w:kern w:val="0"/>
                <w:szCs w:val="21"/>
              </w:rPr>
              <w:t>对纳入跨境电子商务综合服务平台监管的未取得有效进货凭证的跨境电子商务零售出口货物的免税处理，按照财政部、税务总局、商务部、海关总署《关于跨境电子商务综合试验区零售出口货物税收政策的通知》（财税〔</w:t>
            </w:r>
            <w:r>
              <w:rPr>
                <w:kern w:val="0"/>
                <w:szCs w:val="21"/>
              </w:rPr>
              <w:t>2018</w:t>
            </w:r>
            <w:r>
              <w:rPr>
                <w:rFonts w:hAnsi="宋体"/>
                <w:kern w:val="0"/>
                <w:szCs w:val="21"/>
              </w:rPr>
              <w:t>〕</w:t>
            </w:r>
            <w:r>
              <w:rPr>
                <w:kern w:val="0"/>
                <w:szCs w:val="21"/>
              </w:rPr>
              <w:t>103</w:t>
            </w:r>
            <w:r>
              <w:rPr>
                <w:rFonts w:hAnsi="宋体"/>
                <w:kern w:val="0"/>
                <w:szCs w:val="21"/>
              </w:rPr>
              <w:t>号）规定执行。对依托跨境电商综合服务平台，在海关特殊监管区域内开展业务的企业，按规定享有相关增值税优惠政策。对纳入跨境电商综合服务平台、规模较大、从事</w:t>
            </w:r>
            <w:r>
              <w:rPr>
                <w:kern w:val="0"/>
                <w:szCs w:val="21"/>
              </w:rPr>
              <w:t xml:space="preserve"> B2B</w:t>
            </w:r>
            <w:r>
              <w:rPr>
                <w:rFonts w:hAnsi="宋体"/>
                <w:kern w:val="0"/>
                <w:szCs w:val="21"/>
              </w:rPr>
              <w:t>业务的跨境电商企业，支持其按规定逐级晋级分类管理类别，进一步缩短企业退税时间。</w:t>
            </w:r>
          </w:p>
        </w:tc>
        <w:tc>
          <w:tcPr>
            <w:tcW w:w="18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省税务局</w:t>
            </w:r>
          </w:p>
        </w:tc>
      </w:tr>
      <w:tr>
        <w:tblPrEx>
          <w:tblCellMar>
            <w:top w:w="0" w:type="dxa"/>
            <w:left w:w="108" w:type="dxa"/>
            <w:bottom w:w="0" w:type="dxa"/>
            <w:right w:w="108" w:type="dxa"/>
          </w:tblCellMar>
        </w:tblPrEx>
        <w:trPr>
          <w:trHeight w:val="2404" w:hRule="atLeast"/>
          <w:tblHeader/>
          <w:jc w:val="center"/>
        </w:trPr>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十一</w:t>
            </w:r>
          </w:p>
        </w:tc>
        <w:tc>
          <w:tcPr>
            <w:tcW w:w="1244"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r>
              <w:rPr>
                <w:rFonts w:hAnsi="宋体"/>
                <w:kern w:val="0"/>
                <w:szCs w:val="21"/>
              </w:rPr>
              <w:t>创新外汇管理模式</w:t>
            </w:r>
          </w:p>
        </w:tc>
        <w:tc>
          <w:tcPr>
            <w:tcW w:w="5196"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31. </w:t>
            </w:r>
            <w:r>
              <w:rPr>
                <w:rFonts w:hAnsi="宋体"/>
                <w:kern w:val="0"/>
                <w:szCs w:val="21"/>
              </w:rPr>
              <w:t>支持银行和支付机构为跨境电商市场主体提供结售汇和相关资金收付服务。跨境电商企业可通过线上综合服务平台链接</w:t>
            </w:r>
            <w:r>
              <w:rPr>
                <w:kern w:val="0"/>
                <w:szCs w:val="21"/>
              </w:rPr>
              <w:t>“</w:t>
            </w:r>
            <w:r>
              <w:rPr>
                <w:rFonts w:hAnsi="宋体"/>
                <w:kern w:val="0"/>
                <w:szCs w:val="21"/>
              </w:rPr>
              <w:t>国家外汇管理数字外管平台</w:t>
            </w:r>
            <w:r>
              <w:rPr>
                <w:kern w:val="0"/>
                <w:szCs w:val="21"/>
              </w:rPr>
              <w:t>”</w:t>
            </w:r>
            <w:r>
              <w:rPr>
                <w:rFonts w:hAnsi="宋体"/>
                <w:kern w:val="0"/>
                <w:szCs w:val="21"/>
              </w:rPr>
              <w:t>办理贸易外汇收支企业名录登记。年度货物贸易收汇或付汇累计金额低于</w:t>
            </w:r>
            <w:r>
              <w:rPr>
                <w:kern w:val="0"/>
                <w:szCs w:val="21"/>
              </w:rPr>
              <w:t>20</w:t>
            </w:r>
            <w:r>
              <w:rPr>
                <w:rFonts w:hAnsi="宋体"/>
                <w:kern w:val="0"/>
                <w:szCs w:val="21"/>
              </w:rPr>
              <w:t>万美元的小微跨境电商企业可免于办理贸易外汇收支企业名录登记。支持个人电商开立外汇结算账户，境内个人电商在跨境电商综合服务平台备案后，可开立外汇结算账户，在银行办理个人贸易外汇收支结算业务，不受个人年度等值</w:t>
            </w:r>
            <w:r>
              <w:rPr>
                <w:kern w:val="0"/>
                <w:szCs w:val="21"/>
              </w:rPr>
              <w:t>5</w:t>
            </w:r>
            <w:r>
              <w:rPr>
                <w:rFonts w:hAnsi="宋体"/>
                <w:kern w:val="0"/>
                <w:szCs w:val="21"/>
              </w:rPr>
              <w:t>万美元结售汇总额限制。</w:t>
            </w:r>
          </w:p>
        </w:tc>
        <w:tc>
          <w:tcPr>
            <w:tcW w:w="1851"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lang w:eastAsia="zh-TW"/>
              </w:rPr>
              <w:t>国家外汇管理局湖南省分局</w:t>
            </w:r>
          </w:p>
        </w:tc>
      </w:tr>
      <w:tr>
        <w:tblPrEx>
          <w:tblCellMar>
            <w:top w:w="0" w:type="dxa"/>
            <w:left w:w="108" w:type="dxa"/>
            <w:bottom w:w="0" w:type="dxa"/>
            <w:right w:w="108" w:type="dxa"/>
          </w:tblCellMar>
        </w:tblPrEx>
        <w:trPr>
          <w:trHeight w:val="1258" w:hRule="atLeast"/>
          <w:tblHeader/>
          <w:jc w:val="center"/>
        </w:trPr>
        <w:tc>
          <w:tcPr>
            <w:tcW w:w="884"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十二</w:t>
            </w:r>
          </w:p>
        </w:tc>
        <w:tc>
          <w:tcPr>
            <w:tcW w:w="1244"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r>
              <w:rPr>
                <w:rFonts w:hAnsi="宋体"/>
                <w:kern w:val="0"/>
                <w:szCs w:val="21"/>
              </w:rPr>
              <w:t>提升金融服务水平</w:t>
            </w: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32.</w:t>
            </w:r>
            <w:r>
              <w:rPr>
                <w:szCs w:val="21"/>
              </w:rPr>
              <w:t xml:space="preserve"> </w:t>
            </w:r>
            <w:r>
              <w:rPr>
                <w:rFonts w:hAnsi="宋体"/>
                <w:kern w:val="0"/>
                <w:szCs w:val="21"/>
              </w:rPr>
              <w:t>鼓励银行创新金融产品和服务，加大政策性金融机构参与力度。鼓励保险机构创新研发适应跨境电商的新型险种，开展出口信用保险保单融资业务。</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lang w:eastAsia="zh-TW"/>
              </w:rPr>
              <w:t>国家外汇管理局湖南省分局</w:t>
            </w:r>
            <w:r>
              <w:rPr>
                <w:rFonts w:hAnsi="宋体"/>
                <w:kern w:val="0"/>
                <w:szCs w:val="21"/>
              </w:rPr>
              <w:t>、湖南银保监局</w:t>
            </w:r>
          </w:p>
        </w:tc>
      </w:tr>
      <w:tr>
        <w:tblPrEx>
          <w:tblCellMar>
            <w:top w:w="0" w:type="dxa"/>
            <w:left w:w="108" w:type="dxa"/>
            <w:bottom w:w="0" w:type="dxa"/>
            <w:right w:w="108" w:type="dxa"/>
          </w:tblCellMar>
        </w:tblPrEx>
        <w:trPr>
          <w:trHeight w:val="1689" w:hRule="atLeast"/>
          <w:tblHeader/>
          <w:jc w:val="center"/>
        </w:trPr>
        <w:tc>
          <w:tcPr>
            <w:tcW w:w="884"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十三</w:t>
            </w:r>
          </w:p>
        </w:tc>
        <w:tc>
          <w:tcPr>
            <w:tcW w:w="1244"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r>
              <w:rPr>
                <w:rFonts w:hAnsi="宋体"/>
                <w:kern w:val="0"/>
                <w:szCs w:val="21"/>
              </w:rPr>
              <w:t>大力招商引智</w:t>
            </w: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33. </w:t>
            </w:r>
            <w:r>
              <w:rPr>
                <w:rFonts w:hAnsi="宋体"/>
                <w:kern w:val="0"/>
                <w:szCs w:val="21"/>
              </w:rPr>
              <w:t>开展形式多样的招商活动，争取大型电商平台、供应链服务企业、仓储物流企业等区域中心项目入驻，以点带面形成虹吸效应。实施</w:t>
            </w:r>
            <w:r>
              <w:rPr>
                <w:kern w:val="0"/>
                <w:szCs w:val="21"/>
              </w:rPr>
              <w:t>“</w:t>
            </w:r>
            <w:r>
              <w:rPr>
                <w:rFonts w:hAnsi="宋体"/>
                <w:kern w:val="0"/>
                <w:szCs w:val="21"/>
              </w:rPr>
              <w:t>郴商回归</w:t>
            </w:r>
            <w:r>
              <w:rPr>
                <w:kern w:val="0"/>
                <w:szCs w:val="21"/>
              </w:rPr>
              <w:t>”</w:t>
            </w:r>
            <w:r>
              <w:rPr>
                <w:rFonts w:hAnsi="宋体"/>
                <w:kern w:val="0"/>
                <w:szCs w:val="21"/>
              </w:rPr>
              <w:t>工程，动员和吸引郴籍跨境电商高层次人才回郴州发展。</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tc>
      </w:tr>
      <w:tr>
        <w:tblPrEx>
          <w:tblCellMar>
            <w:top w:w="0" w:type="dxa"/>
            <w:left w:w="108" w:type="dxa"/>
            <w:bottom w:w="0" w:type="dxa"/>
            <w:right w:w="108" w:type="dxa"/>
          </w:tblCellMar>
        </w:tblPrEx>
        <w:trPr>
          <w:trHeight w:val="1313" w:hRule="atLeast"/>
          <w:tblHeader/>
          <w:jc w:val="center"/>
        </w:trPr>
        <w:tc>
          <w:tcPr>
            <w:tcW w:w="884"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center"/>
              <w:rPr>
                <w:kern w:val="0"/>
                <w:szCs w:val="21"/>
              </w:rPr>
            </w:pPr>
            <w:r>
              <w:rPr>
                <w:rFonts w:hAnsi="宋体"/>
                <w:kern w:val="0"/>
                <w:szCs w:val="21"/>
              </w:rPr>
              <w:t>十四</w:t>
            </w:r>
          </w:p>
        </w:tc>
        <w:tc>
          <w:tcPr>
            <w:tcW w:w="1244"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jc w:val="left"/>
              <w:rPr>
                <w:kern w:val="0"/>
                <w:szCs w:val="21"/>
              </w:rPr>
            </w:pPr>
            <w:r>
              <w:rPr>
                <w:rFonts w:hAnsi="宋体"/>
                <w:kern w:val="0"/>
                <w:szCs w:val="21"/>
              </w:rPr>
              <w:t>强化政策支持</w:t>
            </w:r>
          </w:p>
        </w:tc>
        <w:tc>
          <w:tcPr>
            <w:tcW w:w="5196"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firstLine="420" w:firstLineChars="200"/>
              <w:rPr>
                <w:kern w:val="0"/>
                <w:szCs w:val="21"/>
              </w:rPr>
            </w:pPr>
            <w:r>
              <w:rPr>
                <w:kern w:val="0"/>
                <w:szCs w:val="21"/>
              </w:rPr>
              <w:t xml:space="preserve">34. </w:t>
            </w:r>
            <w:r>
              <w:rPr>
                <w:rFonts w:hAnsi="宋体"/>
                <w:kern w:val="0"/>
                <w:szCs w:val="21"/>
              </w:rPr>
              <w:t>叠加郴州综试区和郴州国家电子商务示范城市的政策优势，加大对跨境电商发展的财政支持力度，重点支持跨境电子商务领域的项目建设，并纳入财政预算。</w:t>
            </w:r>
          </w:p>
        </w:tc>
        <w:tc>
          <w:tcPr>
            <w:tcW w:w="1851" w:type="dxa"/>
            <w:tcBorders>
              <w:top w:val="nil"/>
              <w:left w:val="nil"/>
              <w:bottom w:val="single" w:color="auto" w:sz="4" w:space="0"/>
              <w:right w:val="single" w:color="auto" w:sz="4" w:space="0"/>
            </w:tcBorders>
            <w:shd w:val="clear" w:color="auto" w:fill="FFFFFF"/>
            <w:noWrap w:val="0"/>
            <w:vAlign w:val="center"/>
          </w:tcPr>
          <w:p>
            <w:pPr>
              <w:widowControl/>
              <w:spacing w:line="280" w:lineRule="exact"/>
              <w:ind w:left="-63" w:leftChars="-30" w:right="-63" w:rightChars="-30"/>
              <w:rPr>
                <w:kern w:val="0"/>
                <w:szCs w:val="21"/>
              </w:rPr>
            </w:pPr>
            <w:r>
              <w:rPr>
                <w:rFonts w:hAnsi="宋体"/>
                <w:kern w:val="0"/>
                <w:szCs w:val="21"/>
              </w:rPr>
              <w:t>郴州市人民政府、</w:t>
            </w:r>
          </w:p>
          <w:p>
            <w:pPr>
              <w:widowControl/>
              <w:spacing w:line="280" w:lineRule="exact"/>
              <w:ind w:left="-63" w:leftChars="-30" w:right="-63" w:rightChars="-30"/>
              <w:rPr>
                <w:kern w:val="0"/>
                <w:szCs w:val="21"/>
              </w:rPr>
            </w:pPr>
            <w:r>
              <w:rPr>
                <w:rFonts w:hAnsi="宋体"/>
                <w:kern w:val="0"/>
                <w:szCs w:val="21"/>
              </w:rPr>
              <w:t>省财政厅、省商务厅</w:t>
            </w:r>
          </w:p>
        </w:tc>
      </w:tr>
    </w:tbl>
    <w:p>
      <w:pPr>
        <w:rPr>
          <w:rFonts w:hint="eastAsia"/>
        </w:rPr>
      </w:pPr>
    </w:p>
    <w:p/>
    <w:sectPr>
      <w:headerReference r:id="rId3" w:type="default"/>
      <w:footerReference r:id="rId4" w:type="default"/>
      <w:footerReference r:id="rId5" w:type="even"/>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22</w:t>
    </w:r>
    <w:r>
      <w:rPr>
        <w:rStyle w:val="7"/>
        <w:sz w:val="28"/>
        <w:szCs w:val="28"/>
      </w:rPr>
      <w:fldChar w:fldCharType="end"/>
    </w:r>
    <w:r>
      <w:rPr>
        <w:rStyle w:val="7"/>
        <w:sz w:val="28"/>
        <w:szCs w:val="28"/>
      </w:rPr>
      <w:t xml:space="preserve"> — </w:t>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C7B89"/>
    <w:rsid w:val="23AC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szCs w:val="20"/>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w:basedOn w:val="1"/>
    <w:link w:val="5"/>
    <w:uiPriority w:val="0"/>
    <w:rPr>
      <w:szCs w:val="20"/>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2020-08-20T10:01:00Z</dcterms:created>
  <dc:creator>Administrator</dc:creator>
  <cp:lastModifiedBy>Administrator</cp:lastModifiedBy>
  <dcterms:modified xsi:type="dcterms:W3CDTF">2020-08-20T10:01:36Z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