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hint="eastAsia" w:eastAsia="黑体"/>
          <w:sz w:val="32"/>
          <w:szCs w:val="32"/>
        </w:rPr>
        <w:t>附件</w:t>
      </w:r>
    </w:p>
    <w:p>
      <w:pPr>
        <w:widowControl/>
        <w:jc w:val="center"/>
        <w:rPr>
          <w:color w:val="000000"/>
          <w:kern w:val="0"/>
          <w:sz w:val="24"/>
        </w:rPr>
      </w:pPr>
      <w:bookmarkStart w:id="0" w:name="_GoBack"/>
      <w:r>
        <w:rPr>
          <w:rFonts w:hint="eastAsia" w:hAnsi="宋体"/>
          <w:b/>
          <w:bCs/>
          <w:color w:val="000000"/>
          <w:kern w:val="0"/>
          <w:sz w:val="36"/>
        </w:rPr>
        <w:t>决定取消的行政许可等事项目录</w:t>
      </w:r>
      <w:bookmarkEnd w:id="0"/>
    </w:p>
    <w:p>
      <w:pPr>
        <w:widowControl/>
        <w:jc w:val="center"/>
        <w:rPr>
          <w:rFonts w:eastAsia="楷体"/>
          <w:color w:val="000000"/>
          <w:kern w:val="0"/>
          <w:sz w:val="24"/>
        </w:rPr>
      </w:pPr>
    </w:p>
    <w:p>
      <w:pPr>
        <w:widowControl/>
        <w:jc w:val="center"/>
        <w:rPr>
          <w:rFonts w:hint="eastAsia" w:eastAsia="楷体"/>
          <w:color w:val="000000"/>
          <w:kern w:val="0"/>
          <w:sz w:val="24"/>
        </w:rPr>
      </w:pPr>
      <w:r>
        <w:rPr>
          <w:rFonts w:hint="eastAsia" w:eastAsia="楷体"/>
          <w:color w:val="000000"/>
          <w:kern w:val="0"/>
          <w:sz w:val="24"/>
        </w:rPr>
        <w:t>（共计</w:t>
      </w:r>
      <w:r>
        <w:rPr>
          <w:rFonts w:eastAsia="楷体"/>
          <w:color w:val="000000"/>
          <w:kern w:val="0"/>
          <w:sz w:val="24"/>
        </w:rPr>
        <w:t>10</w:t>
      </w:r>
      <w:r>
        <w:rPr>
          <w:rFonts w:hint="eastAsia" w:eastAsia="楷体"/>
          <w:color w:val="000000"/>
          <w:kern w:val="0"/>
          <w:sz w:val="24"/>
        </w:rPr>
        <w:t>项）</w:t>
      </w:r>
    </w:p>
    <w:p>
      <w:pPr>
        <w:widowControl/>
        <w:jc w:val="center"/>
        <w:rPr>
          <w:rFonts w:eastAsia="楷体"/>
          <w:color w:val="000000"/>
          <w:kern w:val="0"/>
          <w:sz w:val="24"/>
        </w:rPr>
      </w:pPr>
    </w:p>
    <w:p>
      <w:pPr>
        <w:widowControl/>
        <w:jc w:val="center"/>
        <w:rPr>
          <w:rFonts w:eastAsia="楷体"/>
          <w:color w:val="000000"/>
          <w:kern w:val="0"/>
          <w:sz w:val="24"/>
        </w:rPr>
      </w:pPr>
    </w:p>
    <w:tbl>
      <w:tblPr>
        <w:tblStyle w:val="6"/>
        <w:tblW w:w="13142" w:type="dxa"/>
        <w:jc w:val="center"/>
        <w:tblInd w:w="0" w:type="dxa"/>
        <w:tblLayout w:type="fixed"/>
        <w:tblCellMar>
          <w:top w:w="0" w:type="dxa"/>
          <w:left w:w="0" w:type="dxa"/>
          <w:bottom w:w="0" w:type="dxa"/>
          <w:right w:w="0" w:type="dxa"/>
        </w:tblCellMar>
      </w:tblPr>
      <w:tblGrid>
        <w:gridCol w:w="692"/>
        <w:gridCol w:w="2551"/>
        <w:gridCol w:w="1985"/>
        <w:gridCol w:w="2693"/>
        <w:gridCol w:w="5221"/>
      </w:tblGrid>
      <w:tr>
        <w:tblPrEx>
          <w:tblLayout w:type="fixed"/>
          <w:tblCellMar>
            <w:top w:w="0" w:type="dxa"/>
            <w:left w:w="0" w:type="dxa"/>
            <w:bottom w:w="0" w:type="dxa"/>
            <w:right w:w="0" w:type="dxa"/>
          </w:tblCellMar>
        </w:tblPrEx>
        <w:trPr>
          <w:trHeight w:val="563" w:hRule="atLeast"/>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jc w:val="center"/>
              <w:rPr>
                <w:kern w:val="0"/>
                <w:sz w:val="24"/>
              </w:rPr>
            </w:pPr>
            <w:r>
              <w:rPr>
                <w:rFonts w:hint="eastAsia" w:hAnsi="宋体"/>
                <w:b/>
                <w:bCs/>
                <w:kern w:val="0"/>
                <w:sz w:val="20"/>
              </w:rPr>
              <w:t>序号</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jc w:val="center"/>
              <w:rPr>
                <w:kern w:val="0"/>
                <w:sz w:val="24"/>
              </w:rPr>
            </w:pPr>
            <w:r>
              <w:rPr>
                <w:rFonts w:hint="eastAsia" w:hAnsi="宋体"/>
                <w:b/>
                <w:bCs/>
                <w:kern w:val="0"/>
                <w:sz w:val="20"/>
              </w:rPr>
              <w:t>项目名称</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jc w:val="center"/>
              <w:rPr>
                <w:kern w:val="0"/>
                <w:sz w:val="24"/>
              </w:rPr>
            </w:pPr>
            <w:r>
              <w:rPr>
                <w:rFonts w:hint="eastAsia" w:hAnsi="宋体"/>
                <w:b/>
                <w:bCs/>
                <w:kern w:val="0"/>
                <w:sz w:val="20"/>
              </w:rPr>
              <w:t>审批部门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jc w:val="center"/>
              <w:rPr>
                <w:kern w:val="0"/>
                <w:sz w:val="24"/>
              </w:rPr>
            </w:pPr>
            <w:r>
              <w:rPr>
                <w:rFonts w:hint="eastAsia" w:hAnsi="宋体"/>
                <w:b/>
                <w:bCs/>
                <w:kern w:val="0"/>
                <w:sz w:val="20"/>
              </w:rPr>
              <w:t>设定依据</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jc w:val="center"/>
              <w:rPr>
                <w:kern w:val="0"/>
                <w:sz w:val="24"/>
              </w:rPr>
            </w:pPr>
            <w:r>
              <w:rPr>
                <w:rFonts w:hint="eastAsia" w:hAnsi="宋体"/>
                <w:b/>
                <w:bCs/>
                <w:kern w:val="0"/>
                <w:sz w:val="20"/>
              </w:rPr>
              <w:t>加强事中事后监管措施</w:t>
            </w:r>
          </w:p>
        </w:tc>
      </w:tr>
      <w:tr>
        <w:tblPrEx>
          <w:tblLayout w:type="fixed"/>
          <w:tblCellMar>
            <w:top w:w="0" w:type="dxa"/>
            <w:left w:w="0" w:type="dxa"/>
            <w:bottom w:w="0" w:type="dxa"/>
            <w:right w:w="0" w:type="dxa"/>
          </w:tblCellMar>
        </w:tblPrEx>
        <w:trPr>
          <w:trHeight w:val="840" w:hRule="atLeast"/>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1</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企业集团核准登记</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市场监管总局，省级市场监管部门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《中华人民共和国企业法人登记管理条例》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取消审批后，省市场监管局要强化企业母公司（集团公司）的信息公示，接受社会监督。</w:t>
            </w:r>
          </w:p>
        </w:tc>
      </w:tr>
      <w:tr>
        <w:tblPrEx>
          <w:tblLayout w:type="fixed"/>
          <w:tblCellMar>
            <w:top w:w="0" w:type="dxa"/>
            <w:left w:w="0" w:type="dxa"/>
            <w:bottom w:w="0" w:type="dxa"/>
            <w:right w:w="0" w:type="dxa"/>
          </w:tblCellMar>
        </w:tblPrEx>
        <w:trPr>
          <w:trHeight w:val="2025" w:hRule="atLeast"/>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2</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台港澳人员在内地就业许可</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设区的市级人力资源社会保障部门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《国务院对确需保留的行政审批项目设定行政许可的决定》（国务院令第</w:t>
            </w:r>
            <w:r>
              <w:rPr>
                <w:kern w:val="0"/>
                <w:sz w:val="20"/>
              </w:rPr>
              <w:t>412</w:t>
            </w:r>
            <w:r>
              <w:rPr>
                <w:rFonts w:hint="eastAsia" w:hAnsi="宋体"/>
                <w:kern w:val="0"/>
                <w:sz w:val="20"/>
              </w:rPr>
              <w:t>号）</w:t>
            </w:r>
            <w:r>
              <w:rPr>
                <w:kern w:val="0"/>
                <w:sz w:val="20"/>
                <w:szCs w:val="20"/>
              </w:rPr>
              <w:br w:type="textWrapping"/>
            </w:r>
            <w:r>
              <w:rPr>
                <w:rFonts w:hint="eastAsia" w:hAnsi="宋体"/>
                <w:kern w:val="0"/>
                <w:sz w:val="20"/>
              </w:rPr>
              <w:t>《国务院关于第六批取消和调整行政审批项目的决定》（国发〔</w:t>
            </w:r>
            <w:r>
              <w:rPr>
                <w:kern w:val="0"/>
                <w:sz w:val="20"/>
                <w:szCs w:val="20"/>
              </w:rPr>
              <w:t>2012</w:t>
            </w:r>
            <w:r>
              <w:rPr>
                <w:rFonts w:hint="eastAsia" w:hAnsi="宋体"/>
                <w:kern w:val="0"/>
                <w:sz w:val="20"/>
                <w:szCs w:val="20"/>
              </w:rPr>
              <w:t>〕</w:t>
            </w:r>
            <w:r>
              <w:rPr>
                <w:kern w:val="0"/>
                <w:sz w:val="20"/>
                <w:szCs w:val="20"/>
              </w:rPr>
              <w:t>52</w:t>
            </w:r>
            <w:r>
              <w:rPr>
                <w:rFonts w:hint="eastAsia" w:hAnsi="宋体"/>
                <w:kern w:val="0"/>
                <w:sz w:val="20"/>
                <w:szCs w:val="20"/>
              </w:rPr>
              <w:t>号）</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取消审批后，省人力资源社会保障厅要贯彻落实人力资源社会保障部在台港澳人员就业服务、社会保障、失业登记、劳动权益保护等方面的配套政策措施，并指导督促市州人力资源社会保障部门抓好落实。</w:t>
            </w:r>
          </w:p>
        </w:tc>
      </w:tr>
      <w:tr>
        <w:tblPrEx>
          <w:tblLayout w:type="fixed"/>
          <w:tblCellMar>
            <w:top w:w="0" w:type="dxa"/>
            <w:left w:w="0" w:type="dxa"/>
            <w:bottom w:w="0" w:type="dxa"/>
            <w:right w:w="0" w:type="dxa"/>
          </w:tblCellMar>
        </w:tblPrEx>
        <w:trPr>
          <w:trHeight w:val="1035" w:hRule="atLeast"/>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3</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机动车维修经营许可</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县级道路运输管理机构</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《中华人民共和国道路运输条例》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审批后，省交通运输厅要通过督促落实维修业务标准，建立健全机动车维修经验备案制度，加强对机动车维修行为的监督检查，开展质量信誉考核、建立电子健康档案，推进维修诚信体系建设等措施加强事中事后监管。</w:t>
            </w:r>
          </w:p>
        </w:tc>
      </w:tr>
      <w:tr>
        <w:tblPrEx>
          <w:tblLayout w:type="fixed"/>
          <w:tblCellMar>
            <w:top w:w="0" w:type="dxa"/>
            <w:left w:w="0" w:type="dxa"/>
            <w:bottom w:w="0" w:type="dxa"/>
            <w:right w:w="0" w:type="dxa"/>
          </w:tblCellMar>
        </w:tblPrEx>
        <w:trPr>
          <w:trHeight w:val="1895" w:hRule="atLeast"/>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4</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外商投资道路运输业立项审批</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省级交通运输行政主管部门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《国务院关于取消和下放一批行政审批项目的决定》（国发〔</w:t>
            </w:r>
            <w:r>
              <w:rPr>
                <w:kern w:val="0"/>
                <w:sz w:val="20"/>
              </w:rPr>
              <w:t>2013</w:t>
            </w:r>
            <w:r>
              <w:rPr>
                <w:rFonts w:hint="eastAsia" w:hAnsi="宋体"/>
                <w:kern w:val="0"/>
                <w:sz w:val="20"/>
              </w:rPr>
              <w:t>〕</w:t>
            </w:r>
            <w:r>
              <w:rPr>
                <w:kern w:val="0"/>
                <w:sz w:val="20"/>
              </w:rPr>
              <w:t>44</w:t>
            </w:r>
            <w:r>
              <w:rPr>
                <w:rFonts w:hint="eastAsia" w:hAnsi="宋体"/>
                <w:kern w:val="0"/>
                <w:sz w:val="20"/>
              </w:rPr>
              <w:t>号）</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取消审批后，省交通运输厅要通过以下措施加强事中事后监管：</w:t>
            </w:r>
            <w:r>
              <w:rPr>
                <w:kern w:val="0"/>
                <w:sz w:val="20"/>
              </w:rPr>
              <w:t>1.</w:t>
            </w:r>
            <w:r>
              <w:rPr>
                <w:rFonts w:hint="eastAsia" w:hAnsi="宋体"/>
                <w:kern w:val="0"/>
                <w:sz w:val="20"/>
              </w:rPr>
              <w:t>严格按照国内运输经营相关规定进行管理，依法办理</w:t>
            </w:r>
            <w:r>
              <w:rPr>
                <w:kern w:val="0"/>
                <w:sz w:val="20"/>
              </w:rPr>
              <w:t>“</w:t>
            </w:r>
            <w:r>
              <w:rPr>
                <w:rFonts w:hint="eastAsia" w:hAnsi="宋体"/>
                <w:kern w:val="0"/>
                <w:sz w:val="20"/>
              </w:rPr>
              <w:t>道路旅客运输经营许可</w:t>
            </w:r>
            <w:r>
              <w:rPr>
                <w:kern w:val="0"/>
                <w:sz w:val="20"/>
              </w:rPr>
              <w:t>” “</w:t>
            </w:r>
            <w:r>
              <w:rPr>
                <w:rFonts w:hint="eastAsia" w:hAnsi="宋体"/>
                <w:kern w:val="0"/>
                <w:sz w:val="20"/>
              </w:rPr>
              <w:t>道路货运经营许可</w:t>
            </w:r>
            <w:r>
              <w:rPr>
                <w:kern w:val="0"/>
                <w:sz w:val="20"/>
              </w:rPr>
              <w:t>”</w:t>
            </w:r>
            <w:r>
              <w:rPr>
                <w:rFonts w:hint="eastAsia" w:hAnsi="宋体"/>
                <w:kern w:val="0"/>
                <w:sz w:val="20"/>
              </w:rPr>
              <w:t>等相关行政许可事项。</w:t>
            </w:r>
            <w:r>
              <w:rPr>
                <w:kern w:val="0"/>
                <w:sz w:val="20"/>
              </w:rPr>
              <w:t>2.</w:t>
            </w:r>
            <w:r>
              <w:rPr>
                <w:rFonts w:hint="eastAsia" w:hAnsi="宋体"/>
                <w:kern w:val="0"/>
                <w:sz w:val="20"/>
              </w:rPr>
              <w:t>完善道路运输安全相关规定，加强安全检查，对违法违规行为，依法进行处罚。</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5</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农业机械维修技术合格证核发</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县级农业机械化主管部门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《农业机械安全监督管理条例》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取消审批后，省农机主管部门通过以下措施加强事中事后监管：</w:t>
            </w:r>
            <w:r>
              <w:rPr>
                <w:kern w:val="0"/>
                <w:sz w:val="20"/>
              </w:rPr>
              <w:t>1.</w:t>
            </w:r>
            <w:r>
              <w:rPr>
                <w:rFonts w:hint="eastAsia" w:hAnsi="宋体"/>
                <w:kern w:val="0"/>
                <w:sz w:val="20"/>
              </w:rPr>
              <w:t>督促市县两级农机主管部门制定完善事中事后监管工作实施方案。</w:t>
            </w:r>
            <w:r>
              <w:rPr>
                <w:kern w:val="0"/>
                <w:sz w:val="20"/>
              </w:rPr>
              <w:t>2.</w:t>
            </w:r>
            <w:r>
              <w:rPr>
                <w:rFonts w:hint="eastAsia" w:hAnsi="宋体"/>
                <w:kern w:val="0"/>
                <w:sz w:val="20"/>
              </w:rPr>
              <w:t>加强对农业机械维修相关标准的</w:t>
            </w:r>
            <w:r>
              <w:rPr>
                <w:rFonts w:hint="eastAsia" w:hAnsi="宋体"/>
                <w:kern w:val="0"/>
                <w:sz w:val="20"/>
                <w:lang w:val="en-US" w:eastAsia="zh-CN"/>
              </w:rPr>
              <w:t>宣传</w:t>
            </w:r>
            <w:r>
              <w:rPr>
                <w:rFonts w:hint="eastAsia" w:hAnsi="宋体"/>
                <w:kern w:val="0"/>
                <w:sz w:val="20"/>
              </w:rPr>
              <w:t>贯彻，加强修理人员技能培训。</w:t>
            </w:r>
            <w:r>
              <w:rPr>
                <w:kern w:val="0"/>
                <w:sz w:val="20"/>
              </w:rPr>
              <w:t xml:space="preserve">3. </w:t>
            </w:r>
            <w:r>
              <w:rPr>
                <w:rFonts w:hint="eastAsia" w:hAnsi="宋体"/>
                <w:kern w:val="0"/>
                <w:sz w:val="20"/>
              </w:rPr>
              <w:t>推动行业自律，引导农业机械维修企业推行服务承诺制，支持成立各类农业机械维修行业自律组织。</w:t>
            </w:r>
            <w:r>
              <w:rPr>
                <w:kern w:val="0"/>
                <w:sz w:val="20"/>
              </w:rPr>
              <w:t>4.</w:t>
            </w:r>
            <w:r>
              <w:rPr>
                <w:rFonts w:hint="eastAsia" w:hAnsi="宋体"/>
                <w:kern w:val="0"/>
                <w:sz w:val="20"/>
              </w:rPr>
              <w:t>加强执法人员培训，依法开展监督检查，健全农业机械维修监督检查制度。</w:t>
            </w:r>
            <w:r>
              <w:rPr>
                <w:kern w:val="0"/>
                <w:sz w:val="20"/>
              </w:rPr>
              <w:t>5.</w:t>
            </w:r>
            <w:r>
              <w:rPr>
                <w:rFonts w:hint="eastAsia" w:hAnsi="宋体"/>
                <w:kern w:val="0"/>
                <w:sz w:val="20"/>
              </w:rPr>
              <w:t>畅通投诉渠道，公布受理农机维修质量投诉监督机构及联系方式，有效维护消费者合法权益。</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6</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国家重点保护水生野生动物及其产品进出口初审</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省级渔业主管部门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《中华人民共和国水生野生动物保护实施条例》</w:t>
            </w:r>
            <w:r>
              <w:rPr>
                <w:kern w:val="0"/>
                <w:sz w:val="20"/>
                <w:szCs w:val="20"/>
              </w:rPr>
              <w:br w:type="textWrapping"/>
            </w:r>
            <w:r>
              <w:rPr>
                <w:rFonts w:hint="eastAsia" w:hAnsi="宋体"/>
                <w:kern w:val="0"/>
                <w:sz w:val="20"/>
              </w:rPr>
              <w:t>《中华人民共和国濒危野生动植物进出口管理条例》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取消初审后，省渔业主管部门要加强日常监管，加强部门间沟通协作和信息共享，确保出口来源和进口去向合法。</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7</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国内企业在境外投资开办企业（金融企业除外）核准初审</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省级商务主管部门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《境外投资管理办法》（商务部令</w:t>
            </w:r>
            <w:r>
              <w:rPr>
                <w:kern w:val="0"/>
                <w:sz w:val="20"/>
              </w:rPr>
              <w:t>2014</w:t>
            </w:r>
            <w:r>
              <w:rPr>
                <w:rFonts w:hint="eastAsia" w:hAnsi="宋体"/>
                <w:kern w:val="0"/>
                <w:sz w:val="20"/>
              </w:rPr>
              <w:t>年第</w:t>
            </w:r>
            <w:r>
              <w:rPr>
                <w:kern w:val="0"/>
                <w:sz w:val="20"/>
              </w:rPr>
              <w:t>3</w:t>
            </w:r>
            <w:r>
              <w:rPr>
                <w:rFonts w:hint="eastAsia" w:hAnsi="宋体"/>
                <w:kern w:val="0"/>
                <w:sz w:val="20"/>
              </w:rPr>
              <w:t>号）</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left"/>
              <w:rPr>
                <w:kern w:val="0"/>
                <w:sz w:val="20"/>
              </w:rPr>
            </w:pPr>
            <w:r>
              <w:rPr>
                <w:rFonts w:hint="eastAsia" w:hAnsi="宋体"/>
                <w:kern w:val="0"/>
                <w:sz w:val="20"/>
              </w:rPr>
              <w:t>取消初审后，省商务厅要通过以下措施加强事中事后监管：</w:t>
            </w:r>
            <w:r>
              <w:rPr>
                <w:kern w:val="0"/>
                <w:sz w:val="20"/>
              </w:rPr>
              <w:t>1.</w:t>
            </w:r>
            <w:r>
              <w:rPr>
                <w:rFonts w:hint="eastAsia" w:hAnsi="宋体"/>
                <w:kern w:val="0"/>
                <w:sz w:val="20"/>
              </w:rPr>
              <w:t>加强与商务部对接，及时掌握核准企业信息。</w:t>
            </w:r>
            <w:r>
              <w:rPr>
                <w:kern w:val="0"/>
                <w:sz w:val="20"/>
              </w:rPr>
              <w:t>2.</w:t>
            </w:r>
            <w:r>
              <w:rPr>
                <w:rFonts w:hint="eastAsia" w:hAnsi="宋体"/>
                <w:kern w:val="0"/>
                <w:sz w:val="20"/>
              </w:rPr>
              <w:t>严格按照</w:t>
            </w:r>
            <w:r>
              <w:rPr>
                <w:kern w:val="0"/>
                <w:sz w:val="20"/>
              </w:rPr>
              <w:t>“</w:t>
            </w:r>
            <w:r>
              <w:rPr>
                <w:rFonts w:hint="eastAsia" w:hAnsi="宋体"/>
                <w:kern w:val="0"/>
                <w:sz w:val="20"/>
              </w:rPr>
              <w:t>双随机一公开</w:t>
            </w:r>
            <w:r>
              <w:rPr>
                <w:kern w:val="0"/>
                <w:sz w:val="20"/>
              </w:rPr>
              <w:t>”</w:t>
            </w:r>
            <w:r>
              <w:rPr>
                <w:rFonts w:hint="eastAsia" w:hAnsi="宋体"/>
                <w:kern w:val="0"/>
                <w:sz w:val="20"/>
              </w:rPr>
              <w:t>的管理办法做好项目事中事后的抽查。</w:t>
            </w:r>
            <w:r>
              <w:rPr>
                <w:kern w:val="0"/>
                <w:sz w:val="20"/>
              </w:rPr>
              <w:t>3.</w:t>
            </w:r>
            <w:r>
              <w:rPr>
                <w:rFonts w:hint="eastAsia" w:hAnsi="宋体"/>
                <w:kern w:val="0"/>
                <w:sz w:val="20"/>
              </w:rPr>
              <w:t>认真做好相关企业信息统计工作。</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8</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设立分公司备案</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省级及以下市场监管部门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《中华人民共和国公司登记管理条例》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取消该事项后，市场监管部门要建设维护信息系统，完善规章制度，明确分公司设立信息要及时推送、及时更新、及时掌握，加强监管。</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9</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外商投资合伙企业设立、变更、注销分支机构备案</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省级及以下市场监管部门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《外商投资合伙企业登记管理规定》（原工商总局令</w:t>
            </w:r>
            <w:r>
              <w:rPr>
                <w:kern w:val="0"/>
                <w:sz w:val="20"/>
              </w:rPr>
              <w:t>2014</w:t>
            </w:r>
            <w:r>
              <w:rPr>
                <w:rFonts w:hint="eastAsia" w:hAnsi="宋体"/>
                <w:kern w:val="0"/>
                <w:sz w:val="20"/>
              </w:rPr>
              <w:t>年第</w:t>
            </w:r>
            <w:r>
              <w:rPr>
                <w:kern w:val="0"/>
                <w:sz w:val="20"/>
              </w:rPr>
              <w:t>63</w:t>
            </w:r>
            <w:r>
              <w:rPr>
                <w:rFonts w:hint="eastAsia" w:hAnsi="宋体"/>
                <w:kern w:val="0"/>
                <w:sz w:val="20"/>
              </w:rPr>
              <w:t>号）</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取消该事项后，市场监管部门要建设维护好信息系统，完善规章制度，明确分支机构设立、变更、注销信息要及时推送、及时更新、及时掌握，加强部门协同监管。</w:t>
            </w:r>
          </w:p>
        </w:tc>
      </w:tr>
      <w:tr>
        <w:tblPrEx>
          <w:tblLayout w:type="fixed"/>
          <w:tblCellMar>
            <w:top w:w="0" w:type="dxa"/>
            <w:left w:w="0" w:type="dxa"/>
            <w:bottom w:w="0" w:type="dxa"/>
            <w:right w:w="0" w:type="dxa"/>
          </w:tblCellMar>
        </w:tblPrEx>
        <w:trPr>
          <w:jc w:val="center"/>
        </w:trPr>
        <w:tc>
          <w:tcPr>
            <w:tcW w:w="69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jc w:val="center"/>
              <w:rPr>
                <w:kern w:val="0"/>
                <w:sz w:val="24"/>
              </w:rPr>
            </w:pPr>
            <w:r>
              <w:rPr>
                <w:kern w:val="0"/>
                <w:sz w:val="20"/>
              </w:rPr>
              <w:t>10</w:t>
            </w:r>
          </w:p>
        </w:tc>
        <w:tc>
          <w:tcPr>
            <w:tcW w:w="255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营业执照作废声明</w:t>
            </w:r>
          </w:p>
        </w:tc>
        <w:tc>
          <w:tcPr>
            <w:tcW w:w="1985"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各级市场监管部门</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《中华人民共和国公司登记管理条例》</w:t>
            </w:r>
          </w:p>
        </w:tc>
        <w:tc>
          <w:tcPr>
            <w:tcW w:w="522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widowControl/>
              <w:spacing w:line="300" w:lineRule="exact"/>
              <w:rPr>
                <w:kern w:val="0"/>
                <w:sz w:val="24"/>
              </w:rPr>
            </w:pPr>
            <w:r>
              <w:rPr>
                <w:rFonts w:hint="eastAsia" w:hAnsi="宋体"/>
                <w:kern w:val="0"/>
                <w:sz w:val="20"/>
              </w:rPr>
              <w:t>取消该事项后，市场监管部门对营业执照遗失或损毁申请补领的，不再要求申请人委托媒体刊登作废声明，改为在审批部门官方网站免费发布公告。</w:t>
            </w:r>
          </w:p>
        </w:tc>
      </w:tr>
    </w:tbl>
    <w:p>
      <w:pPr>
        <w:rPr>
          <w:rFonts w:eastAsia="仿宋_GB2312"/>
        </w:rPr>
      </w:pPr>
    </w:p>
    <w:p/>
    <w:p/>
    <w:sectPr>
      <w:pgSz w:w="16838" w:h="11906" w:orient="landscape"/>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A316C"/>
    <w:rsid w:val="01EA31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eastAsia="仿宋_GB2312"/>
      <w:sz w:val="24"/>
      <w:szCs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w:basedOn w:val="1"/>
    <w:link w:val="3"/>
    <w:uiPriority w:val="0"/>
    <w:pPr>
      <w:tabs>
        <w:tab w:val="left" w:pos="360"/>
      </w:tabs>
    </w:pPr>
    <w:rPr>
      <w:rFonts w:eastAsia="仿宋_GB2312"/>
      <w:sz w:val="24"/>
      <w:szCs w:val="32"/>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si\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2018-11-21T01:35:00Z</dcterms:created>
  <dc:creator>%F0%9F%A6%84yusi</dc:creator>
  <cp:lastModifiedBy>%F0%9F%A6%84yusi</cp:lastModifiedBy>
  <dcterms:modified xsi:type="dcterms:W3CDTF">2018-11-21T01:35:54Z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