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77" w:rsidRPr="00006D77" w:rsidRDefault="00006D77">
      <w:pPr>
        <w:adjustRightInd w:val="0"/>
        <w:snapToGrid w:val="0"/>
        <w:spacing w:line="700" w:lineRule="exact"/>
        <w:jc w:val="center"/>
        <w:rPr>
          <w:rFonts w:ascii="仿宋_GB2312" w:hAnsi="仿宋_GB2312" w:cs="仿宋_GB2312"/>
          <w:szCs w:val="32"/>
          <w:lang w:bidi="zh-CN"/>
        </w:rPr>
      </w:pPr>
    </w:p>
    <w:p w:rsidR="00006D77" w:rsidRDefault="00006D77">
      <w:pPr>
        <w:adjustRightInd w:val="0"/>
        <w:snapToGrid w:val="0"/>
        <w:spacing w:line="600" w:lineRule="exact"/>
        <w:rPr>
          <w:rFonts w:ascii="仿宋_GB2312" w:hAnsi="仿宋_GB2312" w:cs="仿宋_GB2312"/>
          <w:szCs w:val="32"/>
          <w:lang w:bidi="zh-CN"/>
        </w:rPr>
      </w:pPr>
    </w:p>
    <w:p w:rsidR="00046D2A" w:rsidRDefault="00046D2A" w:rsidP="00046D2A">
      <w:pPr>
        <w:pStyle w:val="2"/>
        <w:spacing w:after="0"/>
      </w:pPr>
      <w:bookmarkStart w:id="0" w:name="_GoBack"/>
      <w:bookmarkEnd w:id="0"/>
      <w:r>
        <w:rPr>
          <w:rFonts w:hint="eastAsia"/>
        </w:rPr>
        <w:t>湖南省人民政府办公厅关于印发</w:t>
      </w:r>
    </w:p>
    <w:p w:rsidR="00046D2A" w:rsidRDefault="00046D2A" w:rsidP="00046D2A">
      <w:pPr>
        <w:pStyle w:val="2"/>
        <w:spacing w:after="0"/>
      </w:pPr>
      <w:r>
        <w:rPr>
          <w:rFonts w:hint="eastAsia"/>
        </w:rPr>
        <w:t>《</w:t>
      </w:r>
      <w:r>
        <w:t>湖南省普及健康生活方式</w:t>
      </w:r>
      <w:r>
        <w:rPr>
          <w:rFonts w:hint="eastAsia"/>
        </w:rPr>
        <w:t xml:space="preserve">  </w:t>
      </w:r>
      <w:r>
        <w:t>推行“减盐减</w:t>
      </w:r>
      <w:r>
        <w:rPr>
          <w:rFonts w:hint="eastAsia"/>
        </w:rPr>
        <w:t>油</w:t>
      </w:r>
      <w:r>
        <w:t>”专项行动计划（</w:t>
      </w:r>
      <w:r>
        <w:rPr>
          <w:rFonts w:ascii="Times New Roman" w:hAnsi="Times New Roman"/>
        </w:rPr>
        <w:t>2025</w:t>
      </w:r>
      <w:r>
        <w:rPr>
          <w:rFonts w:hint="eastAsia"/>
        </w:rPr>
        <w:t>—</w:t>
      </w:r>
      <w:r>
        <w:rPr>
          <w:rFonts w:ascii="Times New Roman" w:hAnsi="Times New Roman"/>
        </w:rPr>
        <w:t>2027</w:t>
      </w:r>
      <w:r>
        <w:t>年）</w:t>
      </w:r>
      <w:r>
        <w:rPr>
          <w:rFonts w:hint="eastAsia"/>
        </w:rPr>
        <w:t>》的通知</w:t>
      </w:r>
    </w:p>
    <w:p w:rsidR="00046D2A" w:rsidRPr="007B3278" w:rsidRDefault="00046D2A" w:rsidP="00046D2A">
      <w:pPr>
        <w:spacing w:line="600" w:lineRule="exact"/>
        <w:jc w:val="center"/>
        <w:rPr>
          <w:szCs w:val="32"/>
        </w:rPr>
      </w:pPr>
      <w:r w:rsidRPr="007B3278">
        <w:rPr>
          <w:szCs w:val="32"/>
        </w:rPr>
        <w:t>湘政办发〔</w:t>
      </w:r>
      <w:r w:rsidRPr="007B3278">
        <w:rPr>
          <w:szCs w:val="32"/>
        </w:rPr>
        <w:t>2025</w:t>
      </w:r>
      <w:r w:rsidRPr="007B3278">
        <w:rPr>
          <w:szCs w:val="32"/>
        </w:rPr>
        <w:t>〕</w:t>
      </w:r>
      <w:r>
        <w:rPr>
          <w:rFonts w:hint="eastAsia"/>
          <w:szCs w:val="32"/>
        </w:rPr>
        <w:t>29</w:t>
      </w:r>
      <w:r w:rsidRPr="007B3278">
        <w:rPr>
          <w:szCs w:val="32"/>
        </w:rPr>
        <w:t>号</w:t>
      </w:r>
    </w:p>
    <w:p w:rsidR="00046D2A" w:rsidRDefault="00046D2A" w:rsidP="00046D2A">
      <w:pPr>
        <w:pStyle w:val="-3GB"/>
        <w:spacing w:after="0"/>
        <w:ind w:firstLine="636"/>
      </w:pPr>
    </w:p>
    <w:p w:rsidR="00046D2A" w:rsidRDefault="00046D2A" w:rsidP="00046D2A">
      <w:pPr>
        <w:pStyle w:val="-3GB"/>
        <w:spacing w:after="0"/>
        <w:ind w:firstLineChars="0" w:firstLine="0"/>
      </w:pPr>
      <w:r>
        <w:t>各市州</w:t>
      </w:r>
      <w:r>
        <w:rPr>
          <w:rFonts w:hint="eastAsia"/>
        </w:rPr>
        <w:t>、县市区</w:t>
      </w:r>
      <w:r>
        <w:t>人民政府，省政府各厅委、各直属机构：</w:t>
      </w:r>
    </w:p>
    <w:p w:rsidR="00046D2A" w:rsidRDefault="00046D2A" w:rsidP="00046D2A">
      <w:pPr>
        <w:pStyle w:val="-3GB"/>
        <w:spacing w:after="0"/>
        <w:ind w:firstLine="636"/>
      </w:pPr>
      <w:r>
        <w:t>《湖南省普及健康生活方式</w:t>
      </w:r>
      <w:r>
        <w:t xml:space="preserve"> </w:t>
      </w:r>
      <w:r>
        <w:t>推行</w:t>
      </w:r>
      <w:r>
        <w:t>“</w:t>
      </w:r>
      <w:r>
        <w:t>减盐减</w:t>
      </w:r>
      <w:r>
        <w:rPr>
          <w:rFonts w:hint="eastAsia"/>
        </w:rPr>
        <w:t>油</w:t>
      </w:r>
      <w:r>
        <w:t>”</w:t>
      </w:r>
      <w:r>
        <w:t>专项行动计划（</w:t>
      </w:r>
      <w:r>
        <w:rPr>
          <w:rFonts w:ascii="Times New Roman" w:hAnsi="Times New Roman"/>
        </w:rPr>
        <w:t>2025</w:t>
      </w:r>
      <w:r>
        <w:rPr>
          <w:rFonts w:hint="eastAsia"/>
        </w:rPr>
        <w:t>—</w:t>
      </w:r>
      <w:r>
        <w:rPr>
          <w:rFonts w:ascii="Times New Roman" w:hAnsi="Times New Roman"/>
        </w:rPr>
        <w:t>2027</w:t>
      </w:r>
      <w:r>
        <w:t>年）》已经省人民政府同意，现印发给你们，请</w:t>
      </w:r>
      <w:r w:rsidR="00BA73C9">
        <w:rPr>
          <w:rFonts w:hint="eastAsia"/>
        </w:rPr>
        <w:t>结合实际</w:t>
      </w:r>
      <w:r>
        <w:t>认真贯彻执行。</w:t>
      </w:r>
    </w:p>
    <w:p w:rsidR="00046D2A" w:rsidRDefault="00046D2A" w:rsidP="00046D2A">
      <w:pPr>
        <w:pStyle w:val="-3GB"/>
        <w:spacing w:after="0"/>
        <w:ind w:firstLine="636"/>
      </w:pPr>
    </w:p>
    <w:p w:rsidR="00046D2A" w:rsidRDefault="00046D2A" w:rsidP="00046D2A">
      <w:pPr>
        <w:pStyle w:val="-3GB"/>
        <w:spacing w:after="0"/>
        <w:ind w:firstLine="636"/>
      </w:pPr>
    </w:p>
    <w:p w:rsidR="00046D2A" w:rsidRPr="00BA73C9" w:rsidRDefault="00046D2A" w:rsidP="00BA73C9">
      <w:pPr>
        <w:pStyle w:val="-3GB"/>
        <w:spacing w:after="0"/>
        <w:ind w:rightChars="311" w:right="989" w:firstLine="636"/>
        <w:jc w:val="right"/>
        <w:rPr>
          <w:rFonts w:ascii="Times New Roman" w:hAnsi="Times New Roman" w:cs="Times New Roman"/>
        </w:rPr>
      </w:pPr>
      <w:r w:rsidRPr="00BA73C9">
        <w:rPr>
          <w:rFonts w:ascii="Times New Roman" w:cs="Times New Roman"/>
        </w:rPr>
        <w:t>湖南省人民政府办公厅</w:t>
      </w:r>
    </w:p>
    <w:p w:rsidR="00046D2A" w:rsidRPr="00BA73C9" w:rsidRDefault="00046D2A" w:rsidP="00BA73C9">
      <w:pPr>
        <w:pStyle w:val="-3GB"/>
        <w:spacing w:after="0"/>
        <w:ind w:rightChars="400" w:right="1272" w:firstLine="636"/>
        <w:jc w:val="right"/>
        <w:rPr>
          <w:rFonts w:ascii="Times New Roman" w:hAnsi="Times New Roman" w:cs="Times New Roman"/>
        </w:rPr>
      </w:pPr>
      <w:r w:rsidRPr="00BA73C9">
        <w:rPr>
          <w:rFonts w:ascii="Times New Roman" w:hAnsi="Times New Roman" w:cs="Times New Roman"/>
        </w:rPr>
        <w:t xml:space="preserve">               2025</w:t>
      </w:r>
      <w:r w:rsidRPr="00BA73C9">
        <w:rPr>
          <w:rFonts w:ascii="Times New Roman" w:cs="Times New Roman"/>
        </w:rPr>
        <w:t>年</w:t>
      </w:r>
      <w:r w:rsidR="00BA73C9" w:rsidRPr="00BA73C9">
        <w:rPr>
          <w:rFonts w:ascii="Times New Roman" w:hAnsi="Times New Roman" w:cs="Times New Roman"/>
        </w:rPr>
        <w:t>7</w:t>
      </w:r>
      <w:r w:rsidRPr="00BA73C9">
        <w:rPr>
          <w:rFonts w:ascii="Times New Roman" w:cs="Times New Roman"/>
        </w:rPr>
        <w:t>月</w:t>
      </w:r>
      <w:r w:rsidR="00BA73C9" w:rsidRPr="00BA73C9">
        <w:rPr>
          <w:rFonts w:ascii="Times New Roman" w:hAnsi="Times New Roman" w:cs="Times New Roman"/>
        </w:rPr>
        <w:t>9</w:t>
      </w:r>
      <w:r w:rsidRPr="00BA73C9">
        <w:rPr>
          <w:rFonts w:ascii="Times New Roman" w:cs="Times New Roman"/>
        </w:rPr>
        <w:t>日</w:t>
      </w:r>
    </w:p>
    <w:p w:rsidR="00046D2A" w:rsidRDefault="00046D2A" w:rsidP="00046D2A">
      <w:pPr>
        <w:pStyle w:val="-3GB"/>
        <w:spacing w:after="0"/>
        <w:ind w:firstLine="636"/>
      </w:pPr>
      <w:r>
        <w:rPr>
          <w:rFonts w:hint="eastAsia"/>
        </w:rPr>
        <w:t>(</w:t>
      </w:r>
      <w:r>
        <w:rPr>
          <w:rFonts w:hint="eastAsia"/>
        </w:rPr>
        <w:t>此件主动公开</w:t>
      </w:r>
      <w:r>
        <w:rPr>
          <w:rFonts w:hint="eastAsia"/>
        </w:rPr>
        <w:t>)</w:t>
      </w:r>
    </w:p>
    <w:p w:rsidR="00046D2A" w:rsidRDefault="00046D2A" w:rsidP="00046D2A">
      <w:pPr>
        <w:pStyle w:val="-3GB"/>
        <w:spacing w:after="0"/>
        <w:ind w:firstLine="636"/>
      </w:pPr>
    </w:p>
    <w:p w:rsidR="00046D2A" w:rsidRDefault="00046D2A" w:rsidP="00046D2A">
      <w:pPr>
        <w:pStyle w:val="-3GB"/>
        <w:spacing w:after="0"/>
        <w:ind w:firstLine="636"/>
      </w:pPr>
    </w:p>
    <w:p w:rsidR="00046D2A" w:rsidRDefault="00046D2A" w:rsidP="00046D2A">
      <w:pPr>
        <w:pStyle w:val="-3GB"/>
        <w:spacing w:after="0"/>
        <w:ind w:firstLine="636"/>
      </w:pPr>
    </w:p>
    <w:p w:rsidR="00046D2A" w:rsidRDefault="00046D2A" w:rsidP="00046D2A">
      <w:pPr>
        <w:pStyle w:val="2"/>
        <w:spacing w:after="0"/>
      </w:pPr>
      <w:r>
        <w:br w:type="page"/>
      </w:r>
      <w:r>
        <w:lastRenderedPageBreak/>
        <w:t xml:space="preserve">湖南省普及健康生活方式 </w:t>
      </w:r>
      <w:r>
        <w:rPr>
          <w:rFonts w:hint="eastAsia"/>
        </w:rPr>
        <w:t xml:space="preserve"> </w:t>
      </w:r>
      <w:r>
        <w:t>推行“</w:t>
      </w:r>
      <w:bookmarkStart w:id="1" w:name="_Hlk174879748"/>
      <w:r>
        <w:t>减盐减油</w:t>
      </w:r>
      <w:bookmarkEnd w:id="1"/>
      <w:r>
        <w:t>”</w:t>
      </w:r>
    </w:p>
    <w:p w:rsidR="00046D2A" w:rsidRDefault="00046D2A" w:rsidP="00046D2A">
      <w:pPr>
        <w:pStyle w:val="2"/>
        <w:spacing w:after="0"/>
      </w:pPr>
      <w:r>
        <w:t>专项行动计划（</w:t>
      </w:r>
      <w:r>
        <w:rPr>
          <w:rFonts w:ascii="Times New Roman" w:hAnsi="Times New Roman"/>
        </w:rPr>
        <w:t>2025</w:t>
      </w:r>
      <w:r>
        <w:rPr>
          <w:rFonts w:hint="eastAsia"/>
        </w:rPr>
        <w:t>—</w:t>
      </w:r>
      <w:r>
        <w:rPr>
          <w:rFonts w:ascii="Times New Roman" w:hAnsi="Times New Roman"/>
        </w:rPr>
        <w:t>2027</w:t>
      </w:r>
      <w:r>
        <w:t>年）</w:t>
      </w:r>
    </w:p>
    <w:p w:rsidR="00046D2A" w:rsidRDefault="00046D2A" w:rsidP="00046D2A">
      <w:pPr>
        <w:pStyle w:val="-3GB"/>
        <w:spacing w:after="0"/>
        <w:ind w:firstLine="636"/>
      </w:pPr>
    </w:p>
    <w:p w:rsidR="00046D2A" w:rsidRDefault="00046D2A" w:rsidP="00046D2A">
      <w:pPr>
        <w:pStyle w:val="-3GB"/>
        <w:spacing w:after="0"/>
        <w:ind w:firstLine="636"/>
      </w:pPr>
      <w:r>
        <w:t>为全面倡导和普及健康生活方式，有效降低我省居民食盐、食用油摄入量，实现慢性病防控关口前移，推动我省人均预期寿命持续提升，</w:t>
      </w:r>
      <w:r>
        <w:rPr>
          <w:rFonts w:hint="eastAsia"/>
        </w:rPr>
        <w:t>特</w:t>
      </w:r>
      <w:r>
        <w:t>制定本行动计划。</w:t>
      </w:r>
    </w:p>
    <w:p w:rsidR="00046D2A" w:rsidRDefault="00046D2A" w:rsidP="00046D2A">
      <w:pPr>
        <w:pStyle w:val="-3GB"/>
        <w:spacing w:after="0"/>
        <w:ind w:firstLine="636"/>
        <w:rPr>
          <w:rFonts w:ascii="黑体" w:eastAsia="黑体" w:hAnsi="黑体" w:cs="黑体"/>
        </w:rPr>
      </w:pPr>
      <w:r>
        <w:rPr>
          <w:rFonts w:ascii="黑体" w:eastAsia="黑体" w:hAnsi="黑体" w:cs="黑体" w:hint="eastAsia"/>
        </w:rPr>
        <w:t>一、行动目标</w:t>
      </w:r>
    </w:p>
    <w:p w:rsidR="00046D2A" w:rsidRDefault="00046D2A" w:rsidP="00046D2A">
      <w:pPr>
        <w:pStyle w:val="-3GB"/>
        <w:spacing w:after="0"/>
        <w:ind w:firstLine="636"/>
      </w:pPr>
      <w:r>
        <w:rPr>
          <w:rFonts w:hint="eastAsia"/>
        </w:rPr>
        <w:t>到</w:t>
      </w:r>
      <w:r>
        <w:rPr>
          <w:rFonts w:ascii="Times New Roman" w:hAnsi="Times New Roman"/>
        </w:rPr>
        <w:t>2027</w:t>
      </w:r>
      <w:r>
        <w:t>年底，全省居民健康素养水平提高</w:t>
      </w:r>
      <w:r>
        <w:rPr>
          <w:rFonts w:hint="eastAsia"/>
        </w:rPr>
        <w:t>到</w:t>
      </w:r>
      <w:r>
        <w:rPr>
          <w:rFonts w:ascii="Times New Roman" w:hAnsi="Times New Roman" w:hint="eastAsia"/>
        </w:rPr>
        <w:t>40%</w:t>
      </w:r>
      <w:r>
        <w:rPr>
          <w:rFonts w:hint="eastAsia"/>
        </w:rPr>
        <w:t>，</w:t>
      </w:r>
      <w:r>
        <w:t>居民营养健康知识知晓率提高</w:t>
      </w:r>
      <w:r>
        <w:rPr>
          <w:rFonts w:hint="eastAsia"/>
        </w:rPr>
        <w:t>到</w:t>
      </w:r>
      <w:r>
        <w:rPr>
          <w:rFonts w:ascii="Times New Roman" w:hAnsi="Times New Roman" w:hint="eastAsia"/>
        </w:rPr>
        <w:t>32%</w:t>
      </w:r>
      <w:r>
        <w:rPr>
          <w:rFonts w:hint="eastAsia"/>
        </w:rPr>
        <w:t>，</w:t>
      </w:r>
      <w:r>
        <w:t>人均每日食盐和食用油摄入量</w:t>
      </w:r>
      <w:r>
        <w:rPr>
          <w:rFonts w:hint="eastAsia"/>
        </w:rPr>
        <w:t>较</w:t>
      </w:r>
      <w:r>
        <w:rPr>
          <w:rFonts w:ascii="Times New Roman" w:hAnsi="Times New Roman" w:hint="eastAsia"/>
        </w:rPr>
        <w:t>2024</w:t>
      </w:r>
      <w:r>
        <w:rPr>
          <w:rFonts w:hint="eastAsia"/>
        </w:rPr>
        <w:t>年分别</w:t>
      </w:r>
      <w:r>
        <w:t>下降</w:t>
      </w:r>
      <w:r>
        <w:rPr>
          <w:rFonts w:ascii="Times New Roman" w:hAnsi="Times New Roman"/>
        </w:rPr>
        <w:t>10%</w:t>
      </w:r>
      <w:r>
        <w:rPr>
          <w:rFonts w:hint="eastAsia"/>
        </w:rPr>
        <w:t>；</w:t>
      </w:r>
      <w:r>
        <w:t>居民肥胖率、高血压患病率增长速度减缓，人均预期寿命达到</w:t>
      </w:r>
      <w:r>
        <w:rPr>
          <w:rFonts w:ascii="Times New Roman" w:hAnsi="Times New Roman"/>
        </w:rPr>
        <w:t>80</w:t>
      </w:r>
      <w:r>
        <w:t>岁。</w:t>
      </w:r>
    </w:p>
    <w:p w:rsidR="00046D2A" w:rsidRDefault="00046D2A" w:rsidP="00046D2A">
      <w:pPr>
        <w:pStyle w:val="-3GB"/>
        <w:spacing w:after="0"/>
        <w:ind w:firstLine="636"/>
        <w:rPr>
          <w:rFonts w:ascii="黑体" w:eastAsia="黑体" w:hAnsi="黑体" w:cs="黑体"/>
        </w:rPr>
      </w:pPr>
      <w:r>
        <w:rPr>
          <w:rFonts w:ascii="黑体" w:eastAsia="黑体" w:hAnsi="黑体" w:cs="黑体"/>
        </w:rPr>
        <w:t>二、行动内容</w:t>
      </w:r>
    </w:p>
    <w:p w:rsidR="00046D2A" w:rsidRDefault="00046D2A" w:rsidP="00046D2A">
      <w:pPr>
        <w:pStyle w:val="-3GB"/>
        <w:spacing w:after="0"/>
        <w:ind w:firstLine="636"/>
        <w:rPr>
          <w:rFonts w:eastAsia="楷体_GB2312" w:cs="楷体_GB2312"/>
        </w:rPr>
      </w:pPr>
      <w:r>
        <w:rPr>
          <w:rFonts w:eastAsia="楷体_GB2312" w:cs="楷体_GB2312" w:hint="eastAsia"/>
        </w:rPr>
        <w:t>（一）加强健康科普宣教</w:t>
      </w:r>
    </w:p>
    <w:p w:rsidR="00046D2A" w:rsidRDefault="00046D2A" w:rsidP="00046D2A">
      <w:pPr>
        <w:pStyle w:val="-3GB"/>
        <w:spacing w:after="0"/>
        <w:ind w:firstLine="636"/>
      </w:pPr>
      <w:r>
        <w:rPr>
          <w:rFonts w:ascii="Times New Roman" w:hAnsi="Times New Roman"/>
        </w:rPr>
        <w:t>1</w:t>
      </w:r>
      <w:r>
        <w:rPr>
          <w:rFonts w:hint="eastAsia"/>
        </w:rPr>
        <w:t>．</w:t>
      </w:r>
      <w:r>
        <w:t>建立健康科普资源库。制作系列适用于商超、餐饮服务机构、学校、社区、家庭等不同场所的宣传</w:t>
      </w:r>
      <w:r>
        <w:rPr>
          <w:rFonts w:hint="eastAsia"/>
        </w:rPr>
        <w:t>手册</w:t>
      </w:r>
      <w:r>
        <w:t>、海报、音视频等营养健康科普作品，面向全社会宣传推广。遴选一批新媒体账号纳入省级</w:t>
      </w:r>
      <w:r>
        <w:t>“</w:t>
      </w:r>
      <w:r>
        <w:t>减盐减油</w:t>
      </w:r>
      <w:r>
        <w:t>”</w:t>
      </w:r>
      <w:r>
        <w:t>健康科普资源库。</w:t>
      </w:r>
      <w:r>
        <w:rPr>
          <w:rFonts w:eastAsia="楷体_GB2312" w:cs="楷体_GB2312"/>
        </w:rPr>
        <w:t>（</w:t>
      </w:r>
      <w:r>
        <w:rPr>
          <w:rFonts w:eastAsia="楷体_GB2312" w:cs="楷体_GB2312" w:hint="eastAsia"/>
        </w:rPr>
        <w:t>省委宣传部、</w:t>
      </w:r>
      <w:r>
        <w:rPr>
          <w:rFonts w:eastAsia="楷体_GB2312" w:cs="楷体_GB2312"/>
        </w:rPr>
        <w:t>省教育厅、省商务厅、省卫生健康委</w:t>
      </w:r>
      <w:r>
        <w:rPr>
          <w:rFonts w:eastAsia="楷体_GB2312" w:cs="楷体_GB2312" w:hint="eastAsia"/>
        </w:rPr>
        <w:t>、</w:t>
      </w:r>
      <w:r>
        <w:rPr>
          <w:rFonts w:eastAsia="楷体_GB2312" w:cs="楷体_GB2312"/>
        </w:rPr>
        <w:t>省机关事务局、省中医药局、省疾控局、省妇联、省科协、省计生协等按职责分工负责）</w:t>
      </w:r>
    </w:p>
    <w:p w:rsidR="00046D2A" w:rsidRDefault="00046D2A" w:rsidP="00046D2A">
      <w:pPr>
        <w:pStyle w:val="-3GB"/>
        <w:spacing w:after="0"/>
        <w:ind w:firstLine="636"/>
        <w:rPr>
          <w:rFonts w:eastAsia="楷体_GB2312" w:cs="楷体_GB2312"/>
        </w:rPr>
      </w:pPr>
      <w:r>
        <w:rPr>
          <w:rFonts w:ascii="Times New Roman" w:hAnsi="Times New Roman"/>
        </w:rPr>
        <w:t>2</w:t>
      </w:r>
      <w:r>
        <w:rPr>
          <w:rFonts w:ascii="Times New Roman" w:hAnsi="Times New Roman" w:hint="eastAsia"/>
        </w:rPr>
        <w:t>．</w:t>
      </w:r>
      <w:r>
        <w:t>加强健康科普队伍建设。组织疾控、高校、医疗机构等共建省市县乡村五级营养健康科普队伍。大力开展营养指导员培训考核，力争到</w:t>
      </w:r>
      <w:r>
        <w:rPr>
          <w:rFonts w:ascii="Times New Roman" w:hAnsi="Times New Roman"/>
        </w:rPr>
        <w:t>2027</w:t>
      </w:r>
      <w:r>
        <w:t>年底</w:t>
      </w:r>
      <w:r>
        <w:rPr>
          <w:rFonts w:hint="eastAsia"/>
        </w:rPr>
        <w:t>全省</w:t>
      </w:r>
      <w:r>
        <w:t>每万人配备</w:t>
      </w:r>
      <w:r>
        <w:rPr>
          <w:rFonts w:ascii="Times New Roman" w:hAnsi="Times New Roman"/>
        </w:rPr>
        <w:t>1</w:t>
      </w:r>
      <w:r>
        <w:t>名营养指导员，机关、企</w:t>
      </w:r>
      <w:r>
        <w:lastRenderedPageBreak/>
        <w:t>事业单位食堂实现全覆盖。</w:t>
      </w:r>
      <w:r>
        <w:rPr>
          <w:rFonts w:eastAsia="楷体_GB2312" w:cs="楷体_GB2312"/>
        </w:rPr>
        <w:t>（省卫生健康委</w:t>
      </w:r>
      <w:r>
        <w:rPr>
          <w:rFonts w:eastAsia="楷体_GB2312" w:cs="楷体_GB2312" w:hint="eastAsia"/>
        </w:rPr>
        <w:t>、</w:t>
      </w:r>
      <w:r>
        <w:rPr>
          <w:rFonts w:eastAsia="楷体_GB2312" w:cs="楷体_GB2312"/>
        </w:rPr>
        <w:t>省中医药局、省疾控局、省科协、省计生协等按职责分工负责）</w:t>
      </w:r>
    </w:p>
    <w:p w:rsidR="00046D2A" w:rsidRDefault="00046D2A" w:rsidP="00046D2A">
      <w:pPr>
        <w:pStyle w:val="-3GB"/>
        <w:spacing w:after="0"/>
        <w:ind w:firstLine="636"/>
        <w:rPr>
          <w:rFonts w:eastAsia="楷体_GB2312" w:cs="楷体_GB2312"/>
        </w:rPr>
      </w:pPr>
      <w:r>
        <w:rPr>
          <w:rFonts w:ascii="Times New Roman" w:hAnsi="Times New Roman"/>
        </w:rPr>
        <w:t>3</w:t>
      </w:r>
      <w:r>
        <w:rPr>
          <w:rFonts w:ascii="Times New Roman" w:hAnsi="Times New Roman" w:hint="eastAsia"/>
        </w:rPr>
        <w:t>．</w:t>
      </w:r>
      <w:r>
        <w:t>开展系列健康科普活动。依托全民营养周、全民健康生活方式宣传月、爱国卫生月、全国科普月、中国学生营养日、世界家庭医生日、计生协会员活动日、家庭教育宣传周、中医药文化服务周、中国减盐周等开展系列科普活动，持续推进营养健康知识进社区、进机关、进企业、进医院</w:t>
      </w:r>
      <w:r>
        <w:rPr>
          <w:rFonts w:hint="eastAsia"/>
        </w:rPr>
        <w:t>、</w:t>
      </w:r>
      <w:r>
        <w:t>进学校。在全省医疗机构推广应用健康教育处方。举办营养健康科普作品征集大赛，强化中国居民膳食指南、预包装食品营养标签及家庭烹饪</w:t>
      </w:r>
      <w:r>
        <w:t>“</w:t>
      </w:r>
      <w:r>
        <w:t>减盐减油</w:t>
      </w:r>
      <w:r>
        <w:t>”</w:t>
      </w:r>
      <w:r>
        <w:t>技巧科普</w:t>
      </w:r>
      <w:r>
        <w:rPr>
          <w:rFonts w:hint="eastAsia"/>
        </w:rPr>
        <w:t>宣传</w:t>
      </w:r>
      <w:r>
        <w:t>。</w:t>
      </w:r>
      <w:r>
        <w:rPr>
          <w:rFonts w:eastAsia="楷体_GB2312" w:cs="楷体_GB2312"/>
        </w:rPr>
        <w:t>（省委宣传部</w:t>
      </w:r>
      <w:r>
        <w:rPr>
          <w:rFonts w:eastAsia="楷体_GB2312" w:cs="楷体_GB2312" w:hint="eastAsia"/>
        </w:rPr>
        <w:t>、</w:t>
      </w:r>
      <w:r>
        <w:rPr>
          <w:rFonts w:eastAsia="楷体_GB2312" w:cs="楷体_GB2312"/>
        </w:rPr>
        <w:t>省教育厅、</w:t>
      </w:r>
      <w:r>
        <w:rPr>
          <w:rFonts w:eastAsia="楷体_GB2312" w:cs="楷体_GB2312" w:hint="eastAsia"/>
        </w:rPr>
        <w:t>省科技厅、</w:t>
      </w:r>
      <w:r>
        <w:rPr>
          <w:rFonts w:eastAsia="楷体_GB2312" w:cs="楷体_GB2312"/>
        </w:rPr>
        <w:t>省民政厅、省卫生健康委</w:t>
      </w:r>
      <w:r>
        <w:rPr>
          <w:rFonts w:eastAsia="楷体_GB2312" w:cs="楷体_GB2312" w:hint="eastAsia"/>
        </w:rPr>
        <w:t>、</w:t>
      </w:r>
      <w:r>
        <w:rPr>
          <w:rFonts w:eastAsia="楷体_GB2312" w:cs="楷体_GB2312"/>
        </w:rPr>
        <w:t>省机关事务局、省中医药局、省疾控局、省妇联、省科协、省计生协、</w:t>
      </w:r>
      <w:r>
        <w:rPr>
          <w:rFonts w:eastAsia="楷体_GB2312" w:cs="楷体_GB2312" w:hint="eastAsia"/>
        </w:rPr>
        <w:t>湖南</w:t>
      </w:r>
      <w:r>
        <w:rPr>
          <w:rFonts w:eastAsia="楷体_GB2312" w:cs="楷体_GB2312"/>
        </w:rPr>
        <w:t>盐业集团等按职责分工负责）</w:t>
      </w:r>
    </w:p>
    <w:p w:rsidR="00046D2A" w:rsidRDefault="00046D2A" w:rsidP="00046D2A">
      <w:pPr>
        <w:pStyle w:val="-3GB"/>
        <w:spacing w:after="0"/>
        <w:ind w:firstLine="636"/>
        <w:rPr>
          <w:rFonts w:eastAsia="楷体_GB2312" w:cs="楷体_GB2312"/>
        </w:rPr>
      </w:pPr>
      <w:r>
        <w:rPr>
          <w:rFonts w:ascii="Times New Roman" w:hAnsi="Times New Roman"/>
        </w:rPr>
        <w:t>4</w:t>
      </w:r>
      <w:r>
        <w:rPr>
          <w:rFonts w:ascii="Times New Roman" w:hAnsi="Times New Roman" w:hint="eastAsia"/>
        </w:rPr>
        <w:t>．</w:t>
      </w:r>
      <w:r>
        <w:t>搭建全媒体宣传矩阵。通过</w:t>
      </w:r>
      <w:r>
        <w:rPr>
          <w:rFonts w:hint="eastAsia"/>
        </w:rPr>
        <w:t>网络</w:t>
      </w:r>
      <w:r>
        <w:t>媒体、电视、广播、户外广告、彩铃、短信等多种渠道广泛传播</w:t>
      </w:r>
      <w:r>
        <w:rPr>
          <w:rFonts w:hint="eastAsia"/>
        </w:rPr>
        <w:t>健康知识</w:t>
      </w:r>
      <w:r>
        <w:t>，组织医学专家、知名人士等进行联合倡议，推出</w:t>
      </w:r>
      <w:r>
        <w:t>“</w:t>
      </w:r>
      <w:r>
        <w:t>减盐减油</w:t>
      </w:r>
      <w:r>
        <w:t>”</w:t>
      </w:r>
      <w:r>
        <w:t>普及健康生活方式形象大使。组织主流媒体</w:t>
      </w:r>
      <w:r>
        <w:rPr>
          <w:rFonts w:hint="eastAsia"/>
        </w:rPr>
        <w:t>利用各城市公共场所的室内外电子大屏、广告媒介等</w:t>
      </w:r>
      <w:r>
        <w:t>，投放</w:t>
      </w:r>
      <w:r>
        <w:t>“</w:t>
      </w:r>
      <w:r>
        <w:t>减盐减油</w:t>
      </w:r>
      <w:r>
        <w:t>”</w:t>
      </w:r>
      <w:r>
        <w:t>公益广告和宣传海报。</w:t>
      </w:r>
      <w:r>
        <w:rPr>
          <w:rFonts w:eastAsia="楷体_GB2312" w:cs="楷体_GB2312"/>
        </w:rPr>
        <w:t>（</w:t>
      </w:r>
      <w:bookmarkStart w:id="2" w:name="_Hlk176179789"/>
      <w:r>
        <w:rPr>
          <w:rFonts w:eastAsia="楷体_GB2312" w:cs="楷体_GB2312"/>
        </w:rPr>
        <w:t>省委宣传部</w:t>
      </w:r>
      <w:r>
        <w:rPr>
          <w:rFonts w:eastAsia="楷体_GB2312" w:cs="楷体_GB2312" w:hint="eastAsia"/>
        </w:rPr>
        <w:t>、</w:t>
      </w:r>
      <w:r>
        <w:rPr>
          <w:rFonts w:eastAsia="楷体_GB2312" w:cs="楷体_GB2312"/>
        </w:rPr>
        <w:t>省委网信办</w:t>
      </w:r>
      <w:r>
        <w:rPr>
          <w:rFonts w:eastAsia="楷体_GB2312" w:cs="楷体_GB2312" w:hint="eastAsia"/>
        </w:rPr>
        <w:t>、</w:t>
      </w:r>
      <w:r>
        <w:rPr>
          <w:rFonts w:eastAsia="楷体_GB2312" w:cs="楷体_GB2312"/>
        </w:rPr>
        <w:t>省住房城乡建设厅、省交通运输厅、省卫生健康委、省广电局等按职责分工负责</w:t>
      </w:r>
      <w:bookmarkEnd w:id="2"/>
      <w:r>
        <w:rPr>
          <w:rFonts w:eastAsia="楷体_GB2312" w:cs="楷体_GB2312"/>
        </w:rPr>
        <w:t>）</w:t>
      </w:r>
    </w:p>
    <w:p w:rsidR="00046D2A" w:rsidRDefault="00046D2A" w:rsidP="00046D2A">
      <w:pPr>
        <w:pStyle w:val="-3GB"/>
        <w:spacing w:after="0"/>
        <w:ind w:firstLine="636"/>
        <w:rPr>
          <w:rFonts w:eastAsia="楷体_GB2312" w:cs="楷体_GB2312"/>
        </w:rPr>
      </w:pPr>
      <w:r>
        <w:rPr>
          <w:rFonts w:eastAsia="楷体_GB2312" w:cs="楷体_GB2312"/>
        </w:rPr>
        <w:t>（二）强化重点人群干预</w:t>
      </w:r>
    </w:p>
    <w:p w:rsidR="00046D2A" w:rsidRDefault="00046D2A" w:rsidP="00046D2A">
      <w:pPr>
        <w:pStyle w:val="-3GB"/>
        <w:spacing w:after="0"/>
        <w:ind w:firstLine="636"/>
        <w:rPr>
          <w:rFonts w:eastAsia="楷体_GB2312" w:cs="楷体_GB2312"/>
        </w:rPr>
      </w:pPr>
      <w:r>
        <w:rPr>
          <w:rFonts w:ascii="Times New Roman" w:hAnsi="Times New Roman"/>
        </w:rPr>
        <w:t>5</w:t>
      </w:r>
      <w:r>
        <w:rPr>
          <w:rFonts w:ascii="Times New Roman" w:hAnsi="Times New Roman" w:hint="eastAsia"/>
        </w:rPr>
        <w:t>．</w:t>
      </w:r>
      <w:r>
        <w:t>提升食品与餐饮行业营养技能。</w:t>
      </w:r>
      <w:r>
        <w:rPr>
          <w:rFonts w:hint="eastAsia"/>
        </w:rPr>
        <w:t>以</w:t>
      </w:r>
      <w:r>
        <w:t>食品和餐饮行业管理、</w:t>
      </w:r>
      <w:r>
        <w:rPr>
          <w:rFonts w:hint="eastAsia"/>
        </w:rPr>
        <w:t>制作、销售</w:t>
      </w:r>
      <w:r>
        <w:t>、采购人员等从业人员为重点，不断提升</w:t>
      </w:r>
      <w:r>
        <w:rPr>
          <w:rFonts w:hint="eastAsia"/>
        </w:rPr>
        <w:t>行业</w:t>
      </w:r>
      <w:r>
        <w:t>营养健康素养和操作技能。开展</w:t>
      </w:r>
      <w:r>
        <w:t>“</w:t>
      </w:r>
      <w:r>
        <w:t>减盐减油不减味</w:t>
      </w:r>
      <w:r>
        <w:t>”</w:t>
      </w:r>
      <w:r>
        <w:t>技术开发和技能培训，推动将</w:t>
      </w:r>
      <w:r>
        <w:t>“</w:t>
      </w:r>
      <w:r>
        <w:t>减盐减油</w:t>
      </w:r>
      <w:r>
        <w:t>”</w:t>
      </w:r>
      <w:r>
        <w:t>烹饪技能纳入湘菜大师、名师等评选标准。</w:t>
      </w:r>
      <w:r>
        <w:rPr>
          <w:rFonts w:eastAsia="楷体_GB2312" w:cs="楷体_GB2312"/>
        </w:rPr>
        <w:t>（省商务厅、省卫生健康委、省市场监管局</w:t>
      </w:r>
      <w:bookmarkStart w:id="3" w:name="_Hlk176179936"/>
      <w:r>
        <w:rPr>
          <w:rFonts w:eastAsia="楷体_GB2312" w:cs="楷体_GB2312"/>
        </w:rPr>
        <w:t>等按职责分工负责</w:t>
      </w:r>
      <w:bookmarkEnd w:id="3"/>
      <w:r>
        <w:rPr>
          <w:rFonts w:eastAsia="楷体_GB2312" w:cs="楷体_GB2312"/>
        </w:rPr>
        <w:t>）</w:t>
      </w:r>
    </w:p>
    <w:p w:rsidR="00046D2A" w:rsidRDefault="00046D2A" w:rsidP="00046D2A">
      <w:pPr>
        <w:pStyle w:val="-3GB"/>
        <w:spacing w:after="0"/>
        <w:ind w:firstLine="636"/>
        <w:rPr>
          <w:rFonts w:eastAsia="楷体_GB2312" w:cs="楷体_GB2312"/>
        </w:rPr>
      </w:pPr>
      <w:r>
        <w:rPr>
          <w:rFonts w:ascii="Times New Roman" w:hAnsi="Times New Roman"/>
        </w:rPr>
        <w:t>6</w:t>
      </w:r>
      <w:r>
        <w:rPr>
          <w:rFonts w:ascii="Times New Roman" w:hAnsi="Times New Roman" w:hint="eastAsia"/>
        </w:rPr>
        <w:t>．</w:t>
      </w:r>
      <w:r>
        <w:t>开展家庭主厨营养知识培训。发挥省妇联、省计生协组织网络优势，广泛开展</w:t>
      </w:r>
      <w:r>
        <w:t>“</w:t>
      </w:r>
      <w:r>
        <w:t>减盐减油</w:t>
      </w:r>
      <w:r>
        <w:t>”</w:t>
      </w:r>
      <w:r>
        <w:t>知识宣传、培训与指导，引导家庭使用</w:t>
      </w:r>
      <w:r>
        <w:t>“</w:t>
      </w:r>
      <w:r>
        <w:t>减盐减油</w:t>
      </w:r>
      <w:r>
        <w:t>”</w:t>
      </w:r>
      <w:r>
        <w:t>支持性工具（限量盐勺、限量油壶和健康腰围尺等）。鼓励使用低钠盐、减盐调味品，引导减少腌制、腊制及动物油脂类食材使用。将</w:t>
      </w:r>
      <w:r>
        <w:t>“</w:t>
      </w:r>
      <w:r>
        <w:t>减盐减油</w:t>
      </w:r>
      <w:r>
        <w:t>”</w:t>
      </w:r>
      <w:r>
        <w:t>相关内容纳入文明家庭、健康家庭建设标准。</w:t>
      </w:r>
      <w:r>
        <w:rPr>
          <w:rFonts w:eastAsia="楷体_GB2312" w:cs="楷体_GB2312"/>
        </w:rPr>
        <w:t>（省委宣传部</w:t>
      </w:r>
      <w:r>
        <w:rPr>
          <w:rFonts w:eastAsia="楷体_GB2312" w:cs="楷体_GB2312" w:hint="eastAsia"/>
        </w:rPr>
        <w:t>、</w:t>
      </w:r>
      <w:r>
        <w:rPr>
          <w:rFonts w:eastAsia="楷体_GB2312" w:cs="楷体_GB2312"/>
        </w:rPr>
        <w:t>省卫生健康委、省妇联</w:t>
      </w:r>
      <w:r>
        <w:rPr>
          <w:rFonts w:eastAsia="楷体_GB2312" w:cs="楷体_GB2312" w:hint="eastAsia"/>
        </w:rPr>
        <w:t>、</w:t>
      </w:r>
      <w:r>
        <w:rPr>
          <w:rFonts w:eastAsia="楷体_GB2312" w:cs="楷体_GB2312"/>
        </w:rPr>
        <w:t>省计生协等按职责分工负责）</w:t>
      </w:r>
    </w:p>
    <w:p w:rsidR="00046D2A" w:rsidRDefault="00046D2A" w:rsidP="00046D2A">
      <w:pPr>
        <w:pStyle w:val="-3GB"/>
        <w:spacing w:after="0"/>
        <w:ind w:firstLine="636"/>
        <w:rPr>
          <w:rFonts w:eastAsia="楷体_GB2312" w:cs="楷体_GB2312"/>
        </w:rPr>
      </w:pPr>
      <w:r>
        <w:rPr>
          <w:rFonts w:ascii="Times New Roman" w:hAnsi="Times New Roman"/>
        </w:rPr>
        <w:t>7</w:t>
      </w:r>
      <w:r>
        <w:rPr>
          <w:rFonts w:ascii="Times New Roman" w:hAnsi="Times New Roman" w:hint="eastAsia"/>
        </w:rPr>
        <w:t>．</w:t>
      </w:r>
      <w:r>
        <w:t>加强中小学生营养膳食指导。将</w:t>
      </w:r>
      <w:r>
        <w:t>“</w:t>
      </w:r>
      <w:r>
        <w:t>减盐减油</w:t>
      </w:r>
      <w:r>
        <w:t>”</w:t>
      </w:r>
      <w:r>
        <w:rPr>
          <w:rFonts w:hint="eastAsia"/>
        </w:rPr>
        <w:t>健康常识</w:t>
      </w:r>
      <w:r>
        <w:t>纳入学校健康教育课内容，融入体育与健康课程、主题班会，培养学生健康饮食习惯。开展学生营养午餐</w:t>
      </w:r>
      <w:r>
        <w:t>“</w:t>
      </w:r>
      <w:r>
        <w:t>减盐减油</w:t>
      </w:r>
      <w:r>
        <w:t>”</w:t>
      </w:r>
      <w:r>
        <w:t>行动。</w:t>
      </w:r>
      <w:r>
        <w:rPr>
          <w:rFonts w:eastAsia="楷体_GB2312" w:cs="楷体_GB2312"/>
        </w:rPr>
        <w:t>（省教育厅、省卫生健康委</w:t>
      </w:r>
      <w:r w:rsidR="002B5657">
        <w:rPr>
          <w:rFonts w:eastAsia="楷体_GB2312" w:cs="楷体_GB2312"/>
        </w:rPr>
        <w:t>等</w:t>
      </w:r>
      <w:r>
        <w:rPr>
          <w:rFonts w:eastAsia="楷体_GB2312" w:cs="楷体_GB2312"/>
        </w:rPr>
        <w:t>按职责分工负责）</w:t>
      </w:r>
    </w:p>
    <w:p w:rsidR="00046D2A" w:rsidRDefault="00046D2A" w:rsidP="00046D2A">
      <w:pPr>
        <w:pStyle w:val="-3GB"/>
        <w:spacing w:after="0"/>
        <w:ind w:firstLine="636"/>
        <w:rPr>
          <w:rFonts w:eastAsia="楷体_GB2312" w:cs="楷体_GB2312"/>
        </w:rPr>
      </w:pPr>
      <w:r>
        <w:rPr>
          <w:rFonts w:ascii="Times New Roman" w:hAnsi="Times New Roman"/>
        </w:rPr>
        <w:t>8</w:t>
      </w:r>
      <w:r>
        <w:rPr>
          <w:rFonts w:ascii="Times New Roman" w:hAnsi="Times New Roman" w:hint="eastAsia"/>
        </w:rPr>
        <w:t>．</w:t>
      </w:r>
      <w:r>
        <w:t>加强常见慢性病患者营养管理。持续推进</w:t>
      </w:r>
      <w:r>
        <w:t>“</w:t>
      </w:r>
      <w:r>
        <w:t>体重管理年</w:t>
      </w:r>
      <w:r>
        <w:t>”</w:t>
      </w:r>
      <w:r>
        <w:t>活动，引导医疗卫生机构设立体重门诊。加强医疗卫生机构临床营养工作，开展常见慢性病患者营养评估筛查，推广使用成人高血压、高脂血症等六项食养指南。深化基本医疗保险门诊统筹综合改革，将</w:t>
      </w:r>
      <w:r>
        <w:t>“</w:t>
      </w:r>
      <w:r>
        <w:t>减盐减油</w:t>
      </w:r>
      <w:r>
        <w:t>”</w:t>
      </w:r>
      <w:r>
        <w:t>纳入家庭医生签约服务内容，并与慢病防控、体重管理一体推进。以老年人、儿童</w:t>
      </w:r>
      <w:r>
        <w:rPr>
          <w:rFonts w:hint="eastAsia"/>
        </w:rPr>
        <w:t>、</w:t>
      </w:r>
      <w:r>
        <w:t>慢性病患者等</w:t>
      </w:r>
      <w:r>
        <w:rPr>
          <w:rFonts w:hint="eastAsia"/>
        </w:rPr>
        <w:t>人</w:t>
      </w:r>
      <w:r>
        <w:t>群营养健康需求为重点，以医疗卫生机构营养科和慢性病防控</w:t>
      </w:r>
      <w:r>
        <w:rPr>
          <w:rFonts w:hint="eastAsia"/>
        </w:rPr>
        <w:t>示范</w:t>
      </w:r>
      <w:r>
        <w:t>区建设为基础，探索</w:t>
      </w:r>
      <w:r>
        <w:t>“</w:t>
      </w:r>
      <w:r>
        <w:t>医院</w:t>
      </w:r>
      <w:r>
        <w:t>—</w:t>
      </w:r>
      <w:r>
        <w:t>社区</w:t>
      </w:r>
      <w:r>
        <w:t>—</w:t>
      </w:r>
      <w:r>
        <w:t>家庭</w:t>
      </w:r>
      <w:r>
        <w:t>”</w:t>
      </w:r>
      <w:r>
        <w:t>连续营养服务模式。</w:t>
      </w:r>
      <w:r>
        <w:rPr>
          <w:rFonts w:eastAsia="楷体_GB2312" w:cs="楷体_GB2312"/>
        </w:rPr>
        <w:t>（省卫生健康委</w:t>
      </w:r>
      <w:r>
        <w:rPr>
          <w:rFonts w:eastAsia="楷体_GB2312" w:cs="楷体_GB2312" w:hint="eastAsia"/>
        </w:rPr>
        <w:t>、</w:t>
      </w:r>
      <w:r>
        <w:rPr>
          <w:rFonts w:eastAsia="楷体_GB2312" w:cs="楷体_GB2312"/>
        </w:rPr>
        <w:t>省医保局、省中医药局、省疾控局</w:t>
      </w:r>
      <w:r w:rsidR="002B5657">
        <w:rPr>
          <w:rFonts w:eastAsia="楷体_GB2312" w:cs="楷体_GB2312"/>
        </w:rPr>
        <w:t>等</w:t>
      </w:r>
      <w:r>
        <w:rPr>
          <w:rFonts w:eastAsia="楷体_GB2312" w:cs="楷体_GB2312"/>
        </w:rPr>
        <w:t>按职责分工负责）</w:t>
      </w:r>
    </w:p>
    <w:p w:rsidR="00046D2A" w:rsidRDefault="00046D2A" w:rsidP="00046D2A">
      <w:pPr>
        <w:pStyle w:val="-3GB"/>
        <w:spacing w:after="0"/>
        <w:ind w:firstLine="636"/>
        <w:rPr>
          <w:rFonts w:eastAsia="楷体_GB2312" w:cs="楷体_GB2312"/>
        </w:rPr>
      </w:pPr>
      <w:bookmarkStart w:id="4" w:name="_Hlk176179067"/>
      <w:r>
        <w:rPr>
          <w:rFonts w:eastAsia="楷体_GB2312" w:cs="楷体_GB2312"/>
        </w:rPr>
        <w:t>（三）开展食品与餐饮行业源头减盐减油</w:t>
      </w:r>
      <w:bookmarkEnd w:id="4"/>
    </w:p>
    <w:p w:rsidR="00046D2A" w:rsidRDefault="00046D2A" w:rsidP="00046D2A">
      <w:pPr>
        <w:pStyle w:val="-3GB"/>
        <w:spacing w:after="0"/>
        <w:ind w:firstLine="636"/>
        <w:rPr>
          <w:rFonts w:eastAsia="楷体_GB2312" w:cs="楷体_GB2312"/>
        </w:rPr>
      </w:pPr>
      <w:r>
        <w:rPr>
          <w:rFonts w:ascii="Times New Roman" w:hAnsi="Times New Roman"/>
        </w:rPr>
        <w:t>9</w:t>
      </w:r>
      <w:r>
        <w:rPr>
          <w:rFonts w:ascii="Times New Roman" w:hAnsi="Times New Roman" w:hint="eastAsia"/>
        </w:rPr>
        <w:t>．</w:t>
      </w:r>
      <w:r>
        <w:t>加强营养健康场所建设。在机关、企事业单位、养老机构、社会福利机构、医疗卫生机构、社区老年助餐点等集中用餐单位食堂以及社会餐饮服务机构开展营养健康食堂（餐厅）或百优食堂建设，推动营养健康场所配备有资质的专（兼）职营养指导人员。</w:t>
      </w:r>
      <w:r>
        <w:rPr>
          <w:rFonts w:eastAsia="楷体_GB2312" w:cs="楷体_GB2312" w:hint="eastAsia"/>
        </w:rPr>
        <w:t>（省教育厅、省民政厅、</w:t>
      </w:r>
      <w:r>
        <w:rPr>
          <w:rFonts w:eastAsia="楷体_GB2312" w:cs="楷体_GB2312"/>
        </w:rPr>
        <w:t>省商务厅、</w:t>
      </w:r>
      <w:r>
        <w:rPr>
          <w:rFonts w:eastAsia="楷体_GB2312" w:cs="楷体_GB2312" w:hint="eastAsia"/>
        </w:rPr>
        <w:t>省卫生健康委、省机关事务局等按职责分工负责）</w:t>
      </w:r>
    </w:p>
    <w:p w:rsidR="00046D2A" w:rsidRDefault="00046D2A" w:rsidP="00046D2A">
      <w:pPr>
        <w:pStyle w:val="-3GB"/>
        <w:spacing w:after="0"/>
        <w:ind w:firstLine="636"/>
        <w:rPr>
          <w:rFonts w:eastAsia="楷体_GB2312" w:cs="楷体_GB2312"/>
        </w:rPr>
      </w:pPr>
      <w:r>
        <w:rPr>
          <w:rFonts w:ascii="Times New Roman" w:hAnsi="Times New Roman"/>
        </w:rPr>
        <w:t>10</w:t>
      </w:r>
      <w:r>
        <w:rPr>
          <w:rFonts w:ascii="Times New Roman" w:hAnsi="Times New Roman" w:hint="eastAsia"/>
        </w:rPr>
        <w:t>．</w:t>
      </w:r>
      <w:r>
        <w:t>开发和推广低钠低脂食品。支持和促进企业进行技术改造及产品研发，在食品生产加工过程中合理减少和控制食盐、食用油及各种含盐或油调味品的使用量，减少预包装食品的钠含量和脂肪含量，开发和推广</w:t>
      </w:r>
      <w:r>
        <w:t>“</w:t>
      </w:r>
      <w:r>
        <w:t>低钠低脂</w:t>
      </w:r>
      <w:r>
        <w:t>”</w:t>
      </w:r>
      <w:r>
        <w:t>食品。</w:t>
      </w:r>
      <w:r>
        <w:rPr>
          <w:rFonts w:eastAsia="楷体_GB2312" w:cs="楷体_GB2312"/>
        </w:rPr>
        <w:t>（</w:t>
      </w:r>
      <w:r>
        <w:rPr>
          <w:rFonts w:eastAsia="楷体_GB2312" w:cs="楷体_GB2312" w:hint="eastAsia"/>
        </w:rPr>
        <w:t>省科技厅、</w:t>
      </w:r>
      <w:r>
        <w:rPr>
          <w:rFonts w:eastAsia="楷体_GB2312" w:cs="楷体_GB2312"/>
        </w:rPr>
        <w:t>省工业和信息化厅、省卫生健康委、省市场监管局、</w:t>
      </w:r>
      <w:r>
        <w:rPr>
          <w:rFonts w:eastAsia="楷体_GB2312" w:cs="楷体_GB2312" w:hint="eastAsia"/>
        </w:rPr>
        <w:t>湖南</w:t>
      </w:r>
      <w:r>
        <w:rPr>
          <w:rFonts w:eastAsia="楷体_GB2312" w:cs="楷体_GB2312"/>
        </w:rPr>
        <w:t>盐业集团等按职责分工负责）</w:t>
      </w:r>
    </w:p>
    <w:p w:rsidR="00046D2A" w:rsidRDefault="00046D2A" w:rsidP="00046D2A">
      <w:pPr>
        <w:pStyle w:val="-3GB"/>
        <w:spacing w:after="0"/>
        <w:ind w:firstLine="636"/>
        <w:rPr>
          <w:rFonts w:eastAsia="楷体_GB2312" w:cs="楷体_GB2312"/>
        </w:rPr>
      </w:pPr>
      <w:r>
        <w:rPr>
          <w:rFonts w:eastAsia="楷体_GB2312" w:cs="楷体_GB2312"/>
        </w:rPr>
        <w:t>（四）推广“减盐减油”健康新湘菜</w:t>
      </w:r>
    </w:p>
    <w:p w:rsidR="00046D2A" w:rsidRDefault="00046D2A" w:rsidP="00046D2A">
      <w:pPr>
        <w:pStyle w:val="-3GB"/>
        <w:spacing w:after="0"/>
        <w:ind w:firstLine="636"/>
        <w:rPr>
          <w:rFonts w:eastAsia="楷体_GB2312" w:cs="楷体_GB2312"/>
        </w:rPr>
      </w:pPr>
      <w:r>
        <w:rPr>
          <w:rFonts w:ascii="Times New Roman" w:hAnsi="Times New Roman"/>
        </w:rPr>
        <w:t>11</w:t>
      </w:r>
      <w:r>
        <w:rPr>
          <w:rFonts w:ascii="Times New Roman" w:hAnsi="Times New Roman" w:hint="eastAsia"/>
        </w:rPr>
        <w:t>．</w:t>
      </w:r>
      <w:r>
        <w:t>研</w:t>
      </w:r>
      <w:r>
        <w:rPr>
          <w:rFonts w:hint="eastAsia"/>
        </w:rPr>
        <w:t>究</w:t>
      </w:r>
      <w:r>
        <w:t>制</w:t>
      </w:r>
      <w:r>
        <w:rPr>
          <w:rFonts w:hint="eastAsia"/>
        </w:rPr>
        <w:t>定</w:t>
      </w:r>
      <w:r>
        <w:t>健康新湘菜地方标准。围绕营养、原料、菜品烹饪技术及口味等内容，制定</w:t>
      </w:r>
      <w:r>
        <w:t>“</w:t>
      </w:r>
      <w:r>
        <w:t>减盐减油</w:t>
      </w:r>
      <w:r>
        <w:t>”</w:t>
      </w:r>
      <w:r>
        <w:t>新湘菜地方标准</w:t>
      </w:r>
      <w:r>
        <w:rPr>
          <w:rFonts w:hint="eastAsia"/>
        </w:rPr>
        <w:t>，</w:t>
      </w:r>
      <w:r>
        <w:t>完善健康新湘菜标准体系。</w:t>
      </w:r>
      <w:r>
        <w:rPr>
          <w:rFonts w:eastAsia="楷体_GB2312" w:cs="楷体_GB2312"/>
        </w:rPr>
        <w:t>（省卫生健康委、省市场监管局等按职责分工负责）</w:t>
      </w:r>
    </w:p>
    <w:p w:rsidR="00046D2A" w:rsidRDefault="00046D2A" w:rsidP="00046D2A">
      <w:pPr>
        <w:pStyle w:val="-3GB"/>
        <w:spacing w:after="0"/>
        <w:ind w:firstLine="636"/>
        <w:rPr>
          <w:rFonts w:eastAsia="楷体_GB2312" w:cs="楷体_GB2312"/>
        </w:rPr>
      </w:pPr>
      <w:r>
        <w:rPr>
          <w:rFonts w:ascii="Times New Roman" w:hAnsi="Times New Roman"/>
        </w:rPr>
        <w:t>12</w:t>
      </w:r>
      <w:r>
        <w:rPr>
          <w:rFonts w:ascii="Times New Roman" w:hAnsi="Times New Roman" w:hint="eastAsia"/>
        </w:rPr>
        <w:t>．</w:t>
      </w:r>
      <w:r>
        <w:t>加大健康新湘菜菜品创新。推动健康新湘菜发展</w:t>
      </w:r>
      <w:r>
        <w:rPr>
          <w:rFonts w:hint="eastAsia"/>
        </w:rPr>
        <w:t>纳入</w:t>
      </w:r>
      <w:r>
        <w:t>餐饮行业支持政策、行业规划和行业协会机构重点工作内容。发挥餐饮行业协会、营养学会、国民营养创新联合会等社会组织的协调指导作用，引导连锁餐饮企业、预制菜生产商、集中供餐单位等加大</w:t>
      </w:r>
      <w:r>
        <w:t>“</w:t>
      </w:r>
      <w:r>
        <w:t>减盐减油</w:t>
      </w:r>
      <w:r>
        <w:t>”</w:t>
      </w:r>
      <w:r>
        <w:t>新湘菜菜品创新。推广中医药食养药膳。</w:t>
      </w:r>
      <w:r>
        <w:rPr>
          <w:rFonts w:eastAsia="楷体_GB2312" w:cs="楷体_GB2312"/>
        </w:rPr>
        <w:t>（省农业农村厅、省商务厅</w:t>
      </w:r>
      <w:r>
        <w:rPr>
          <w:rFonts w:eastAsia="楷体_GB2312" w:cs="楷体_GB2312" w:hint="eastAsia"/>
        </w:rPr>
        <w:t>、</w:t>
      </w:r>
      <w:r>
        <w:rPr>
          <w:rFonts w:eastAsia="楷体_GB2312" w:cs="楷体_GB2312"/>
        </w:rPr>
        <w:t>省卫生健康委、省市场监管局、省中医药局等按职责分工负责）</w:t>
      </w:r>
    </w:p>
    <w:p w:rsidR="00046D2A" w:rsidRDefault="00046D2A" w:rsidP="00046D2A">
      <w:pPr>
        <w:pStyle w:val="-3GB"/>
        <w:spacing w:after="0"/>
        <w:ind w:firstLine="636"/>
        <w:rPr>
          <w:rFonts w:eastAsia="楷体_GB2312" w:cs="楷体_GB2312"/>
        </w:rPr>
      </w:pPr>
      <w:r>
        <w:rPr>
          <w:rFonts w:ascii="Times New Roman" w:hAnsi="Times New Roman"/>
        </w:rPr>
        <w:t>13</w:t>
      </w:r>
      <w:r>
        <w:rPr>
          <w:rFonts w:ascii="Times New Roman" w:hAnsi="Times New Roman" w:hint="eastAsia"/>
        </w:rPr>
        <w:t>．</w:t>
      </w:r>
      <w:r>
        <w:t>加大健康新湘菜宣传。依托</w:t>
      </w:r>
      <w:r>
        <w:t>“</w:t>
      </w:r>
      <w:r>
        <w:t>味道湖南</w:t>
      </w:r>
      <w:r>
        <w:t>”</w:t>
      </w:r>
      <w:r>
        <w:t>美食季、中国国际食品餐饮博览会等平台，提升</w:t>
      </w:r>
      <w:r>
        <w:t>“</w:t>
      </w:r>
      <w:r>
        <w:t>减盐减油</w:t>
      </w:r>
      <w:r>
        <w:t>”</w:t>
      </w:r>
      <w:r>
        <w:t>新湘菜影响力。鼓励和支持行业协会</w:t>
      </w:r>
      <w:r>
        <w:rPr>
          <w:rFonts w:hint="eastAsia"/>
        </w:rPr>
        <w:t>、学会等社会组织</w:t>
      </w:r>
      <w:r>
        <w:t>评选一批</w:t>
      </w:r>
      <w:r>
        <w:t>“</w:t>
      </w:r>
      <w:r>
        <w:t>减盐减油</w:t>
      </w:r>
      <w:r>
        <w:t>”</w:t>
      </w:r>
      <w:r>
        <w:rPr>
          <w:rFonts w:hint="eastAsia"/>
        </w:rPr>
        <w:t>成效明显企业和</w:t>
      </w:r>
      <w:r>
        <w:t>餐</w:t>
      </w:r>
      <w:r>
        <w:rPr>
          <w:rFonts w:hint="eastAsia"/>
        </w:rPr>
        <w:t>饮机构</w:t>
      </w:r>
      <w:r>
        <w:t>。</w:t>
      </w:r>
      <w:r>
        <w:rPr>
          <w:rFonts w:eastAsia="楷体_GB2312" w:cs="楷体_GB2312"/>
        </w:rPr>
        <w:t>（省商务厅、省卫生健康委等按职责分工负责）</w:t>
      </w:r>
    </w:p>
    <w:p w:rsidR="00046D2A" w:rsidRDefault="00046D2A" w:rsidP="00046D2A">
      <w:pPr>
        <w:pStyle w:val="-3GB"/>
        <w:spacing w:after="0"/>
        <w:ind w:firstLine="636"/>
        <w:rPr>
          <w:rFonts w:eastAsia="楷体_GB2312" w:cs="楷体_GB2312"/>
        </w:rPr>
      </w:pPr>
      <w:r>
        <w:rPr>
          <w:rFonts w:eastAsia="楷体_GB2312" w:cs="楷体_GB2312"/>
        </w:rPr>
        <w:t>（五）推广营养健康支持工具和适宜技术</w:t>
      </w:r>
    </w:p>
    <w:p w:rsidR="00046D2A" w:rsidRDefault="00046D2A" w:rsidP="00046D2A">
      <w:pPr>
        <w:pStyle w:val="-3GB"/>
        <w:spacing w:after="0"/>
        <w:ind w:firstLine="636"/>
        <w:rPr>
          <w:rFonts w:eastAsia="楷体_GB2312" w:cs="楷体_GB2312"/>
        </w:rPr>
      </w:pPr>
      <w:r>
        <w:rPr>
          <w:rFonts w:ascii="Times New Roman" w:hAnsi="Times New Roman"/>
        </w:rPr>
        <w:t>14</w:t>
      </w:r>
      <w:r>
        <w:rPr>
          <w:rFonts w:ascii="Times New Roman" w:hAnsi="Times New Roman" w:hint="eastAsia"/>
        </w:rPr>
        <w:t>．</w:t>
      </w:r>
      <w:r>
        <w:t>举办营养</w:t>
      </w:r>
      <w:r>
        <w:rPr>
          <w:rFonts w:hint="eastAsia"/>
        </w:rPr>
        <w:t>健康</w:t>
      </w:r>
      <w:r>
        <w:t>技能竞赛。组织开展</w:t>
      </w:r>
      <w:r>
        <w:t>“</w:t>
      </w:r>
      <w:r>
        <w:t>减盐减油</w:t>
      </w:r>
      <w:r>
        <w:t>·</w:t>
      </w:r>
      <w:r>
        <w:t>健康湘菜</w:t>
      </w:r>
      <w:r>
        <w:t>”</w:t>
      </w:r>
      <w:r>
        <w:t>烹饪技能大赛、</w:t>
      </w:r>
      <w:r>
        <w:t>“</w:t>
      </w:r>
      <w:r>
        <w:t>减盐控油在厨房，美味家庭促健康</w:t>
      </w:r>
      <w:r>
        <w:t>”</w:t>
      </w:r>
      <w:r>
        <w:t>家庭主厨厨艺比拼等活动，促进食品和餐饮从业人员及居民营养健康知识和技能提升。</w:t>
      </w:r>
      <w:r>
        <w:rPr>
          <w:rFonts w:eastAsia="楷体_GB2312" w:cs="楷体_GB2312"/>
        </w:rPr>
        <w:t>（省人力资源社会保障厅、省商务厅、省卫生健康委、省总工会、省妇联等按职责分工负责）</w:t>
      </w:r>
    </w:p>
    <w:p w:rsidR="00046D2A" w:rsidRDefault="00046D2A" w:rsidP="00046D2A">
      <w:pPr>
        <w:pStyle w:val="-3GB"/>
        <w:spacing w:after="0"/>
        <w:ind w:firstLine="636"/>
        <w:rPr>
          <w:rFonts w:eastAsia="楷体_GB2312" w:cs="楷体_GB2312"/>
        </w:rPr>
      </w:pPr>
      <w:r>
        <w:rPr>
          <w:rFonts w:ascii="Times New Roman" w:hAnsi="Times New Roman"/>
        </w:rPr>
        <w:t>15</w:t>
      </w:r>
      <w:r>
        <w:rPr>
          <w:rFonts w:ascii="Times New Roman" w:hAnsi="Times New Roman" w:hint="eastAsia"/>
        </w:rPr>
        <w:t>．</w:t>
      </w:r>
      <w:r>
        <w:t>推广食品营养声称和正面营养标识。将</w:t>
      </w:r>
      <w:r>
        <w:t>“</w:t>
      </w:r>
      <w:r>
        <w:t>减盐减油</w:t>
      </w:r>
      <w:r>
        <w:t>”</w:t>
      </w:r>
      <w:r>
        <w:t>知识和预包装食品营养标签纳入食品从业人员培训内容。推广餐饮食品营养标识，鼓励食品企业对低盐、低脂肪食品进行营养声称，研制钠、脂肪含量正面营养标识并推广使用。</w:t>
      </w:r>
      <w:r>
        <w:rPr>
          <w:rFonts w:eastAsia="楷体_GB2312" w:cs="楷体_GB2312"/>
        </w:rPr>
        <w:t>（省商务厅、省卫生健康委、省市场监管局等按职责分工负责）</w:t>
      </w:r>
    </w:p>
    <w:p w:rsidR="00046D2A" w:rsidRDefault="00046D2A" w:rsidP="00046D2A">
      <w:pPr>
        <w:pStyle w:val="-3GB"/>
        <w:spacing w:after="0"/>
        <w:ind w:firstLine="636"/>
        <w:rPr>
          <w:rFonts w:eastAsia="楷体_GB2312" w:cs="楷体_GB2312"/>
        </w:rPr>
      </w:pPr>
      <w:r>
        <w:rPr>
          <w:rFonts w:ascii="Times New Roman" w:hAnsi="Times New Roman"/>
        </w:rPr>
        <w:t>16</w:t>
      </w:r>
      <w:r>
        <w:rPr>
          <w:rFonts w:ascii="Times New Roman" w:hAnsi="Times New Roman" w:hint="eastAsia"/>
        </w:rPr>
        <w:t>．</w:t>
      </w:r>
      <w:r>
        <w:t>拓宽应用场景。引导大型商超开设低盐、低脂肪食品专柜。倡导网络餐饮平台设置</w:t>
      </w:r>
      <w:r>
        <w:t>“</w:t>
      </w:r>
      <w:r>
        <w:t>减盐减油</w:t>
      </w:r>
      <w:r>
        <w:t>”</w:t>
      </w:r>
      <w:r>
        <w:t>健康提醒弹窗、少盐少油选项模块等功能。引导企业在食盐、食用油生产销售中配套用量控制工具。鼓励医疗卫生机构、学校、机关企事业单位、宾馆酒店、家庭等配置体重秤。</w:t>
      </w:r>
      <w:r>
        <w:rPr>
          <w:rFonts w:eastAsia="楷体_GB2312" w:cs="楷体_GB2312"/>
        </w:rPr>
        <w:t>（省教育厅、省工业和信息化厅、省商务厅、省卫生健康委、省市场监管局、省机关事务局、省妇联、省计生协、</w:t>
      </w:r>
      <w:r>
        <w:rPr>
          <w:rFonts w:eastAsia="楷体_GB2312" w:cs="楷体_GB2312" w:hint="eastAsia"/>
        </w:rPr>
        <w:t>湖南</w:t>
      </w:r>
      <w:r>
        <w:rPr>
          <w:rFonts w:eastAsia="楷体_GB2312" w:cs="楷体_GB2312"/>
        </w:rPr>
        <w:t>盐业集团等按职责分工负责）</w:t>
      </w:r>
    </w:p>
    <w:p w:rsidR="00046D2A" w:rsidRDefault="00046D2A" w:rsidP="00046D2A">
      <w:pPr>
        <w:pStyle w:val="-3GB"/>
        <w:spacing w:after="0"/>
        <w:ind w:firstLine="636"/>
        <w:rPr>
          <w:rFonts w:eastAsia="楷体_GB2312" w:cs="楷体_GB2312"/>
        </w:rPr>
      </w:pPr>
      <w:r>
        <w:rPr>
          <w:rFonts w:eastAsia="楷体_GB2312" w:cs="楷体_GB2312"/>
        </w:rPr>
        <w:t>（六）加强科学研究和监测评估体系建设</w:t>
      </w:r>
    </w:p>
    <w:p w:rsidR="00046D2A" w:rsidRDefault="00046D2A" w:rsidP="00046D2A">
      <w:pPr>
        <w:pStyle w:val="-3GB"/>
        <w:spacing w:after="0"/>
        <w:ind w:firstLine="636"/>
        <w:rPr>
          <w:rFonts w:eastAsia="楷体_GB2312" w:cs="楷体_GB2312"/>
        </w:rPr>
      </w:pPr>
      <w:r>
        <w:rPr>
          <w:rFonts w:ascii="Times New Roman" w:hAnsi="Times New Roman"/>
        </w:rPr>
        <w:t>17</w:t>
      </w:r>
      <w:r>
        <w:rPr>
          <w:rFonts w:ascii="Times New Roman" w:hAnsi="Times New Roman" w:hint="eastAsia"/>
        </w:rPr>
        <w:t>．</w:t>
      </w:r>
      <w:r>
        <w:t>开展科学研究。支持建设公共营养与健康等科技创新平台。省级科技创新计划支持开展</w:t>
      </w:r>
      <w:r>
        <w:t>“</w:t>
      </w:r>
      <w:r>
        <w:t>减盐减油</w:t>
      </w:r>
      <w:r>
        <w:t>”</w:t>
      </w:r>
      <w:r>
        <w:t>关键技术、营养干预等方面的科学研究和科学普及活动。利用大数据、人工智能、云计算等信息技术，研究系统、精准的</w:t>
      </w:r>
      <w:r>
        <w:t>“</w:t>
      </w:r>
      <w:r>
        <w:t>减盐减油</w:t>
      </w:r>
      <w:r>
        <w:t>”</w:t>
      </w:r>
      <w:r>
        <w:t>策略，研发人机高度协同、数字化的主动营养</w:t>
      </w:r>
      <w:r>
        <w:rPr>
          <w:rFonts w:hint="eastAsia"/>
        </w:rPr>
        <w:t>健康</w:t>
      </w:r>
      <w:r>
        <w:t>适宜技术、智慧</w:t>
      </w:r>
      <w:r>
        <w:rPr>
          <w:rFonts w:hint="eastAsia"/>
        </w:rPr>
        <w:t>健康</w:t>
      </w:r>
      <w:r>
        <w:t>家居产品，开发食盐、食用油监测产品、湘式菜肴油盐替代品等。</w:t>
      </w:r>
      <w:r>
        <w:rPr>
          <w:rFonts w:eastAsia="楷体_GB2312" w:cs="楷体_GB2312"/>
        </w:rPr>
        <w:t>（省科技厅</w:t>
      </w:r>
      <w:r>
        <w:rPr>
          <w:rFonts w:eastAsia="楷体_GB2312" w:cs="楷体_GB2312" w:hint="eastAsia"/>
        </w:rPr>
        <w:t>、</w:t>
      </w:r>
      <w:r>
        <w:rPr>
          <w:rFonts w:eastAsia="楷体_GB2312" w:cs="楷体_GB2312"/>
        </w:rPr>
        <w:t>省工业和信息化厅、省财政厅、省卫生健康委、省疾控局等按职责分工负责）</w:t>
      </w:r>
    </w:p>
    <w:p w:rsidR="00046D2A" w:rsidRDefault="00046D2A" w:rsidP="00046D2A">
      <w:pPr>
        <w:pStyle w:val="-3GB"/>
        <w:spacing w:after="0"/>
        <w:ind w:firstLine="636"/>
        <w:rPr>
          <w:rFonts w:eastAsia="楷体_GB2312" w:cs="楷体_GB2312"/>
        </w:rPr>
      </w:pPr>
      <w:r>
        <w:rPr>
          <w:rFonts w:ascii="Times New Roman" w:hAnsi="Times New Roman"/>
        </w:rPr>
        <w:t>18</w:t>
      </w:r>
      <w:r>
        <w:rPr>
          <w:rFonts w:ascii="Times New Roman" w:hAnsi="Times New Roman" w:hint="eastAsia"/>
        </w:rPr>
        <w:t>．</w:t>
      </w:r>
      <w:r>
        <w:t>开展监测评估。定期组织开展人群膳食调查及营养健康状况监测，及时了解居民营养健康知识、行为改变情况及人均食盐、食用油摄入量、肥胖率、高血压患病率等指标变化趋势，定期公布</w:t>
      </w:r>
      <w:r>
        <w:t>“</w:t>
      </w:r>
      <w:r>
        <w:t>减盐减油</w:t>
      </w:r>
      <w:r>
        <w:t>”</w:t>
      </w:r>
      <w:r>
        <w:t>监测数据，动态评估</w:t>
      </w:r>
      <w:r>
        <w:t>“</w:t>
      </w:r>
      <w:r>
        <w:t>减盐减油</w:t>
      </w:r>
      <w:r>
        <w:t>”</w:t>
      </w:r>
      <w:r>
        <w:t>成效。</w:t>
      </w:r>
      <w:r>
        <w:rPr>
          <w:rFonts w:eastAsia="楷体_GB2312" w:cs="楷体_GB2312"/>
        </w:rPr>
        <w:t>（省卫生健康委牵头负责）</w:t>
      </w:r>
    </w:p>
    <w:p w:rsidR="00046D2A" w:rsidRDefault="00046D2A" w:rsidP="00046D2A">
      <w:pPr>
        <w:pStyle w:val="-3GB"/>
        <w:spacing w:after="0"/>
        <w:ind w:firstLine="636"/>
        <w:rPr>
          <w:rFonts w:ascii="黑体" w:eastAsia="黑体" w:hAnsi="黑体" w:cs="黑体"/>
        </w:rPr>
      </w:pPr>
      <w:r>
        <w:rPr>
          <w:rFonts w:ascii="黑体" w:eastAsia="黑体" w:hAnsi="黑体" w:cs="黑体"/>
        </w:rPr>
        <w:t>三</w:t>
      </w:r>
      <w:r>
        <w:rPr>
          <w:rFonts w:ascii="黑体" w:eastAsia="黑体" w:hAnsi="黑体" w:cs="黑体" w:hint="eastAsia"/>
        </w:rPr>
        <w:t>、</w:t>
      </w:r>
      <w:r>
        <w:rPr>
          <w:rFonts w:ascii="黑体" w:eastAsia="黑体" w:hAnsi="黑体" w:cs="黑体"/>
        </w:rPr>
        <w:t>保障措施</w:t>
      </w:r>
    </w:p>
    <w:p w:rsidR="00046D2A" w:rsidRDefault="00046D2A" w:rsidP="00046D2A">
      <w:pPr>
        <w:pStyle w:val="-3GB"/>
        <w:spacing w:after="0"/>
        <w:ind w:firstLine="636"/>
      </w:pPr>
      <w:r>
        <w:t>各地各有关部门要统一思想、深化认识，将本行动计划列为重点工作事项，并结合实际细化工作举措，明确职责分工，加强经费保障。长沙市、湘潭市、衡阳市、永州市要强化先行试点</w:t>
      </w:r>
      <w:r>
        <w:rPr>
          <w:rFonts w:hint="eastAsia"/>
        </w:rPr>
        <w:t>作用</w:t>
      </w:r>
      <w:r>
        <w:t>，加强工作推进，形成示范引领效应。</w:t>
      </w:r>
    </w:p>
    <w:p w:rsidR="00046D2A" w:rsidRDefault="00046D2A" w:rsidP="00046D2A">
      <w:pPr>
        <w:pStyle w:val="-3GB"/>
        <w:spacing w:after="0"/>
        <w:ind w:firstLine="636"/>
      </w:pPr>
    </w:p>
    <w:p w:rsidR="00046D2A" w:rsidRDefault="00046D2A" w:rsidP="00046D2A">
      <w:pPr>
        <w:pStyle w:val="-3GB"/>
        <w:spacing w:after="0"/>
        <w:ind w:firstLine="636"/>
        <w:rPr>
          <w:rFonts w:ascii="原版宋体" w:eastAsia="黑体" w:hAnsi="原版宋体" w:cs="Nimbus Roman No9 L"/>
          <w:szCs w:val="44"/>
        </w:rPr>
      </w:pPr>
      <w:r>
        <w:t>附</w:t>
      </w:r>
      <w:r>
        <w:rPr>
          <w:rFonts w:hint="eastAsia"/>
        </w:rPr>
        <w:t>件</w:t>
      </w:r>
      <w:r>
        <w:t>：湖南省</w:t>
      </w:r>
      <w:r>
        <w:t>“</w:t>
      </w:r>
      <w:r>
        <w:t>减盐减油</w:t>
      </w:r>
      <w:r>
        <w:t>”</w:t>
      </w:r>
      <w:r>
        <w:t>三年行动计划主要目标</w:t>
      </w:r>
    </w:p>
    <w:p w:rsidR="00046D2A" w:rsidRDefault="00046D2A" w:rsidP="00046D2A">
      <w:pPr>
        <w:spacing w:line="580" w:lineRule="exact"/>
        <w:rPr>
          <w:rFonts w:ascii="原版宋体" w:eastAsia="黑体" w:hAnsi="原版宋体" w:cs="Nimbus Roman No9 L"/>
          <w:szCs w:val="44"/>
        </w:rPr>
      </w:pPr>
      <w:r>
        <w:rPr>
          <w:rFonts w:ascii="原版宋体" w:eastAsia="黑体" w:hAnsi="原版宋体" w:cs="Nimbus Roman No9 L"/>
          <w:sz w:val="44"/>
          <w:szCs w:val="44"/>
        </w:rPr>
        <w:br w:type="page"/>
      </w:r>
      <w:r>
        <w:rPr>
          <w:rFonts w:ascii="原版宋体" w:eastAsia="黑体" w:hAnsi="原版宋体" w:cs="Nimbus Roman No9 L"/>
          <w:szCs w:val="44"/>
        </w:rPr>
        <w:t>附</w:t>
      </w:r>
      <w:r>
        <w:rPr>
          <w:rFonts w:ascii="原版宋体" w:eastAsia="黑体" w:hAnsi="原版宋体" w:cs="Nimbus Roman No9 L" w:hint="eastAsia"/>
          <w:szCs w:val="44"/>
        </w:rPr>
        <w:t>件</w:t>
      </w:r>
    </w:p>
    <w:p w:rsidR="00046D2A" w:rsidRDefault="00046D2A" w:rsidP="00046D2A">
      <w:pPr>
        <w:pStyle w:val="6"/>
        <w:ind w:left="3179"/>
      </w:pPr>
    </w:p>
    <w:p w:rsidR="00046D2A" w:rsidRDefault="00046D2A" w:rsidP="002B5657">
      <w:pPr>
        <w:spacing w:afterLines="50"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湖南省“减盐减油”三年行动计划主要目标</w:t>
      </w:r>
    </w:p>
    <w:tbl>
      <w:tblPr>
        <w:tblStyle w:val="a7"/>
        <w:tblW w:w="0" w:type="auto"/>
        <w:tblInd w:w="-328" w:type="dxa"/>
        <w:tblLayout w:type="fixed"/>
        <w:tblLook w:val="0000"/>
      </w:tblPr>
      <w:tblGrid>
        <w:gridCol w:w="715"/>
        <w:gridCol w:w="3854"/>
        <w:gridCol w:w="763"/>
        <w:gridCol w:w="1265"/>
        <w:gridCol w:w="1675"/>
        <w:gridCol w:w="1488"/>
      </w:tblGrid>
      <w:tr w:rsidR="00046D2A" w:rsidTr="00201005">
        <w:trPr>
          <w:trHeight w:val="676"/>
        </w:trPr>
        <w:tc>
          <w:tcPr>
            <w:tcW w:w="715" w:type="dxa"/>
            <w:vAlign w:val="center"/>
          </w:tcPr>
          <w:p w:rsidR="00046D2A" w:rsidRDefault="00046D2A" w:rsidP="00201005">
            <w:pPr>
              <w:spacing w:line="240" w:lineRule="atLeast"/>
              <w:jc w:val="center"/>
              <w:rPr>
                <w:rFonts w:ascii="原版宋体" w:eastAsia="黑体" w:hAnsi="原版宋体" w:cs="Nimbus Roman No9 L"/>
                <w:sz w:val="24"/>
                <w:szCs w:val="24"/>
              </w:rPr>
            </w:pPr>
            <w:r>
              <w:rPr>
                <w:rFonts w:ascii="原版宋体" w:eastAsia="黑体" w:hAnsi="原版宋体" w:cs="Nimbus Roman No9 L"/>
                <w:sz w:val="24"/>
                <w:szCs w:val="24"/>
              </w:rPr>
              <w:t>序号</w:t>
            </w:r>
          </w:p>
        </w:tc>
        <w:tc>
          <w:tcPr>
            <w:tcW w:w="3854" w:type="dxa"/>
            <w:vAlign w:val="center"/>
          </w:tcPr>
          <w:p w:rsidR="00046D2A" w:rsidRDefault="00046D2A" w:rsidP="00201005">
            <w:pPr>
              <w:spacing w:line="240" w:lineRule="atLeast"/>
              <w:jc w:val="center"/>
              <w:rPr>
                <w:rFonts w:ascii="原版宋体" w:eastAsia="黑体" w:hAnsi="原版宋体" w:cs="Nimbus Roman No9 L"/>
                <w:sz w:val="24"/>
                <w:szCs w:val="24"/>
              </w:rPr>
            </w:pPr>
            <w:r>
              <w:rPr>
                <w:rFonts w:ascii="原版宋体" w:eastAsia="黑体" w:hAnsi="原版宋体" w:cs="Nimbus Roman No9 L"/>
                <w:sz w:val="24"/>
                <w:szCs w:val="24"/>
              </w:rPr>
              <w:t>指标名称</w:t>
            </w:r>
          </w:p>
        </w:tc>
        <w:tc>
          <w:tcPr>
            <w:tcW w:w="763" w:type="dxa"/>
            <w:vAlign w:val="center"/>
          </w:tcPr>
          <w:p w:rsidR="00046D2A" w:rsidRDefault="00046D2A" w:rsidP="00201005">
            <w:pPr>
              <w:spacing w:line="240" w:lineRule="atLeast"/>
              <w:jc w:val="center"/>
              <w:rPr>
                <w:rFonts w:ascii="原版宋体" w:eastAsia="黑体" w:hAnsi="原版宋体" w:cs="Nimbus Roman No9 L"/>
                <w:sz w:val="24"/>
                <w:szCs w:val="24"/>
              </w:rPr>
            </w:pPr>
            <w:r>
              <w:rPr>
                <w:rFonts w:ascii="原版宋体" w:eastAsia="黑体" w:hAnsi="原版宋体" w:cs="Nimbus Roman No9 L"/>
                <w:sz w:val="24"/>
                <w:szCs w:val="24"/>
              </w:rPr>
              <w:t>单位</w:t>
            </w:r>
          </w:p>
        </w:tc>
        <w:tc>
          <w:tcPr>
            <w:tcW w:w="1265" w:type="dxa"/>
            <w:vAlign w:val="center"/>
          </w:tcPr>
          <w:p w:rsidR="00046D2A" w:rsidRDefault="00046D2A" w:rsidP="00201005">
            <w:pPr>
              <w:spacing w:line="240" w:lineRule="atLeast"/>
              <w:jc w:val="center"/>
              <w:rPr>
                <w:rFonts w:ascii="原版宋体" w:eastAsia="黑体" w:hAnsi="原版宋体" w:cs="Nimbus Roman No9 L"/>
                <w:sz w:val="24"/>
                <w:szCs w:val="24"/>
              </w:rPr>
            </w:pPr>
            <w:r>
              <w:rPr>
                <w:rFonts w:eastAsia="黑体" w:cs="Nimbus Roman No9 L"/>
                <w:sz w:val="24"/>
                <w:szCs w:val="24"/>
              </w:rPr>
              <w:t>2025</w:t>
            </w:r>
            <w:r>
              <w:rPr>
                <w:rFonts w:ascii="原版宋体" w:eastAsia="黑体" w:hAnsi="原版宋体" w:cs="Nimbus Roman No9 L"/>
                <w:sz w:val="24"/>
                <w:szCs w:val="24"/>
              </w:rPr>
              <w:t>年</w:t>
            </w:r>
          </w:p>
        </w:tc>
        <w:tc>
          <w:tcPr>
            <w:tcW w:w="1675" w:type="dxa"/>
            <w:vAlign w:val="center"/>
          </w:tcPr>
          <w:p w:rsidR="00046D2A" w:rsidRDefault="00046D2A" w:rsidP="00201005">
            <w:pPr>
              <w:spacing w:line="240" w:lineRule="atLeast"/>
              <w:jc w:val="center"/>
              <w:rPr>
                <w:rFonts w:ascii="原版宋体" w:eastAsia="黑体" w:hAnsi="原版宋体" w:cs="Nimbus Roman No9 L"/>
                <w:sz w:val="24"/>
                <w:szCs w:val="24"/>
              </w:rPr>
            </w:pPr>
            <w:r>
              <w:rPr>
                <w:rFonts w:eastAsia="黑体" w:cs="Nimbus Roman No9 L"/>
                <w:sz w:val="24"/>
                <w:szCs w:val="24"/>
              </w:rPr>
              <w:t>2026</w:t>
            </w:r>
            <w:r>
              <w:rPr>
                <w:rFonts w:ascii="原版宋体" w:eastAsia="黑体" w:hAnsi="原版宋体" w:cs="Nimbus Roman No9 L"/>
                <w:sz w:val="24"/>
                <w:szCs w:val="24"/>
              </w:rPr>
              <w:t>年</w:t>
            </w:r>
          </w:p>
        </w:tc>
        <w:tc>
          <w:tcPr>
            <w:tcW w:w="1488" w:type="dxa"/>
            <w:vAlign w:val="center"/>
          </w:tcPr>
          <w:p w:rsidR="00046D2A" w:rsidRDefault="00046D2A" w:rsidP="00201005">
            <w:pPr>
              <w:spacing w:line="240" w:lineRule="atLeast"/>
              <w:jc w:val="center"/>
              <w:rPr>
                <w:rFonts w:ascii="原版宋体" w:eastAsia="黑体" w:hAnsi="原版宋体" w:cs="Nimbus Roman No9 L"/>
                <w:sz w:val="24"/>
                <w:szCs w:val="24"/>
              </w:rPr>
            </w:pPr>
            <w:r>
              <w:rPr>
                <w:rFonts w:eastAsia="黑体" w:cs="Nimbus Roman No9 L"/>
                <w:sz w:val="24"/>
                <w:szCs w:val="24"/>
              </w:rPr>
              <w:t>2027</w:t>
            </w:r>
            <w:r>
              <w:rPr>
                <w:rFonts w:ascii="原版宋体" w:eastAsia="黑体" w:hAnsi="原版宋体" w:cs="Nimbus Roman No9 L"/>
                <w:sz w:val="24"/>
                <w:szCs w:val="24"/>
              </w:rPr>
              <w:t>年</w:t>
            </w:r>
          </w:p>
        </w:tc>
      </w:tr>
      <w:tr w:rsidR="00046D2A" w:rsidTr="00201005">
        <w:trPr>
          <w:trHeight w:val="976"/>
        </w:trPr>
        <w:tc>
          <w:tcPr>
            <w:tcW w:w="71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1</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人均每日食盐和食用油摄入量</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hint="eastAsia"/>
                <w:sz w:val="24"/>
                <w:szCs w:val="24"/>
              </w:rPr>
              <w:t>g</w:t>
            </w:r>
          </w:p>
        </w:tc>
        <w:tc>
          <w:tcPr>
            <w:tcW w:w="1265" w:type="dxa"/>
            <w:vAlign w:val="center"/>
          </w:tcPr>
          <w:p w:rsidR="00046D2A" w:rsidRDefault="002B5657" w:rsidP="00201005">
            <w:pPr>
              <w:spacing w:line="420" w:lineRule="exact"/>
              <w:jc w:val="center"/>
              <w:rPr>
                <w:rFonts w:ascii="原版宋体" w:hAnsi="原版宋体" w:cs="Nimbus Roman No9 L"/>
                <w:sz w:val="24"/>
                <w:szCs w:val="24"/>
              </w:rPr>
            </w:pPr>
            <w:r>
              <w:rPr>
                <w:rFonts w:ascii="原版宋体" w:hAnsi="原版宋体" w:cs="Nimbus Roman No9 L" w:hint="eastAsia"/>
                <w:sz w:val="24"/>
                <w:szCs w:val="24"/>
              </w:rPr>
              <w:t>—</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hint="eastAsia"/>
                <w:sz w:val="24"/>
                <w:szCs w:val="24"/>
              </w:rPr>
              <w:t>较</w:t>
            </w:r>
            <w:r>
              <w:rPr>
                <w:rFonts w:cs="Nimbus Roman No9 L" w:hint="eastAsia"/>
                <w:sz w:val="24"/>
                <w:szCs w:val="24"/>
              </w:rPr>
              <w:t>2024</w:t>
            </w:r>
            <w:r>
              <w:rPr>
                <w:rFonts w:ascii="原版宋体" w:hAnsi="原版宋体" w:cs="Nimbus Roman No9 L" w:hint="eastAsia"/>
                <w:sz w:val="24"/>
                <w:szCs w:val="24"/>
              </w:rPr>
              <w:t>年</w:t>
            </w:r>
          </w:p>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hint="eastAsia"/>
                <w:sz w:val="24"/>
                <w:szCs w:val="24"/>
              </w:rPr>
              <w:t>下降</w:t>
            </w:r>
            <w:r>
              <w:rPr>
                <w:rFonts w:cs="Nimbus Roman No9 L" w:hint="eastAsia"/>
                <w:sz w:val="24"/>
                <w:szCs w:val="24"/>
              </w:rPr>
              <w:t>0</w:t>
            </w:r>
            <w:r>
              <w:rPr>
                <w:rFonts w:ascii="原版宋体" w:hAnsi="原版宋体" w:cs="Nimbus Roman No9 L" w:hint="eastAsia"/>
                <w:sz w:val="24"/>
                <w:szCs w:val="24"/>
              </w:rPr>
              <w:t>.</w:t>
            </w:r>
            <w:r>
              <w:rPr>
                <w:rFonts w:cs="Nimbus Roman No9 L" w:hint="eastAsia"/>
                <w:sz w:val="24"/>
                <w:szCs w:val="24"/>
              </w:rPr>
              <w:t>6g</w:t>
            </w:r>
            <w:r>
              <w:rPr>
                <w:rFonts w:ascii="原版宋体" w:hAnsi="原版宋体" w:cs="Nimbus Roman No9 L" w:hint="eastAsia"/>
                <w:sz w:val="24"/>
                <w:szCs w:val="24"/>
              </w:rPr>
              <w:t>/</w:t>
            </w:r>
            <w:r>
              <w:rPr>
                <w:rFonts w:cs="Nimbus Roman No9 L" w:hint="eastAsia"/>
                <w:sz w:val="24"/>
                <w:szCs w:val="24"/>
              </w:rPr>
              <w:t>2</w:t>
            </w:r>
            <w:r>
              <w:rPr>
                <w:rFonts w:ascii="原版宋体" w:hAnsi="原版宋体" w:cs="Nimbus Roman No9 L" w:hint="eastAsia"/>
                <w:sz w:val="24"/>
                <w:szCs w:val="24"/>
              </w:rPr>
              <w:t>.</w:t>
            </w:r>
            <w:r>
              <w:rPr>
                <w:rFonts w:cs="Nimbus Roman No9 L" w:hint="eastAsia"/>
                <w:sz w:val="24"/>
                <w:szCs w:val="24"/>
              </w:rPr>
              <w:t>5g</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hint="eastAsia"/>
                <w:sz w:val="24"/>
                <w:szCs w:val="24"/>
              </w:rPr>
              <w:t>较</w:t>
            </w:r>
            <w:r>
              <w:rPr>
                <w:rFonts w:cs="Nimbus Roman No9 L" w:hint="eastAsia"/>
                <w:sz w:val="24"/>
                <w:szCs w:val="24"/>
              </w:rPr>
              <w:t>2024</w:t>
            </w:r>
            <w:r>
              <w:rPr>
                <w:rFonts w:ascii="原版宋体" w:hAnsi="原版宋体" w:cs="Nimbus Roman No9 L" w:hint="eastAsia"/>
                <w:sz w:val="24"/>
                <w:szCs w:val="24"/>
              </w:rPr>
              <w:t>年</w:t>
            </w:r>
          </w:p>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hint="eastAsia"/>
                <w:sz w:val="24"/>
                <w:szCs w:val="24"/>
              </w:rPr>
              <w:t>下降</w:t>
            </w:r>
            <w:r>
              <w:rPr>
                <w:rFonts w:cs="Nimbus Roman No9 L" w:hint="eastAsia"/>
                <w:sz w:val="24"/>
                <w:szCs w:val="24"/>
              </w:rPr>
              <w:t>1</w:t>
            </w:r>
            <w:r>
              <w:rPr>
                <w:rFonts w:ascii="原版宋体" w:hAnsi="原版宋体" w:cs="Nimbus Roman No9 L" w:hint="eastAsia"/>
                <w:sz w:val="24"/>
                <w:szCs w:val="24"/>
              </w:rPr>
              <w:t>.</w:t>
            </w:r>
            <w:r>
              <w:rPr>
                <w:rFonts w:cs="Nimbus Roman No9 L" w:hint="eastAsia"/>
                <w:sz w:val="24"/>
                <w:szCs w:val="24"/>
              </w:rPr>
              <w:t>2g</w:t>
            </w:r>
            <w:r>
              <w:rPr>
                <w:rFonts w:ascii="原版宋体" w:hAnsi="原版宋体" w:cs="Nimbus Roman No9 L" w:hint="eastAsia"/>
                <w:sz w:val="24"/>
                <w:szCs w:val="24"/>
              </w:rPr>
              <w:t>/</w:t>
            </w:r>
            <w:r>
              <w:rPr>
                <w:rFonts w:cs="Nimbus Roman No9 L" w:hint="eastAsia"/>
                <w:sz w:val="24"/>
                <w:szCs w:val="24"/>
              </w:rPr>
              <w:t>5g</w:t>
            </w:r>
          </w:p>
        </w:tc>
      </w:tr>
      <w:tr w:rsidR="00046D2A" w:rsidTr="00201005">
        <w:trPr>
          <w:trHeight w:val="976"/>
        </w:trPr>
        <w:tc>
          <w:tcPr>
            <w:tcW w:w="71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2</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居民肥胖</w:t>
            </w:r>
            <w:r>
              <w:rPr>
                <w:rFonts w:ascii="原版宋体" w:hAnsi="原版宋体" w:cs="Nimbus Roman No9 L" w:hint="eastAsia"/>
                <w:sz w:val="24"/>
                <w:szCs w:val="24"/>
              </w:rPr>
              <w:t>率</w:t>
            </w:r>
            <w:r>
              <w:rPr>
                <w:rFonts w:ascii="原版宋体" w:hAnsi="原版宋体" w:cs="Nimbus Roman No9 L"/>
                <w:sz w:val="24"/>
                <w:szCs w:val="24"/>
              </w:rPr>
              <w:t>、高血压</w:t>
            </w:r>
            <w:r>
              <w:rPr>
                <w:rFonts w:ascii="原版宋体" w:hAnsi="原版宋体" w:cs="Nimbus Roman No9 L" w:hint="eastAsia"/>
                <w:sz w:val="24"/>
                <w:szCs w:val="24"/>
              </w:rPr>
              <w:t>患病率</w:t>
            </w:r>
            <w:r>
              <w:rPr>
                <w:rFonts w:ascii="原版宋体" w:hAnsi="原版宋体" w:cs="Nimbus Roman No9 L"/>
                <w:sz w:val="24"/>
                <w:szCs w:val="24"/>
              </w:rPr>
              <w:t>的增长速度</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有所减缓</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有所减缓</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有所减缓</w:t>
            </w:r>
          </w:p>
        </w:tc>
      </w:tr>
      <w:tr w:rsidR="00046D2A" w:rsidTr="00201005">
        <w:trPr>
          <w:trHeight w:val="493"/>
        </w:trPr>
        <w:tc>
          <w:tcPr>
            <w:tcW w:w="71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3</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每万人营养健康指导员人数</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人</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0</w:t>
            </w:r>
            <w:r>
              <w:rPr>
                <w:rFonts w:ascii="原版宋体" w:hAnsi="原版宋体" w:cs="Nimbus Roman No9 L"/>
                <w:sz w:val="24"/>
                <w:szCs w:val="24"/>
              </w:rPr>
              <w:t>.</w:t>
            </w:r>
            <w:r>
              <w:rPr>
                <w:rFonts w:cs="Nimbus Roman No9 L"/>
                <w:sz w:val="24"/>
                <w:szCs w:val="24"/>
              </w:rPr>
              <w:t>6</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0</w:t>
            </w:r>
            <w:r>
              <w:rPr>
                <w:rFonts w:ascii="原版宋体" w:hAnsi="原版宋体" w:cs="Nimbus Roman No9 L"/>
                <w:sz w:val="24"/>
                <w:szCs w:val="24"/>
              </w:rPr>
              <w:t>.</w:t>
            </w:r>
            <w:r>
              <w:rPr>
                <w:rFonts w:cs="Nimbus Roman No9 L"/>
                <w:sz w:val="24"/>
                <w:szCs w:val="24"/>
              </w:rPr>
              <w:t>8</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1</w:t>
            </w:r>
          </w:p>
        </w:tc>
      </w:tr>
      <w:tr w:rsidR="00046D2A" w:rsidTr="00201005">
        <w:trPr>
          <w:trHeight w:val="493"/>
        </w:trPr>
        <w:tc>
          <w:tcPr>
            <w:tcW w:w="71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4</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居民营养健康知识知晓率</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w:t>
            </w:r>
          </w:p>
        </w:tc>
        <w:tc>
          <w:tcPr>
            <w:tcW w:w="1265" w:type="dxa"/>
            <w:vAlign w:val="center"/>
          </w:tcPr>
          <w:p w:rsidR="00046D2A" w:rsidRDefault="002B5657" w:rsidP="00201005">
            <w:pPr>
              <w:spacing w:line="420" w:lineRule="exact"/>
              <w:jc w:val="center"/>
              <w:rPr>
                <w:rFonts w:ascii="原版宋体" w:hAnsi="原版宋体" w:cs="Nimbus Roman No9 L"/>
                <w:sz w:val="24"/>
                <w:szCs w:val="24"/>
              </w:rPr>
            </w:pPr>
            <w:r>
              <w:rPr>
                <w:rFonts w:ascii="原版宋体" w:hAnsi="原版宋体" w:cs="Nimbus Roman No9 L" w:hint="eastAsia"/>
                <w:sz w:val="24"/>
                <w:szCs w:val="24"/>
              </w:rPr>
              <w:t>—</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hint="eastAsia"/>
                <w:sz w:val="24"/>
                <w:szCs w:val="24"/>
              </w:rPr>
              <w:t>28</w:t>
            </w:r>
            <w:r>
              <w:rPr>
                <w:rFonts w:cs="Nimbus Roman No9 L"/>
                <w:sz w:val="24"/>
                <w:szCs w:val="24"/>
              </w:rPr>
              <w:t>%</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hint="eastAsia"/>
                <w:sz w:val="24"/>
                <w:szCs w:val="24"/>
              </w:rPr>
              <w:t>32</w:t>
            </w:r>
            <w:r>
              <w:rPr>
                <w:rFonts w:cs="Nimbus Roman No9 L"/>
                <w:sz w:val="24"/>
                <w:szCs w:val="24"/>
              </w:rPr>
              <w:t>%</w:t>
            </w:r>
          </w:p>
        </w:tc>
      </w:tr>
      <w:tr w:rsidR="00046D2A" w:rsidTr="00201005">
        <w:trPr>
          <w:trHeight w:val="493"/>
        </w:trPr>
        <w:tc>
          <w:tcPr>
            <w:tcW w:w="715" w:type="dxa"/>
            <w:vAlign w:val="center"/>
          </w:tcPr>
          <w:p w:rsidR="00046D2A" w:rsidRDefault="00046D2A" w:rsidP="00201005">
            <w:pPr>
              <w:spacing w:line="420" w:lineRule="exact"/>
              <w:jc w:val="center"/>
              <w:rPr>
                <w:rFonts w:ascii="原版宋体" w:hAnsi="原版宋体" w:cs="Nimbus Roman No9 L"/>
                <w:kern w:val="2"/>
                <w:sz w:val="24"/>
                <w:szCs w:val="24"/>
              </w:rPr>
            </w:pPr>
            <w:r>
              <w:rPr>
                <w:rFonts w:cs="Nimbus Roman No9 L"/>
                <w:sz w:val="24"/>
                <w:szCs w:val="24"/>
              </w:rPr>
              <w:t>5</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居民健康素养水平</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hint="eastAsia"/>
                <w:sz w:val="24"/>
                <w:szCs w:val="24"/>
              </w:rPr>
              <w:t>35</w:t>
            </w:r>
            <w:r>
              <w:rPr>
                <w:rFonts w:cs="Nimbus Roman No9 L"/>
                <w:sz w:val="24"/>
                <w:szCs w:val="24"/>
              </w:rPr>
              <w:t>%</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hint="eastAsia"/>
                <w:sz w:val="24"/>
                <w:szCs w:val="24"/>
              </w:rPr>
              <w:t>38</w:t>
            </w:r>
            <w:r>
              <w:rPr>
                <w:rFonts w:cs="Nimbus Roman No9 L"/>
                <w:sz w:val="24"/>
                <w:szCs w:val="24"/>
              </w:rPr>
              <w:t>%</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hint="eastAsia"/>
                <w:sz w:val="24"/>
                <w:szCs w:val="24"/>
              </w:rPr>
              <w:t>40</w:t>
            </w:r>
            <w:r>
              <w:rPr>
                <w:rFonts w:cs="Nimbus Roman No9 L"/>
                <w:sz w:val="24"/>
                <w:szCs w:val="24"/>
              </w:rPr>
              <w:t>%</w:t>
            </w:r>
          </w:p>
        </w:tc>
      </w:tr>
      <w:tr w:rsidR="00046D2A" w:rsidTr="00201005">
        <w:trPr>
          <w:trHeight w:val="493"/>
        </w:trPr>
        <w:tc>
          <w:tcPr>
            <w:tcW w:w="715" w:type="dxa"/>
            <w:vAlign w:val="center"/>
          </w:tcPr>
          <w:p w:rsidR="00046D2A" w:rsidRDefault="00046D2A" w:rsidP="00201005">
            <w:pPr>
              <w:spacing w:line="420" w:lineRule="exact"/>
              <w:jc w:val="center"/>
              <w:rPr>
                <w:rFonts w:ascii="原版宋体" w:hAnsi="原版宋体" w:cs="Nimbus Roman No9 L"/>
                <w:kern w:val="2"/>
                <w:sz w:val="24"/>
                <w:szCs w:val="24"/>
              </w:rPr>
            </w:pPr>
            <w:r>
              <w:rPr>
                <w:rFonts w:cs="Nimbus Roman No9 L"/>
                <w:sz w:val="24"/>
                <w:szCs w:val="24"/>
              </w:rPr>
              <w:t>6</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二级以上医疗机构营养科配备率</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sz w:val="24"/>
                <w:szCs w:val="24"/>
              </w:rPr>
              <w:t>10%</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sz w:val="24"/>
                <w:szCs w:val="24"/>
              </w:rPr>
              <w:t>40%</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w:t>
            </w:r>
            <w:r>
              <w:rPr>
                <w:rFonts w:cs="Nimbus Roman No9 L"/>
                <w:sz w:val="24"/>
                <w:szCs w:val="24"/>
              </w:rPr>
              <w:t>60%</w:t>
            </w:r>
          </w:p>
        </w:tc>
      </w:tr>
      <w:tr w:rsidR="00046D2A" w:rsidTr="00201005">
        <w:trPr>
          <w:trHeight w:val="976"/>
        </w:trPr>
        <w:tc>
          <w:tcPr>
            <w:tcW w:w="715" w:type="dxa"/>
            <w:vAlign w:val="center"/>
          </w:tcPr>
          <w:p w:rsidR="00046D2A" w:rsidRDefault="00046D2A" w:rsidP="00201005">
            <w:pPr>
              <w:spacing w:line="420" w:lineRule="exact"/>
              <w:jc w:val="center"/>
              <w:rPr>
                <w:rFonts w:ascii="原版宋体" w:hAnsi="原版宋体" w:cs="Nimbus Roman No9 L"/>
                <w:kern w:val="2"/>
                <w:sz w:val="24"/>
                <w:szCs w:val="24"/>
              </w:rPr>
            </w:pPr>
            <w:r>
              <w:rPr>
                <w:rFonts w:cs="Nimbus Roman No9 L"/>
                <w:sz w:val="24"/>
                <w:szCs w:val="24"/>
              </w:rPr>
              <w:t>7</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营养健康场所（食堂、餐厅、学校）建设数量</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hint="eastAsia"/>
                <w:sz w:val="24"/>
                <w:szCs w:val="24"/>
              </w:rPr>
              <w:t>家</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500</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500</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500</w:t>
            </w:r>
          </w:p>
        </w:tc>
      </w:tr>
      <w:tr w:rsidR="00046D2A" w:rsidTr="00201005">
        <w:trPr>
          <w:trHeight w:val="493"/>
        </w:trPr>
        <w:tc>
          <w:tcPr>
            <w:tcW w:w="715" w:type="dxa"/>
            <w:vAlign w:val="center"/>
          </w:tcPr>
          <w:p w:rsidR="00046D2A" w:rsidRDefault="00046D2A" w:rsidP="00201005">
            <w:pPr>
              <w:spacing w:line="420" w:lineRule="exact"/>
              <w:jc w:val="center"/>
              <w:rPr>
                <w:rFonts w:ascii="原版宋体" w:hAnsi="原版宋体" w:cs="Nimbus Roman No9 L"/>
                <w:kern w:val="2"/>
                <w:sz w:val="24"/>
                <w:szCs w:val="24"/>
              </w:rPr>
            </w:pPr>
            <w:r>
              <w:rPr>
                <w:rFonts w:cs="Nimbus Roman No9 L"/>
                <w:sz w:val="24"/>
                <w:szCs w:val="24"/>
              </w:rPr>
              <w:t>8</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w:t>
            </w:r>
            <w:r>
              <w:rPr>
                <w:rFonts w:ascii="原版宋体" w:hAnsi="原版宋体" w:cs="Nimbus Roman No9 L"/>
                <w:sz w:val="24"/>
                <w:szCs w:val="24"/>
              </w:rPr>
              <w:t>减盐减油</w:t>
            </w:r>
            <w:r>
              <w:rPr>
                <w:rFonts w:ascii="原版宋体" w:hAnsi="原版宋体" w:cs="Nimbus Roman No9 L"/>
                <w:sz w:val="24"/>
                <w:szCs w:val="24"/>
              </w:rPr>
              <w:t>”</w:t>
            </w:r>
            <w:r>
              <w:rPr>
                <w:rFonts w:ascii="原版宋体" w:hAnsi="原版宋体" w:cs="Nimbus Roman No9 L"/>
                <w:sz w:val="24"/>
                <w:szCs w:val="24"/>
              </w:rPr>
              <w:t>科普宣传活动</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场</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200</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200</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200</w:t>
            </w:r>
          </w:p>
        </w:tc>
      </w:tr>
      <w:tr w:rsidR="00046D2A" w:rsidTr="00201005">
        <w:trPr>
          <w:trHeight w:val="976"/>
        </w:trPr>
        <w:tc>
          <w:tcPr>
            <w:tcW w:w="715" w:type="dxa"/>
            <w:vAlign w:val="center"/>
          </w:tcPr>
          <w:p w:rsidR="00046D2A" w:rsidRDefault="00046D2A" w:rsidP="00201005">
            <w:pPr>
              <w:spacing w:line="420" w:lineRule="exact"/>
              <w:jc w:val="center"/>
              <w:rPr>
                <w:rFonts w:ascii="原版宋体" w:hAnsi="原版宋体" w:cs="Nimbus Roman No9 L"/>
                <w:kern w:val="2"/>
                <w:sz w:val="24"/>
                <w:szCs w:val="24"/>
              </w:rPr>
            </w:pPr>
            <w:r>
              <w:rPr>
                <w:rFonts w:cs="Nimbus Roman No9 L"/>
                <w:sz w:val="24"/>
                <w:szCs w:val="24"/>
              </w:rPr>
              <w:t>9</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w:t>
            </w:r>
            <w:r>
              <w:rPr>
                <w:rFonts w:ascii="原版宋体" w:hAnsi="原版宋体" w:cs="Nimbus Roman No9 L"/>
                <w:sz w:val="24"/>
                <w:szCs w:val="24"/>
              </w:rPr>
              <w:t>减盐减油</w:t>
            </w:r>
            <w:r>
              <w:rPr>
                <w:rFonts w:ascii="原版宋体" w:hAnsi="原版宋体" w:cs="Nimbus Roman No9 L"/>
                <w:sz w:val="24"/>
                <w:szCs w:val="24"/>
              </w:rPr>
              <w:t>”</w:t>
            </w:r>
            <w:r>
              <w:rPr>
                <w:rFonts w:ascii="原版宋体" w:hAnsi="原版宋体" w:cs="Nimbus Roman No9 L"/>
                <w:sz w:val="24"/>
                <w:szCs w:val="24"/>
              </w:rPr>
              <w:t>纳入中小学校健康教育课程学校覆盖率</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30%</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50%</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70%</w:t>
            </w:r>
          </w:p>
        </w:tc>
      </w:tr>
      <w:tr w:rsidR="00046D2A" w:rsidTr="00201005">
        <w:trPr>
          <w:trHeight w:val="987"/>
        </w:trPr>
        <w:tc>
          <w:tcPr>
            <w:tcW w:w="71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10</w:t>
            </w:r>
          </w:p>
        </w:tc>
        <w:tc>
          <w:tcPr>
            <w:tcW w:w="3854" w:type="dxa"/>
            <w:vAlign w:val="center"/>
          </w:tcPr>
          <w:p w:rsidR="00046D2A" w:rsidRDefault="00046D2A" w:rsidP="00201005">
            <w:pPr>
              <w:spacing w:line="420" w:lineRule="exact"/>
              <w:jc w:val="left"/>
              <w:rPr>
                <w:rFonts w:ascii="原版宋体" w:hAnsi="原版宋体" w:cs="Nimbus Roman No9 L"/>
                <w:sz w:val="24"/>
                <w:szCs w:val="24"/>
              </w:rPr>
            </w:pPr>
            <w:r>
              <w:rPr>
                <w:rFonts w:ascii="原版宋体" w:hAnsi="原版宋体" w:cs="Nimbus Roman No9 L"/>
                <w:sz w:val="24"/>
                <w:szCs w:val="24"/>
              </w:rPr>
              <w:t>研制和推广</w:t>
            </w:r>
            <w:r>
              <w:rPr>
                <w:rFonts w:ascii="原版宋体" w:hAnsi="原版宋体" w:cs="Nimbus Roman No9 L"/>
                <w:sz w:val="24"/>
                <w:szCs w:val="24"/>
              </w:rPr>
              <w:t>“</w:t>
            </w:r>
            <w:r>
              <w:rPr>
                <w:rFonts w:ascii="原版宋体" w:hAnsi="原版宋体" w:cs="Nimbus Roman No9 L"/>
                <w:sz w:val="24"/>
                <w:szCs w:val="24"/>
              </w:rPr>
              <w:t>减盐减油</w:t>
            </w:r>
            <w:r>
              <w:rPr>
                <w:rFonts w:ascii="原版宋体" w:hAnsi="原版宋体" w:cs="Nimbus Roman No9 L"/>
                <w:sz w:val="24"/>
                <w:szCs w:val="24"/>
              </w:rPr>
              <w:t>”</w:t>
            </w:r>
            <w:r>
              <w:rPr>
                <w:rFonts w:ascii="原版宋体" w:hAnsi="原版宋体" w:cs="Nimbus Roman No9 L"/>
                <w:sz w:val="24"/>
                <w:szCs w:val="24"/>
              </w:rPr>
              <w:t>健康新湘菜菜品</w:t>
            </w:r>
          </w:p>
        </w:tc>
        <w:tc>
          <w:tcPr>
            <w:tcW w:w="763" w:type="dxa"/>
            <w:vAlign w:val="center"/>
          </w:tcPr>
          <w:p w:rsidR="00046D2A" w:rsidRDefault="00046D2A" w:rsidP="00201005">
            <w:pPr>
              <w:spacing w:line="420" w:lineRule="exact"/>
              <w:jc w:val="center"/>
              <w:rPr>
                <w:rFonts w:ascii="原版宋体" w:hAnsi="原版宋体" w:cs="Nimbus Roman No9 L"/>
                <w:sz w:val="24"/>
                <w:szCs w:val="24"/>
              </w:rPr>
            </w:pPr>
            <w:r>
              <w:rPr>
                <w:rFonts w:ascii="原版宋体" w:hAnsi="原版宋体" w:cs="Nimbus Roman No9 L"/>
                <w:sz w:val="24"/>
                <w:szCs w:val="24"/>
              </w:rPr>
              <w:t>道</w:t>
            </w:r>
          </w:p>
        </w:tc>
        <w:tc>
          <w:tcPr>
            <w:tcW w:w="126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50</w:t>
            </w:r>
          </w:p>
        </w:tc>
        <w:tc>
          <w:tcPr>
            <w:tcW w:w="1675"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50</w:t>
            </w:r>
          </w:p>
        </w:tc>
        <w:tc>
          <w:tcPr>
            <w:tcW w:w="1488" w:type="dxa"/>
            <w:vAlign w:val="center"/>
          </w:tcPr>
          <w:p w:rsidR="00046D2A" w:rsidRDefault="00046D2A" w:rsidP="00201005">
            <w:pPr>
              <w:spacing w:line="420" w:lineRule="exact"/>
              <w:jc w:val="center"/>
              <w:rPr>
                <w:rFonts w:ascii="原版宋体" w:hAnsi="原版宋体" w:cs="Nimbus Roman No9 L"/>
                <w:sz w:val="24"/>
                <w:szCs w:val="24"/>
              </w:rPr>
            </w:pPr>
            <w:r>
              <w:rPr>
                <w:rFonts w:cs="Nimbus Roman No9 L"/>
                <w:sz w:val="24"/>
                <w:szCs w:val="24"/>
              </w:rPr>
              <w:t>100</w:t>
            </w:r>
          </w:p>
        </w:tc>
      </w:tr>
    </w:tbl>
    <w:p w:rsidR="00046D2A" w:rsidRDefault="00046D2A" w:rsidP="00046D2A">
      <w:pPr>
        <w:rPr>
          <w:rFonts w:ascii="原版宋体" w:hAnsi="原版宋体" w:cs="Nimbus Roman No9 L"/>
          <w:sz w:val="30"/>
          <w:szCs w:val="30"/>
        </w:rPr>
      </w:pPr>
    </w:p>
    <w:p w:rsidR="00006D77" w:rsidRDefault="00006D77" w:rsidP="00046D2A">
      <w:pPr>
        <w:adjustRightInd w:val="0"/>
        <w:snapToGrid w:val="0"/>
        <w:spacing w:line="700" w:lineRule="exact"/>
        <w:jc w:val="center"/>
      </w:pPr>
    </w:p>
    <w:sectPr w:rsidR="00006D77" w:rsidSect="00046D2A">
      <w:headerReference w:type="even" r:id="rId7"/>
      <w:headerReference w:type="default" r:id="rId8"/>
      <w:footerReference w:type="even" r:id="rId9"/>
      <w:footerReference w:type="default" r:id="rId10"/>
      <w:footerReference w:type="first" r:id="rId11"/>
      <w:pgSz w:w="11906" w:h="16838"/>
      <w:pgMar w:top="1701" w:right="1417" w:bottom="1417" w:left="1417" w:header="851" w:footer="992" w:gutter="0"/>
      <w:cols w:space="0"/>
      <w:docGrid w:type="linesAndChars" w:linePitch="573" w:char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DAF" w:rsidRDefault="00BD5DAF" w:rsidP="00006D77">
      <w:r>
        <w:separator/>
      </w:r>
    </w:p>
  </w:endnote>
  <w:endnote w:type="continuationSeparator" w:id="1">
    <w:p w:rsidR="00BD5DAF" w:rsidRDefault="00BD5DAF" w:rsidP="00006D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原版宋体">
    <w:altName w:val="方正书宋_GBK"/>
    <w:charset w:val="00"/>
    <w:family w:val="auto"/>
    <w:pitch w:val="default"/>
    <w:sig w:usb0="00000003" w:usb1="080E0000" w:usb2="00000000" w:usb3="00000000" w:csb0="00040001" w:csb1="00000000"/>
  </w:font>
  <w:font w:name="Nimbus Roman No9 L">
    <w:altName w:val="宋体"/>
    <w:charset w:val="00"/>
    <w:family w:val="auto"/>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77" w:rsidRDefault="00336CEB">
    <w:pPr>
      <w:pStyle w:val="a4"/>
    </w:pPr>
    <w:r>
      <w:pict>
        <v:shapetype id="_x0000_t202" coordsize="21600,21600" o:spt="202" path="m,l,21600r21600,l21600,xe">
          <v:stroke joinstyle="miter"/>
          <v:path gradientshapeok="t" o:connecttype="rect"/>
        </v:shapetype>
        <v:shape id="文本框 10" o:spid="_x0000_s1027" type="#_x0000_t202" style="position:absolute;margin-left:-15.3pt;margin-top:0;width:37.45pt;height:20.45pt;z-index:251660288;mso-wrap-style:none;mso-position-horizontal:outside;mso-position-horizontal-relative:margin" o:gfxdata="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zspXPRAAAAAwEAAA8AAAAAAAAAAQAgAAAAOAAAAGRycy9kb3du&#10;cmV2LnhtbFBLAQIUABQAAAAIAIdO4kCdFUVd8AEAALUDAAAOAAAAAAAAAAEAIAAAADYBAABkcnMv&#10;ZTJvRG9jLnhtbFBLBQYAAAAABgAGAFkBAACYBQAAAAA=&#10;" filled="f" stroked="f">
          <v:textbox style="mso-next-textbox:#文本框 10;mso-fit-shape-to-text:t" inset="0,0,0,0">
            <w:txbxContent>
              <w:p w:rsidR="00006D77" w:rsidRDefault="00336CEB">
                <w:r>
                  <w:rPr>
                    <w:rFonts w:ascii="方正仿宋_GBK" w:eastAsia="方正仿宋_GBK" w:hAnsi="方正仿宋_GBK" w:cs="方正仿宋_GBK" w:hint="eastAsia"/>
                    <w:sz w:val="28"/>
                    <w:szCs w:val="28"/>
                  </w:rPr>
                  <w:fldChar w:fldCharType="begin"/>
                </w:r>
                <w:r w:rsidR="00BA3A28">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BA3A28">
                  <w:rPr>
                    <w:rFonts w:ascii="方正仿宋_GBK" w:eastAsia="方正仿宋_GBK" w:hAnsi="方正仿宋_GBK" w:cs="方正仿宋_GBK" w:hint="eastAsia"/>
                    <w:sz w:val="28"/>
                    <w:szCs w:val="28"/>
                  </w:rPr>
                  <w:t xml:space="preserve">- </w:t>
                </w:r>
                <w:r w:rsidR="00006D77" w:rsidRPr="00006D77">
                  <w:rPr>
                    <w:rFonts w:eastAsia="方正仿宋_GBK" w:cs="方正仿宋_GBK"/>
                    <w:sz w:val="28"/>
                    <w:szCs w:val="28"/>
                  </w:rPr>
                  <w:t>2</w:t>
                </w:r>
                <w:r w:rsidR="00BA3A28">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77" w:rsidRDefault="00336CEB">
    <w:pPr>
      <w:pStyle w:val="a4"/>
      <w:wordWrap w:val="0"/>
      <w:jc w:val="right"/>
      <w:rPr>
        <w:rFonts w:ascii="宋体" w:eastAsia="宋体" w:hAnsi="宋体"/>
        <w:sz w:val="28"/>
        <w:szCs w:val="28"/>
      </w:rPr>
    </w:pPr>
    <w:r w:rsidRPr="00336CEB">
      <w:rPr>
        <w:sz w:val="28"/>
      </w:rPr>
      <w:pict>
        <v:shapetype id="_x0000_t202" coordsize="21600,21600" o:spt="202" path="m,l,21600r21600,l21600,xe">
          <v:stroke joinstyle="miter"/>
          <v:path gradientshapeok="t" o:connecttype="rect"/>
        </v:shapetype>
        <v:shape id="_x0000_s1028" type="#_x0000_t202" style="position:absolute;left:0;text-align:left;margin-left:-5.1pt;margin-top:0;width:39.15pt;height:20.45pt;z-index:251659264;mso-wrap-style:none;mso-position-horizontal:outside;mso-position-horizontal-relative:margin" o:gfxdata="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CBBHZ9EAAAADAQAADwAAAAAAAAABACAAAAA4AAAAZHJz&#10;L2Rvd25yZXYueG1sUEsBAhQAFAAAAAgAh07iQDCOtKb1AQAAwgMAAA4AAAAAAAAAAQAgAAAANgEA&#10;AGRycy9lMm9Eb2MueG1sUEsFBgAAAAAGAAYAWQEAAJ0FAAAAAA==&#10;" filled="f" stroked="f">
          <v:textbox style="mso-next-textbox:#_x0000_s1028;mso-fit-shape-to-text:t" inset="0,0,0,0">
            <w:txbxContent>
              <w:p w:rsidR="00006D77" w:rsidRPr="00006D77" w:rsidRDefault="00006D77" w:rsidP="00BA73C9">
                <w:pPr>
                  <w:wordWrap w:val="0"/>
                  <w:ind w:leftChars="100" w:left="320" w:rightChars="100" w:right="320"/>
                  <w:jc w:val="right"/>
                  <w:rPr>
                    <w:rFonts w:ascii="仿宋_GB2312" w:hAnsi="仿宋_GB2312" w:cs="仿宋_GB2312"/>
                    <w:sz w:val="28"/>
                    <w:szCs w:val="28"/>
                  </w:rPr>
                </w:pPr>
                <w:r w:rsidRPr="00006D77">
                  <w:rPr>
                    <w:rFonts w:ascii="仿宋_GB2312" w:hAnsi="仿宋_GB2312" w:cs="仿宋_GB2312" w:hint="eastAsia"/>
                    <w:sz w:val="28"/>
                    <w:szCs w:val="28"/>
                  </w:rPr>
                  <w:t>—</w:t>
                </w:r>
                <w:r w:rsidR="00336CEB" w:rsidRPr="00006D77">
                  <w:rPr>
                    <w:rFonts w:hint="eastAsia"/>
                    <w:sz w:val="28"/>
                    <w:szCs w:val="28"/>
                  </w:rPr>
                  <w:fldChar w:fldCharType="begin"/>
                </w:r>
                <w:r w:rsidRPr="00006D77">
                  <w:rPr>
                    <w:sz w:val="28"/>
                    <w:szCs w:val="28"/>
                  </w:rPr>
                  <w:instrText xml:space="preserve"> PAGE   \* MERGEFORMAT </w:instrText>
                </w:r>
                <w:r w:rsidR="00336CEB" w:rsidRPr="00006D77">
                  <w:rPr>
                    <w:rFonts w:hint="eastAsia"/>
                    <w:sz w:val="28"/>
                    <w:szCs w:val="28"/>
                  </w:rPr>
                  <w:fldChar w:fldCharType="separate"/>
                </w:r>
                <w:r w:rsidR="002B5657" w:rsidRPr="002B5657">
                  <w:rPr>
                    <w:noProof/>
                    <w:sz w:val="28"/>
                    <w:szCs w:val="28"/>
                    <w:lang w:val="zh-CN"/>
                  </w:rPr>
                  <w:t>9</w:t>
                </w:r>
                <w:r w:rsidR="00336CEB" w:rsidRPr="00006D77">
                  <w:rPr>
                    <w:rFonts w:hint="eastAsia"/>
                    <w:sz w:val="28"/>
                    <w:szCs w:val="28"/>
                  </w:rPr>
                  <w:fldChar w:fldCharType="end"/>
                </w:r>
                <w:r w:rsidRPr="00006D77">
                  <w:rPr>
                    <w:rFonts w:ascii="仿宋_GB2312" w:hAnsi="仿宋_GB2312" w:cs="仿宋_GB2312" w:hint="eastAsia"/>
                    <w:sz w:val="28"/>
                    <w:szCs w:val="28"/>
                  </w:rPr>
                  <w:t>—</w:t>
                </w:r>
              </w:p>
            </w:txbxContent>
          </v:textbox>
          <w10:wrap anchorx="margin"/>
        </v:shape>
      </w:pict>
    </w:r>
  </w:p>
  <w:p w:rsidR="00006D77" w:rsidRDefault="00006D77">
    <w:pPr>
      <w:pStyle w:val="a4"/>
      <w:tabs>
        <w:tab w:val="clear" w:pos="4153"/>
        <w:tab w:val="clear" w:pos="8306"/>
      </w:tabs>
      <w:ind w:left="350"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77" w:rsidRDefault="00336CEB">
    <w:pPr>
      <w:pStyle w:val="a4"/>
    </w:pPr>
    <w:r>
      <w:pict>
        <v:shapetype id="_x0000_t202" coordsize="21600,21600" o:spt="202" path="m,l,21600r21600,l21600,xe">
          <v:stroke joinstyle="miter"/>
          <v:path gradientshapeok="t" o:connecttype="rect"/>
        </v:shapetype>
        <v:shape id="文本框 5" o:spid="_x0000_s1026" type="#_x0000_t202" style="position:absolute;margin-left:0;margin-top:0;width:90.3pt;height:26.15pt;z-index:251661312;mso-position-horizontal-relative:margin" o:gfxdata="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QOMuEdQAAAADAQAADwAAAAAAAAABACAAAAA4AAAA&#10;ZHJzL2Rvd25yZXYueG1sUEsBAhQAFAAAAAgAh07iQMk0waL1AQAAxAMAAA4AAAAAAAAAAQAgAAAA&#10;OQEAAGRycy9lMm9Eb2MueG1sUEsFBgAAAAAGAAYAWQEAAKAFAAAAAA==&#10;" filled="f" stroked="f">
          <v:textbox style="mso-next-textbox:#文本框 5" inset="0,0,0,0">
            <w:txbxContent>
              <w:p w:rsidR="00006D77" w:rsidRDefault="00006D77" w:rsidP="00BA73C9">
                <w:pPr>
                  <w:ind w:leftChars="100" w:left="320" w:rightChars="100" w:right="320"/>
                  <w:rPr>
                    <w:rFonts w:eastAsia="宋体"/>
                  </w:rPr>
                </w:pPr>
                <w:r w:rsidRPr="00006D77">
                  <w:rPr>
                    <w:rFonts w:ascii="仿宋_GB2312" w:hAnsi="仿宋_GB2312" w:cs="仿宋_GB2312" w:hint="eastAsia"/>
                    <w:b/>
                    <w:bCs/>
                    <w:sz w:val="28"/>
                    <w:szCs w:val="28"/>
                  </w:rPr>
                  <w:t>—</w:t>
                </w:r>
                <w:r w:rsidR="00336CEB" w:rsidRPr="00006D77">
                  <w:rPr>
                    <w:rFonts w:ascii="仿宋_GB2312" w:hAnsi="仿宋_GB2312" w:cs="仿宋_GB2312" w:hint="eastAsia"/>
                    <w:b/>
                    <w:bCs/>
                    <w:sz w:val="28"/>
                    <w:szCs w:val="28"/>
                  </w:rPr>
                  <w:fldChar w:fldCharType="begin"/>
                </w:r>
                <w:r w:rsidRPr="00006D77">
                  <w:rPr>
                    <w:rFonts w:ascii="仿宋_GB2312" w:hAnsi="仿宋_GB2312" w:cs="仿宋_GB2312"/>
                    <w:b/>
                    <w:bCs/>
                    <w:sz w:val="28"/>
                    <w:szCs w:val="28"/>
                  </w:rPr>
                  <w:instrText xml:space="preserve"> PAGE  \* MERGEFORMAT </w:instrText>
                </w:r>
                <w:r w:rsidR="00336CEB" w:rsidRPr="00006D77">
                  <w:rPr>
                    <w:rFonts w:ascii="仿宋_GB2312" w:hAnsi="仿宋_GB2312" w:cs="仿宋_GB2312" w:hint="eastAsia"/>
                    <w:b/>
                    <w:bCs/>
                    <w:sz w:val="28"/>
                    <w:szCs w:val="28"/>
                  </w:rPr>
                  <w:fldChar w:fldCharType="separate"/>
                </w:r>
                <w:r w:rsidR="00046D2A">
                  <w:rPr>
                    <w:rFonts w:ascii="仿宋_GB2312" w:hAnsi="仿宋_GB2312" w:cs="仿宋_GB2312"/>
                    <w:b/>
                    <w:bCs/>
                    <w:noProof/>
                    <w:sz w:val="28"/>
                    <w:szCs w:val="28"/>
                  </w:rPr>
                  <w:t>8</w:t>
                </w:r>
                <w:r w:rsidR="00336CEB" w:rsidRPr="00006D77">
                  <w:rPr>
                    <w:rFonts w:ascii="仿宋_GB2312" w:hAnsi="仿宋_GB2312" w:cs="仿宋_GB2312" w:hint="eastAsia"/>
                    <w:b/>
                    <w:bCs/>
                    <w:sz w:val="28"/>
                    <w:szCs w:val="28"/>
                  </w:rPr>
                  <w:fldChar w:fldCharType="end"/>
                </w:r>
                <w:r w:rsidRPr="00006D77">
                  <w:rPr>
                    <w:rFonts w:ascii="仿宋_GB2312" w:hAnsi="仿宋_GB2312" w:cs="仿宋_GB2312" w:hint="eastAsia"/>
                    <w:b/>
                    <w:bCs/>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DAF" w:rsidRDefault="00BD5DAF" w:rsidP="00006D77">
      <w:r>
        <w:separator/>
      </w:r>
    </w:p>
  </w:footnote>
  <w:footnote w:type="continuationSeparator" w:id="1">
    <w:p w:rsidR="00BD5DAF" w:rsidRDefault="00BD5DAF" w:rsidP="00006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77" w:rsidRDefault="00BA3A28">
    <w:pPr>
      <w:pStyle w:val="a5"/>
      <w:pBdr>
        <w:bottom w:val="none" w:sz="0" w:space="0" w:color="auto"/>
      </w:pBdr>
      <w:tabs>
        <w:tab w:val="left" w:pos="4065"/>
        <w:tab w:val="left" w:pos="5210"/>
      </w:tabs>
      <w:jc w:val="left"/>
    </w:pPr>
    <w:r>
      <w:rPr>
        <w:rFonts w:hint="eastAsia"/>
      </w:rPr>
      <w:tab/>
    </w:r>
    <w:r>
      <w:tab/>
    </w:r>
    <w:r>
      <w:rPr>
        <w:rFonts w:hint="eastAsia"/>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77" w:rsidRDefault="00006D77">
    <w:pPr>
      <w:pStyle w:val="a5"/>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战神巴蒂">
    <w15:presenceInfo w15:providerId="WPS Office" w15:userId="1487009921"/>
  </w15:person>
  <w15:person w15:author="李钟初03">
    <w15:presenceInfo w15:providerId="None" w15:userId="李钟初0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6D77"/>
    <w:rsid w:val="D7DBFD78"/>
    <w:rsid w:val="F53EAF4F"/>
    <w:rsid w:val="FDE39257"/>
    <w:rsid w:val="00006D77"/>
    <w:rsid w:val="00046D2A"/>
    <w:rsid w:val="00197CD9"/>
    <w:rsid w:val="002B5657"/>
    <w:rsid w:val="00313568"/>
    <w:rsid w:val="00336CEB"/>
    <w:rsid w:val="00371A3B"/>
    <w:rsid w:val="003E2FEA"/>
    <w:rsid w:val="004C52F6"/>
    <w:rsid w:val="00587462"/>
    <w:rsid w:val="00696943"/>
    <w:rsid w:val="009310A2"/>
    <w:rsid w:val="0093320E"/>
    <w:rsid w:val="009E31B1"/>
    <w:rsid w:val="00A02358"/>
    <w:rsid w:val="00A56B83"/>
    <w:rsid w:val="00A81AD5"/>
    <w:rsid w:val="00BA3A28"/>
    <w:rsid w:val="00BA73C9"/>
    <w:rsid w:val="00BD5DAF"/>
    <w:rsid w:val="00DC6DD0"/>
    <w:rsid w:val="00E52B50"/>
    <w:rsid w:val="00F44377"/>
    <w:rsid w:val="084668D3"/>
    <w:rsid w:val="15916DD0"/>
    <w:rsid w:val="1AC71143"/>
    <w:rsid w:val="3D192329"/>
    <w:rsid w:val="3F776396"/>
    <w:rsid w:val="5E023994"/>
    <w:rsid w:val="5E77A498"/>
    <w:rsid w:val="5F5BB225"/>
    <w:rsid w:val="68E92A26"/>
    <w:rsid w:val="7A736073"/>
    <w:rsid w:val="7B9F15A6"/>
    <w:rsid w:val="7DB7D8E4"/>
    <w:rsid w:val="7F72C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D77"/>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rsid w:val="00006D77"/>
    <w:pPr>
      <w:spacing w:after="120"/>
    </w:pPr>
  </w:style>
  <w:style w:type="paragraph" w:styleId="a4">
    <w:name w:val="footer"/>
    <w:basedOn w:val="a"/>
    <w:uiPriority w:val="99"/>
    <w:qFormat/>
    <w:rsid w:val="00006D77"/>
    <w:pPr>
      <w:tabs>
        <w:tab w:val="center" w:pos="4153"/>
        <w:tab w:val="right" w:pos="8306"/>
      </w:tabs>
      <w:snapToGrid w:val="0"/>
      <w:jc w:val="left"/>
    </w:pPr>
    <w:rPr>
      <w:sz w:val="18"/>
    </w:rPr>
  </w:style>
  <w:style w:type="paragraph" w:styleId="a5">
    <w:name w:val="header"/>
    <w:basedOn w:val="a"/>
    <w:qFormat/>
    <w:rsid w:val="00006D77"/>
    <w:pPr>
      <w:pBdr>
        <w:bottom w:val="single" w:sz="6" w:space="1" w:color="auto"/>
      </w:pBdr>
      <w:tabs>
        <w:tab w:val="center" w:pos="4153"/>
        <w:tab w:val="right" w:pos="8306"/>
      </w:tabs>
      <w:snapToGrid w:val="0"/>
      <w:jc w:val="center"/>
    </w:pPr>
    <w:rPr>
      <w:sz w:val="18"/>
    </w:rPr>
  </w:style>
  <w:style w:type="paragraph" w:styleId="a6">
    <w:name w:val="Balloon Text"/>
    <w:basedOn w:val="a"/>
    <w:link w:val="Char"/>
    <w:rsid w:val="004C52F6"/>
    <w:rPr>
      <w:sz w:val="18"/>
      <w:szCs w:val="18"/>
    </w:rPr>
  </w:style>
  <w:style w:type="character" w:customStyle="1" w:styleId="Char">
    <w:name w:val="批注框文本 Char"/>
    <w:basedOn w:val="a0"/>
    <w:link w:val="a6"/>
    <w:rsid w:val="004C52F6"/>
    <w:rPr>
      <w:rFonts w:ascii="Times New Roman" w:eastAsia="仿宋_GB2312" w:hAnsi="Times New Roman" w:cs="Times New Roman"/>
      <w:sz w:val="18"/>
      <w:szCs w:val="18"/>
    </w:rPr>
  </w:style>
  <w:style w:type="paragraph" w:styleId="6">
    <w:name w:val="index 6"/>
    <w:basedOn w:val="a"/>
    <w:next w:val="a"/>
    <w:autoRedefine/>
    <w:unhideWhenUsed/>
    <w:qFormat/>
    <w:rsid w:val="00046D2A"/>
    <w:pPr>
      <w:spacing w:after="160" w:line="278" w:lineRule="auto"/>
      <w:ind w:leftChars="1000" w:left="1000"/>
    </w:pPr>
    <w:rPr>
      <w:rFonts w:ascii="Calibri" w:eastAsia="宋体" w:hAnsi="Calibri"/>
      <w:kern w:val="2"/>
      <w:sz w:val="21"/>
      <w:szCs w:val="21"/>
    </w:rPr>
  </w:style>
  <w:style w:type="paragraph" w:customStyle="1" w:styleId="2">
    <w:name w:val="2号小标宋"/>
    <w:basedOn w:val="a"/>
    <w:rsid w:val="00046D2A"/>
    <w:pPr>
      <w:adjustRightInd w:val="0"/>
      <w:snapToGrid w:val="0"/>
      <w:spacing w:after="160" w:line="700" w:lineRule="exact"/>
      <w:jc w:val="center"/>
    </w:pPr>
    <w:rPr>
      <w:rFonts w:ascii="方正小标宋_GBK" w:eastAsia="方正小标宋_GBK" w:hAnsi="方正小标宋_GBK" w:cs="方正小标宋_GBK"/>
      <w:kern w:val="2"/>
      <w:sz w:val="44"/>
      <w:szCs w:val="22"/>
    </w:rPr>
  </w:style>
  <w:style w:type="paragraph" w:customStyle="1" w:styleId="-3GB">
    <w:name w:val="正文-3号仿宋GB"/>
    <w:basedOn w:val="a"/>
    <w:rsid w:val="00046D2A"/>
    <w:pPr>
      <w:adjustRightInd w:val="0"/>
      <w:snapToGrid w:val="0"/>
      <w:spacing w:after="160" w:line="600" w:lineRule="exact"/>
      <w:ind w:firstLineChars="200" w:firstLine="856"/>
    </w:pPr>
    <w:rPr>
      <w:rFonts w:ascii="楷体_GB2312" w:hAnsi="楷体_GB2312" w:cs="仿宋_GB2312"/>
      <w:kern w:val="2"/>
      <w:szCs w:val="32"/>
    </w:rPr>
  </w:style>
  <w:style w:type="table" w:styleId="a7">
    <w:name w:val="Table Grid"/>
    <w:basedOn w:val="a1"/>
    <w:qFormat/>
    <w:rsid w:val="00046D2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600</Words>
  <Characters>3420</Characters>
  <Application>Microsoft Office Word</Application>
  <DocSecurity>0</DocSecurity>
  <Lines>28</Lines>
  <Paragraphs>8</Paragraphs>
  <ScaleCrop>false</ScaleCrop>
  <Company>Microsoft</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15</cp:revision>
  <cp:lastPrinted>2025-07-01T19:51:00Z</cp:lastPrinted>
  <dcterms:created xsi:type="dcterms:W3CDTF">2025-07-02T09:30:00Z</dcterms:created>
  <dcterms:modified xsi:type="dcterms:W3CDTF">2025-07-10T08:13:00Z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2052-10.8.0.7113</vt:lpwstr>
  </property>
  <property fmtid="{D5CDD505-2E9C-101B-9397-08002B2CF9AE}" pid="3" name="KSOTemplateDocerSaveRecord">
    <vt:lpwstr>eyJoZGlkIjoiZWU5NTc3ZTBlNThjZjI5MDAzOWE2ZDU5ZjlmMTBkMTciLCJ1c2VySWQiOiIzNzg3MTI5NzYifQ==</vt:lpwstr>
  </property>
  <property fmtid="{D5CDD505-2E9C-101B-9397-08002B2CF9AE}" pid="4" name="ICV">
    <vt:lpwstr>9ECD6AD0D2544E219E4C1B9C95925E98_12</vt:lpwstr>
  </property>
</Properties>
</file>