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6804"/>
          <w:tab w:val="left" w:pos="7088"/>
        </w:tabs>
        <w:kinsoku/>
        <w:wordWrap/>
        <w:overflowPunct/>
        <w:topLinePunct w:val="0"/>
        <w:autoSpaceDE/>
        <w:autoSpaceDN/>
        <w:bidi w:val="0"/>
        <w:adjustRightInd/>
        <w:snapToGrid/>
        <w:spacing w:line="1500" w:lineRule="exact"/>
        <w:jc w:val="left"/>
        <w:textAlignment w:val="auto"/>
        <w:rPr>
          <w:rFonts w:hint="default" w:ascii="Times New Roman" w:hAnsi="Times New Roman" w:eastAsia="方正小标宋_GBK" w:cs="Times New Roma"/>
          <w:bCs/>
          <w:color w:val="000000"/>
          <w:spacing w:val="20"/>
          <w:w w:val="60"/>
          <w:kern w:val="0"/>
          <w:sz w:val="32"/>
          <w:szCs w:val="32"/>
          <w:lang w:val="en-US" w:eastAsia="zh-CN"/>
        </w:rPr>
      </w:pPr>
      <w:bookmarkStart w:id="1" w:name="_GoBack"/>
      <w:bookmarkEnd w:id="1"/>
      <w:bookmarkStart w:id="0" w:name="Content"/>
      <w:bookmarkEnd w:id="0"/>
      <w:r>
        <w:rPr>
          <w:sz w:val="32"/>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-206375</wp:posOffset>
                </wp:positionV>
                <wp:extent cx="1847215" cy="438150"/>
                <wp:effectExtent l="0" t="0" r="635" b="0"/>
                <wp:wrapNone/>
                <wp:docPr id="1" name="矩形 3"/>
                <wp:cNvGraphicFramePr/>
                <a:graphic xmlns:a="http://schemas.openxmlformats.org/drawingml/2006/main">
                  <a:graphicData uri="http://schemas.microsoft.com/office/word/2010/wordprocessingShape">
                    <wps:wsp>
                      <wps:cNvSpPr/>
                      <wps:spPr>
                        <a:xfrm>
                          <a:off x="0" y="0"/>
                          <a:ext cx="1847215" cy="438150"/>
                        </a:xfrm>
                        <a:prstGeom prst="rect">
                          <a:avLst/>
                        </a:prstGeom>
                        <a:solidFill>
                          <a:srgbClr val="FFFFFF"/>
                        </a:solidFill>
                        <a:ln>
                          <a:noFill/>
                        </a:ln>
                      </wps:spPr>
                      <wps:txbx>
                        <w:txbxContent>
                          <w:p>
                            <w:pPr>
                              <w:tabs>
                                <w:tab w:val="left" w:pos="6804"/>
                                <w:tab w:val="left" w:pos="7088"/>
                              </w:tabs>
                              <w:spacing w:line="400" w:lineRule="exact"/>
                              <w:jc w:val="left"/>
                              <w:rPr>
                                <w:rFonts w:hint="eastAsia" w:ascii="仿宋" w:hAnsi="仿宋" w:eastAsia="仿宋" w:cs="仿宋"/>
                                <w:bCs/>
                                <w:color w:val="auto"/>
                                <w:spacing w:val="0"/>
                                <w:w w:val="100"/>
                                <w:kern w:val="0"/>
                                <w:sz w:val="32"/>
                                <w:szCs w:val="32"/>
                                <w:lang w:val="en-US" w:eastAsia="zh-CN"/>
                              </w:rPr>
                            </w:pPr>
                            <w:r>
                              <w:rPr>
                                <w:rFonts w:hint="eastAsia" w:ascii="仿宋" w:hAnsi="仿宋" w:eastAsia="仿宋" w:cs="仿宋"/>
                                <w:bCs/>
                                <w:color w:val="auto"/>
                                <w:spacing w:val="0"/>
                                <w:w w:val="100"/>
                                <w:kern w:val="0"/>
                                <w:sz w:val="32"/>
                                <w:szCs w:val="32"/>
                                <w:lang w:val="en-US" w:eastAsia="zh-CN"/>
                              </w:rPr>
                              <w:t>HNPR-2024-52008</w:t>
                            </w:r>
                          </w:p>
                          <w:p/>
                        </w:txbxContent>
                      </wps:txbx>
                      <wps:bodyPr vert="horz" wrap="square" anchor="t" anchorCtr="false" upright="true"/>
                    </wps:wsp>
                  </a:graphicData>
                </a:graphic>
              </wp:anchor>
            </w:drawing>
          </mc:Choice>
          <mc:Fallback>
            <w:pict>
              <v:rect id="矩形 3" o:spid="_x0000_s1026" o:spt="1" style="position:absolute;left:0pt;margin-left:-0.45pt;margin-top:-16.25pt;height:34.5pt;width:145.45pt;z-index:251658240;mso-width-relative:page;mso-height-relative:page;" fillcolor="#FFFFFF" filled="t" stroked="f" coordsize="21600,21600" o:gfxdata="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IAmDBDXAAAACAEAAA8AAAAAAAAAAQAg&#10;AAAAOAAAAGRycy9kb3ducmV2LnhtbFBLAQIUABQAAAAIAIdO4kBUXvxewAEAAFYDAAAOAAAAAAAA&#10;AAEAIAAAADwBAABkcnMvZTJvRG9jLnhtbFBLBQYAAAAABgAGAFkBAABuBQAAAAA=&#10;">
                <v:fill on="t" focussize="0,0"/>
                <v:stroke on="f"/>
                <v:imagedata o:title=""/>
                <o:lock v:ext="edit" aspectratio="f"/>
                <v:textbox>
                  <w:txbxContent>
                    <w:p>
                      <w:pPr>
                        <w:tabs>
                          <w:tab w:val="left" w:pos="6804"/>
                          <w:tab w:val="left" w:pos="7088"/>
                        </w:tabs>
                        <w:spacing w:line="400" w:lineRule="exact"/>
                        <w:jc w:val="left"/>
                        <w:rPr>
                          <w:rFonts w:hint="eastAsia" w:ascii="仿宋" w:hAnsi="仿宋" w:eastAsia="仿宋" w:cs="仿宋"/>
                          <w:bCs/>
                          <w:color w:val="auto"/>
                          <w:spacing w:val="0"/>
                          <w:w w:val="100"/>
                          <w:kern w:val="0"/>
                          <w:sz w:val="32"/>
                          <w:szCs w:val="32"/>
                          <w:lang w:val="en-US" w:eastAsia="zh-CN"/>
                        </w:rPr>
                      </w:pPr>
                      <w:r>
                        <w:rPr>
                          <w:rFonts w:hint="eastAsia" w:ascii="仿宋" w:hAnsi="仿宋" w:eastAsia="仿宋" w:cs="仿宋"/>
                          <w:bCs/>
                          <w:color w:val="auto"/>
                          <w:spacing w:val="0"/>
                          <w:w w:val="100"/>
                          <w:kern w:val="0"/>
                          <w:sz w:val="32"/>
                          <w:szCs w:val="32"/>
                          <w:lang w:val="en-US" w:eastAsia="zh-CN"/>
                        </w:rPr>
                        <w:t>HNPR-2024-52008</w:t>
                      </w:r>
                    </w:p>
                    <w:p/>
                  </w:txbxContent>
                </v:textbox>
              </v:rect>
            </w:pict>
          </mc:Fallback>
        </mc:AlternateContent>
      </w:r>
    </w:p>
    <w:p>
      <w:pPr>
        <w:spacing w:line="600" w:lineRule="exact"/>
        <w:jc w:val="center"/>
        <w:rPr>
          <w:rFonts w:hint="default" w:ascii="Times New Roman" w:hAnsi="Times New Roman" w:eastAsia="仿宋" w:cs="Times New Roma"/>
          <w:sz w:val="32"/>
          <w:szCs w:val="32"/>
        </w:rPr>
      </w:pPr>
    </w:p>
    <w:p>
      <w:pPr>
        <w:spacing w:line="600" w:lineRule="exact"/>
        <w:jc w:val="center"/>
        <w:rPr>
          <w:rFonts w:hint="default" w:ascii="Times New Roman" w:hAnsi="Times New Roman" w:eastAsia="仿宋" w:cs="Times New Roma"/>
          <w:sz w:val="32"/>
          <w:szCs w:val="32"/>
        </w:rPr>
      </w:pPr>
    </w:p>
    <w:p>
      <w:pPr>
        <w:spacing w:line="600" w:lineRule="exact"/>
        <w:jc w:val="center"/>
        <w:rPr>
          <w:rFonts w:hint="default" w:ascii="Times New Roman" w:hAnsi="Times New Roman" w:eastAsia="仿宋" w:cs="Times New Roma"/>
          <w:sz w:val="32"/>
          <w:szCs w:val="32"/>
        </w:rPr>
      </w:pPr>
    </w:p>
    <w:p>
      <w:pPr>
        <w:spacing w:line="600" w:lineRule="exact"/>
        <w:ind w:firstLine="320" w:firstLineChars="100"/>
        <w:jc w:val="center"/>
        <w:rPr>
          <w:rFonts w:hint="eastAsia" w:ascii="Times New Roman" w:hAnsi="Times New Roman" w:eastAsia="仿宋_GB2312" w:cs="Times New Roma"/>
          <w:sz w:val="32"/>
          <w:szCs w:val="32"/>
          <w:lang w:eastAsia="zh-CN"/>
        </w:rPr>
      </w:pPr>
      <w:r>
        <w:rPr>
          <w:rFonts w:hint="default" w:ascii="Times New Roman" w:hAnsi="Times New Roman" w:eastAsia="仿宋_GB2312" w:cs="Times New Roman"/>
          <w:sz w:val="32"/>
          <w:szCs w:val="32"/>
        </w:rPr>
        <w:t>湘药监</w:t>
      </w:r>
      <w:r>
        <w:rPr>
          <w:rFonts w:hint="eastAsia"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小标宋_GBK" w:cs="Times New Roma"/>
          <w:b/>
          <w:color w:val="000000"/>
          <w:sz w:val="44"/>
          <w:szCs w:val="44"/>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cs="方正小标宋_GBK"/>
          <w:kern w:val="0"/>
          <w:sz w:val="44"/>
          <w:szCs w:val="44"/>
          <w:lang w:val="en-US" w:eastAsia="zh-CN" w:bidi="ar"/>
        </w:rPr>
      </w:pPr>
      <w:r>
        <w:rPr>
          <w:rFonts w:hint="eastAsia" w:ascii="Times New Roman" w:hAnsi="Times New Roman" w:eastAsia="方正小标宋_GBK" w:cs="方正小标宋_GBK"/>
          <w:kern w:val="0"/>
          <w:sz w:val="44"/>
          <w:szCs w:val="44"/>
          <w:lang w:val="en-US" w:eastAsia="zh-CN" w:bidi="ar"/>
        </w:rPr>
        <w:t>湖南省药品监督管理局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cs="方正小标宋_GBK"/>
          <w:b w:val="0"/>
          <w:bCs w:val="0"/>
          <w:color w:val="000000"/>
          <w:spacing w:val="0"/>
          <w:w w:val="100"/>
          <w:sz w:val="44"/>
          <w:szCs w:val="44"/>
        </w:rPr>
      </w:pPr>
      <w:r>
        <w:rPr>
          <w:rFonts w:hint="eastAsia" w:ascii="Times New Roman" w:hAnsi="Times New Roman" w:eastAsia="方正小标宋_GBK" w:cs="方正小标宋_GBK"/>
          <w:kern w:val="0"/>
          <w:sz w:val="44"/>
          <w:szCs w:val="44"/>
          <w:lang w:val="en-US" w:eastAsia="zh-CN" w:bidi="ar"/>
        </w:rPr>
        <w:t>关于印发《</w:t>
      </w:r>
      <w:r>
        <w:rPr>
          <w:rFonts w:hint="eastAsia" w:ascii="Times New Roman" w:hAnsi="Times New Roman" w:eastAsia="方正小标宋_GBK" w:cs="方正小标宋_GBK"/>
          <w:b w:val="0"/>
          <w:bCs w:val="0"/>
          <w:color w:val="000000"/>
          <w:spacing w:val="0"/>
          <w:w w:val="100"/>
          <w:sz w:val="44"/>
          <w:szCs w:val="44"/>
        </w:rPr>
        <w:t>湖南省</w:t>
      </w:r>
      <w:r>
        <w:rPr>
          <w:rFonts w:hint="eastAsia" w:ascii="Times New Roman" w:hAnsi="Times New Roman" w:eastAsia="方正小标宋_GBK" w:cs="方正小标宋_GBK"/>
          <w:b w:val="0"/>
          <w:bCs w:val="0"/>
          <w:color w:val="000000"/>
          <w:spacing w:val="0"/>
          <w:w w:val="100"/>
          <w:sz w:val="44"/>
          <w:szCs w:val="44"/>
          <w:lang w:eastAsia="zh-CN"/>
        </w:rPr>
        <w:t>药品安全</w:t>
      </w:r>
      <w:r>
        <w:rPr>
          <w:rFonts w:hint="eastAsia" w:ascii="Times New Roman" w:hAnsi="Times New Roman" w:eastAsia="方正小标宋_GBK" w:cs="方正小标宋_GBK"/>
          <w:b w:val="0"/>
          <w:bCs w:val="0"/>
          <w:color w:val="000000"/>
          <w:spacing w:val="0"/>
          <w:w w:val="100"/>
          <w:sz w:val="44"/>
          <w:szCs w:val="44"/>
        </w:rPr>
        <w:t>信用管理办法</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cs="方正小标宋_GBK"/>
          <w:kern w:val="0"/>
          <w:sz w:val="44"/>
          <w:szCs w:val="44"/>
          <w:lang w:val="en-US" w:eastAsia="zh-CN" w:bidi="ar"/>
        </w:rPr>
      </w:pPr>
      <w:r>
        <w:rPr>
          <w:rFonts w:hint="eastAsia" w:ascii="Times New Roman" w:hAnsi="Times New Roman" w:eastAsia="方正小标宋_GBK" w:cs="方正小标宋_GBK"/>
          <w:b w:val="0"/>
          <w:bCs w:val="0"/>
          <w:color w:val="000000"/>
          <w:spacing w:val="0"/>
          <w:w w:val="100"/>
          <w:sz w:val="44"/>
          <w:szCs w:val="44"/>
        </w:rPr>
        <w:t>（试行）</w:t>
      </w:r>
      <w:r>
        <w:rPr>
          <w:rFonts w:hint="eastAsia" w:ascii="Times New Roman" w:hAnsi="Times New Roman" w:eastAsia="方正小标宋_GBK" w:cs="方正小标宋_GBK"/>
          <w:b w:val="0"/>
          <w:bCs w:val="0"/>
          <w:color w:val="000000"/>
          <w:spacing w:val="0"/>
          <w:w w:val="100"/>
          <w:sz w:val="44"/>
          <w:szCs w:val="44"/>
          <w:lang w:eastAsia="zh-CN"/>
        </w:rPr>
        <w:t>》</w:t>
      </w:r>
      <w:r>
        <w:rPr>
          <w:rFonts w:hint="eastAsia" w:ascii="Times New Roman" w:hAnsi="Times New Roman" w:eastAsia="方正小标宋_GBK" w:cs="方正小标宋_GBK"/>
          <w:kern w:val="0"/>
          <w:sz w:val="44"/>
          <w:szCs w:val="44"/>
          <w:lang w:val="en-US" w:eastAsia="zh-CN" w:bidi="ar"/>
        </w:rPr>
        <w:t>的通知</w:t>
      </w:r>
    </w:p>
    <w:p>
      <w:pPr>
        <w:keepNext w:val="0"/>
        <w:keepLines w:val="0"/>
        <w:pageBreakBefore w:val="0"/>
        <w:widowControl w:val="0"/>
        <w:kinsoku/>
        <w:overflowPunct/>
        <w:topLinePunct w:val="0"/>
        <w:autoSpaceDE/>
        <w:autoSpaceDN/>
        <w:bidi w:val="0"/>
        <w:adjustRightInd/>
        <w:snapToGrid/>
        <w:spacing w:line="520" w:lineRule="exact"/>
        <w:jc w:val="center"/>
        <w:textAlignment w:val="auto"/>
        <w:outlineLvl w:val="9"/>
        <w:rPr>
          <w:rFonts w:hint="eastAsia" w:ascii="Times New Roman" w:hAnsi="Times New Roman" w:eastAsia="方正小标宋_GBK" w:cs="方正小标宋_GBK"/>
          <w:kern w:val="0"/>
          <w:sz w:val="44"/>
          <w:szCs w:val="44"/>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line="520" w:lineRule="exact"/>
        <w:jc w:val="left"/>
        <w:textAlignment w:val="auto"/>
        <w:outlineLvl w:val="9"/>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 xml:space="preserve">各市州市场监督管理局，省局机关各处室、各直属单位： </w:t>
      </w:r>
    </w:p>
    <w:p>
      <w:pPr>
        <w:keepNext w:val="0"/>
        <w:keepLines w:val="0"/>
        <w:pageBreakBefore w:val="0"/>
        <w:widowControl w:val="0"/>
        <w:suppressLineNumbers w:val="0"/>
        <w:kinsoku/>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为加强药品安全监督管理，落实企业主体责任，加快构建以信用为基础的新型监管机制，推进医药行业信用体系建设，省药品监管局制定了《湖南省药品安全信用管理办法（试行）》。现印发给你们，请遵照执行。</w:t>
      </w:r>
    </w:p>
    <w:p>
      <w:pPr>
        <w:keepNext w:val="0"/>
        <w:keepLines w:val="0"/>
        <w:pageBreakBefore w:val="0"/>
        <w:widowControl w:val="0"/>
        <w:suppressLineNumbers w:val="0"/>
        <w:kinsoku/>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_GB2312" w:cs="仿宋_GB2312"/>
          <w:kern w:val="0"/>
          <w:sz w:val="32"/>
          <w:szCs w:val="32"/>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_GB2312" w:cs="仿宋_GB2312"/>
          <w:kern w:val="0"/>
          <w:sz w:val="32"/>
          <w:szCs w:val="32"/>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line="520" w:lineRule="exact"/>
        <w:ind w:firstLine="640" w:firstLineChars="200"/>
        <w:jc w:val="center"/>
        <w:textAlignment w:val="auto"/>
        <w:outlineLvl w:val="9"/>
        <w:rPr>
          <w:rFonts w:hint="default"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 xml:space="preserve">                           湖南省药品监督管理局  </w:t>
      </w:r>
    </w:p>
    <w:p>
      <w:pPr>
        <w:keepNext w:val="0"/>
        <w:keepLines w:val="0"/>
        <w:pageBreakBefore w:val="0"/>
        <w:widowControl w:val="0"/>
        <w:suppressLineNumbers w:val="0"/>
        <w:kinsoku/>
        <w:wordWrap w:val="0"/>
        <w:overflowPunct/>
        <w:topLinePunct w:val="0"/>
        <w:autoSpaceDE/>
        <w:autoSpaceDN/>
        <w:bidi w:val="0"/>
        <w:adjustRightInd/>
        <w:snapToGrid/>
        <w:spacing w:line="520" w:lineRule="exact"/>
        <w:ind w:firstLine="640" w:firstLineChars="200"/>
        <w:jc w:val="center"/>
        <w:textAlignment w:val="auto"/>
        <w:outlineLvl w:val="9"/>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 xml:space="preserve">                             2024年12月10日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 xml:space="preserve">（公开属性：主动公开） </w:t>
      </w:r>
    </w:p>
    <w:p>
      <w:pPr>
        <w:keepNext w:val="0"/>
        <w:keepLines w:val="0"/>
        <w:pageBreakBefore w:val="0"/>
        <w:widowControl/>
        <w:overflowPunct/>
        <w:topLinePunct w:val="0"/>
        <w:bidi w:val="0"/>
        <w:spacing w:line="560" w:lineRule="exact"/>
        <w:jc w:val="center"/>
        <w:rPr>
          <w:rFonts w:hint="eastAsia" w:ascii="Times New Roman" w:hAnsi="Times New Roman" w:eastAsia="CESI小标宋-GB13000" w:cs="CESI小标宋-GB13000"/>
          <w:b w:val="0"/>
          <w:bCs w:val="0"/>
          <w:color w:val="000000"/>
          <w:spacing w:val="0"/>
          <w:w w:val="100"/>
          <w:sz w:val="36"/>
          <w:szCs w:val="36"/>
        </w:rPr>
      </w:pPr>
    </w:p>
    <w:p>
      <w:pPr>
        <w:keepNext w:val="0"/>
        <w:keepLines w:val="0"/>
        <w:pageBreakBefore w:val="0"/>
        <w:widowControl/>
        <w:overflowPunct/>
        <w:topLinePunct w:val="0"/>
        <w:bidi w:val="0"/>
        <w:spacing w:line="560" w:lineRule="exact"/>
        <w:jc w:val="center"/>
        <w:rPr>
          <w:rFonts w:hint="eastAsia" w:ascii="Times New Roman" w:hAnsi="Times New Roman" w:eastAsia="CESI小标宋-GB13000" w:cs="CESI小标宋-GB13000"/>
          <w:b w:val="0"/>
          <w:bCs w:val="0"/>
          <w:color w:val="000000"/>
          <w:spacing w:val="0"/>
          <w:w w:val="100"/>
          <w:sz w:val="36"/>
          <w:szCs w:val="36"/>
        </w:rPr>
        <w:sectPr>
          <w:footerReference r:id="rId3" w:type="default"/>
          <w:pgSz w:w="11906" w:h="16838"/>
          <w:pgMar w:top="1587" w:right="1474" w:bottom="1474" w:left="1474" w:header="0" w:footer="907" w:gutter="0"/>
          <w:pgNumType w:fmt="numberInDash" w:start="1"/>
          <w:cols w:space="720" w:num="1"/>
          <w:rtlGutter w:val="0"/>
          <w:docGrid w:linePitch="1"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b w:val="0"/>
          <w:bCs w:val="0"/>
          <w:color w:val="000000"/>
          <w:spacing w:val="0"/>
          <w:w w:val="100"/>
          <w:sz w:val="44"/>
          <w:szCs w:val="44"/>
        </w:rPr>
      </w:pPr>
      <w:r>
        <w:rPr>
          <w:rFonts w:hint="eastAsia" w:ascii="Times New Roman" w:hAnsi="Times New Roman" w:eastAsia="方正小标宋_GBK" w:cs="方正小标宋_GBK"/>
          <w:b w:val="0"/>
          <w:bCs w:val="0"/>
          <w:color w:val="000000"/>
          <w:spacing w:val="0"/>
          <w:w w:val="100"/>
          <w:sz w:val="44"/>
          <w:szCs w:val="44"/>
        </w:rPr>
        <w:t>湖南省</w:t>
      </w:r>
      <w:r>
        <w:rPr>
          <w:rFonts w:hint="eastAsia" w:ascii="Times New Roman" w:hAnsi="Times New Roman" w:eastAsia="方正小标宋_GBK" w:cs="方正小标宋_GBK"/>
          <w:b w:val="0"/>
          <w:bCs w:val="0"/>
          <w:color w:val="000000"/>
          <w:spacing w:val="0"/>
          <w:w w:val="100"/>
          <w:sz w:val="44"/>
          <w:szCs w:val="44"/>
          <w:lang w:eastAsia="zh-CN"/>
        </w:rPr>
        <w:t>药品安全</w:t>
      </w:r>
      <w:r>
        <w:rPr>
          <w:rFonts w:hint="eastAsia" w:ascii="Times New Roman" w:hAnsi="Times New Roman" w:eastAsia="方正小标宋_GBK" w:cs="方正小标宋_GBK"/>
          <w:b w:val="0"/>
          <w:bCs w:val="0"/>
          <w:color w:val="000000"/>
          <w:spacing w:val="0"/>
          <w:w w:val="100"/>
          <w:sz w:val="44"/>
          <w:szCs w:val="44"/>
        </w:rPr>
        <w:t>信用管理办法（试行）</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left="0" w:firstLine="600" w:firstLineChars="200"/>
        <w:jc w:val="center"/>
        <w:textAlignment w:val="baseline"/>
        <w:rPr>
          <w:rFonts w:hint="eastAsia" w:ascii="Times New Roman" w:hAnsi="Times New Roman" w:eastAsia="CESI楷体-GB13000" w:cs="CESI楷体-GB13000"/>
          <w:color w:val="000000"/>
          <w:spacing w:val="0"/>
          <w:w w:val="100"/>
          <w:sz w:val="30"/>
          <w:szCs w:val="30"/>
          <w:lang w:eastAsia="zh-CN"/>
        </w:rPr>
      </w:pPr>
    </w:p>
    <w:p>
      <w:pPr>
        <w:keepNext w:val="0"/>
        <w:keepLines w:val="0"/>
        <w:pageBreakBefore w:val="0"/>
        <w:widowControl w:val="0"/>
        <w:kinsoku/>
        <w:wordWrap w:val="0"/>
        <w:overflowPunct/>
        <w:topLinePunct w:val="0"/>
        <w:autoSpaceDE/>
        <w:autoSpaceDN/>
        <w:bidi w:val="0"/>
        <w:adjustRightInd/>
        <w:snapToGrid/>
        <w:spacing w:after="0" w:afterLines="80" w:line="560" w:lineRule="exact"/>
        <w:jc w:val="center"/>
        <w:textAlignment w:val="baseline"/>
        <w:rPr>
          <w:rFonts w:hint="eastAsia" w:ascii="Times New Roman" w:hAnsi="Times New Roman" w:eastAsia="黑体" w:cs="黑体"/>
          <w:color w:val="000000"/>
          <w:spacing w:val="0"/>
          <w:w w:val="100"/>
          <w:sz w:val="32"/>
          <w:szCs w:val="32"/>
        </w:rPr>
      </w:pPr>
      <w:r>
        <w:rPr>
          <w:rFonts w:hint="eastAsia" w:ascii="Times New Roman" w:hAnsi="Times New Roman" w:eastAsia="黑体" w:cs="黑体"/>
          <w:color w:val="000000"/>
          <w:spacing w:val="0"/>
          <w:w w:val="100"/>
          <w:sz w:val="32"/>
          <w:szCs w:val="32"/>
        </w:rPr>
        <w:t>第一章  总则</w:t>
      </w:r>
    </w:p>
    <w:p>
      <w:pPr>
        <w:pStyle w:val="2"/>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left="0" w:leftChars="0" w:firstLine="640" w:firstLineChars="0"/>
        <w:jc w:val="both"/>
        <w:textAlignment w:val="baseline"/>
        <w:rPr>
          <w:rFonts w:hint="eastAsia" w:ascii="Times New Roman" w:hAnsi="Times New Roman" w:eastAsia="仿宋_GB2312" w:cs="CESI仿宋-GB13000"/>
          <w:b w:val="0"/>
          <w:bCs w:val="0"/>
          <w:i w:val="0"/>
          <w:iCs w:val="0"/>
          <w:color w:val="000000"/>
          <w:spacing w:val="0"/>
          <w:w w:val="100"/>
          <w:sz w:val="32"/>
          <w:szCs w:val="32"/>
        </w:rPr>
      </w:pPr>
      <w:r>
        <w:rPr>
          <w:rFonts w:hint="eastAsia" w:ascii="Times New Roman" w:hAnsi="Times New Roman" w:eastAsia="仿宋_GB2312" w:cs="CESI仿宋-GB13000"/>
          <w:color w:val="000000"/>
          <w:spacing w:val="0"/>
          <w:w w:val="100"/>
          <w:sz w:val="32"/>
          <w:szCs w:val="32"/>
          <w:lang w:val="en-US" w:eastAsia="zh-CN"/>
        </w:rPr>
        <w:t xml:space="preserve"> </w:t>
      </w:r>
      <w:r>
        <w:rPr>
          <w:rFonts w:hint="eastAsia" w:ascii="Times New Roman" w:hAnsi="Times New Roman" w:eastAsia="仿宋_GB2312" w:cs="CESI仿宋-GB13000"/>
          <w:color w:val="000000"/>
          <w:spacing w:val="0"/>
          <w:w w:val="100"/>
          <w:sz w:val="32"/>
          <w:szCs w:val="32"/>
          <w:lang w:eastAsia="zh-CN"/>
        </w:rPr>
        <w:t>为加强药品（</w:t>
      </w:r>
      <w:r>
        <w:rPr>
          <w:rFonts w:hint="eastAsia" w:ascii="Times New Roman" w:hAnsi="Times New Roman" w:eastAsia="仿宋_GB2312" w:cs="CESI仿宋-GB13000"/>
          <w:color w:val="000000"/>
          <w:spacing w:val="0"/>
          <w:w w:val="100"/>
          <w:sz w:val="32"/>
          <w:szCs w:val="32"/>
          <w:lang w:val="en-US" w:eastAsia="zh-CN"/>
        </w:rPr>
        <w:t>含</w:t>
      </w:r>
      <w:r>
        <w:rPr>
          <w:rFonts w:hint="eastAsia" w:ascii="Times New Roman" w:hAnsi="Times New Roman" w:eastAsia="仿宋_GB2312" w:cs="CESI仿宋-GB13000"/>
          <w:color w:val="000000"/>
          <w:spacing w:val="0"/>
          <w:w w:val="100"/>
          <w:sz w:val="32"/>
          <w:szCs w:val="32"/>
          <w:lang w:eastAsia="zh-CN"/>
        </w:rPr>
        <w:t>医疗器械、化妆品，下同）安全监督管理，落实企业主体责任，加快构建以信用为基础的新型监管机制，推进医药行业信用体系建设，促进医药产业</w:t>
      </w:r>
      <w:r>
        <w:rPr>
          <w:rFonts w:hint="eastAsia" w:ascii="Times New Roman" w:hAnsi="Times New Roman" w:eastAsia="仿宋_GB2312" w:cs="CESI仿宋-GB13000"/>
          <w:color w:val="000000"/>
          <w:spacing w:val="0"/>
          <w:w w:val="100"/>
          <w:sz w:val="32"/>
          <w:szCs w:val="32"/>
        </w:rPr>
        <w:t>高质量发展</w:t>
      </w:r>
      <w:r>
        <w:rPr>
          <w:rFonts w:hint="eastAsia" w:ascii="Times New Roman" w:hAnsi="Times New Roman" w:eastAsia="仿宋_GB2312" w:cs="CESI仿宋-GB13000"/>
          <w:color w:val="000000"/>
          <w:spacing w:val="0"/>
          <w:w w:val="100"/>
          <w:sz w:val="32"/>
          <w:szCs w:val="32"/>
          <w:lang w:eastAsia="zh-CN"/>
        </w:rPr>
        <w:t>，</w:t>
      </w:r>
      <w:r>
        <w:rPr>
          <w:rFonts w:hint="eastAsia" w:ascii="Times New Roman" w:hAnsi="Times New Roman" w:eastAsia="仿宋_GB2312" w:cs="CESI仿宋-GB13000"/>
          <w:color w:val="000000"/>
          <w:spacing w:val="0"/>
          <w:w w:val="100"/>
          <w:sz w:val="32"/>
          <w:szCs w:val="32"/>
        </w:rPr>
        <w:t>根据</w:t>
      </w:r>
      <w:r>
        <w:rPr>
          <w:rFonts w:hint="eastAsia" w:ascii="Times New Roman" w:hAnsi="Times New Roman" w:eastAsia="仿宋_GB2312" w:cs="CESI仿宋-GB13000"/>
          <w:color w:val="000000"/>
          <w:spacing w:val="0"/>
          <w:w w:val="100"/>
          <w:sz w:val="32"/>
          <w:szCs w:val="32"/>
          <w:lang w:eastAsia="zh-CN"/>
        </w:rPr>
        <w:t>《国务院办公厅关于加快推进社会信用体系建设构建以信用为基础的新型监管机制的指导意见》</w:t>
      </w:r>
      <w:r>
        <w:rPr>
          <w:rFonts w:hint="eastAsia" w:ascii="Times New Roman" w:hAnsi="Times New Roman" w:eastAsia="仿宋_GB2312" w:cs="CESI仿宋-GB13000"/>
          <w:color w:val="000000"/>
          <w:spacing w:val="0"/>
          <w:sz w:val="32"/>
          <w:szCs w:val="32"/>
          <w:lang w:eastAsia="zh-CN"/>
        </w:rPr>
        <w:t>（</w:t>
      </w:r>
      <w:r>
        <w:rPr>
          <w:rFonts w:hint="eastAsia" w:ascii="Times New Roman" w:hAnsi="Times New Roman" w:eastAsia="仿宋_GB2312" w:cs="CESI仿宋-GB13000"/>
          <w:color w:val="000000"/>
          <w:spacing w:val="0"/>
          <w:sz w:val="32"/>
          <w:szCs w:val="32"/>
        </w:rPr>
        <w:t>国办发〔2019〕35 号</w:t>
      </w:r>
      <w:r>
        <w:rPr>
          <w:rFonts w:hint="eastAsia" w:ascii="Times New Roman" w:hAnsi="Times New Roman" w:eastAsia="仿宋_GB2312" w:cs="CESI仿宋-GB13000"/>
          <w:color w:val="000000"/>
          <w:spacing w:val="0"/>
          <w:sz w:val="32"/>
          <w:szCs w:val="32"/>
          <w:lang w:eastAsia="zh-CN"/>
        </w:rPr>
        <w:t>）</w:t>
      </w:r>
      <w:r>
        <w:rPr>
          <w:rFonts w:hint="eastAsia" w:ascii="Times New Roman" w:hAnsi="Times New Roman" w:eastAsia="仿宋_GB2312" w:cs="CESI仿宋-GB13000"/>
          <w:color w:val="000000"/>
          <w:spacing w:val="0"/>
          <w:w w:val="100"/>
          <w:sz w:val="32"/>
          <w:szCs w:val="32"/>
        </w:rPr>
        <w:t>《湖南省社会信用条例》等规定，结合</w:t>
      </w:r>
      <w:r>
        <w:rPr>
          <w:rFonts w:hint="eastAsia" w:ascii="Times New Roman" w:hAnsi="Times New Roman" w:eastAsia="仿宋_GB2312" w:cs="CESI仿宋-GB13000"/>
          <w:color w:val="000000"/>
          <w:spacing w:val="0"/>
          <w:w w:val="100"/>
          <w:sz w:val="32"/>
          <w:szCs w:val="32"/>
          <w:lang w:eastAsia="zh-CN"/>
        </w:rPr>
        <w:t>本省</w:t>
      </w:r>
      <w:r>
        <w:rPr>
          <w:rFonts w:hint="eastAsia" w:ascii="Times New Roman" w:hAnsi="Times New Roman" w:eastAsia="仿宋_GB2312" w:cs="CESI仿宋-GB13000"/>
          <w:color w:val="000000"/>
          <w:spacing w:val="0"/>
          <w:w w:val="100"/>
          <w:sz w:val="32"/>
          <w:szCs w:val="32"/>
        </w:rPr>
        <w:t>实际，制定本办法。</w:t>
      </w:r>
    </w:p>
    <w:p>
      <w:pPr>
        <w:pStyle w:val="2"/>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left="0" w:leftChars="0" w:firstLine="640" w:firstLineChars="0"/>
        <w:jc w:val="both"/>
        <w:textAlignment w:val="baseline"/>
        <w:rPr>
          <w:rFonts w:hint="eastAsia" w:ascii="Times New Roman" w:hAnsi="Times New Roman" w:eastAsia="仿宋_GB2312" w:cs="CESI仿宋-GB13000"/>
          <w:b w:val="0"/>
          <w:bCs w:val="0"/>
          <w:i w:val="0"/>
          <w:iCs w:val="0"/>
          <w:color w:val="000000"/>
          <w:spacing w:val="0"/>
          <w:w w:val="100"/>
          <w:sz w:val="32"/>
          <w:szCs w:val="32"/>
        </w:rPr>
      </w:pPr>
      <w:r>
        <w:rPr>
          <w:rFonts w:hint="eastAsia" w:ascii="Times New Roman" w:hAnsi="Times New Roman" w:eastAsia="仿宋_GB2312" w:cs="CESI仿宋-GB13000"/>
          <w:b w:val="0"/>
          <w:bCs w:val="0"/>
          <w:i w:val="0"/>
          <w:iCs w:val="0"/>
          <w:caps w:val="0"/>
          <w:color w:val="000000"/>
          <w:spacing w:val="0"/>
          <w:w w:val="100"/>
          <w:sz w:val="32"/>
          <w:szCs w:val="32"/>
          <w:shd w:val="clear" w:color="auto" w:fill="FFFFFF"/>
          <w:lang w:val="en-US" w:eastAsia="zh-CN"/>
        </w:rPr>
        <w:t xml:space="preserve"> </w:t>
      </w:r>
      <w:r>
        <w:rPr>
          <w:rFonts w:hint="eastAsia" w:ascii="Times New Roman" w:hAnsi="Times New Roman" w:eastAsia="仿宋_GB2312" w:cs="CESI仿宋-GB13000"/>
          <w:b w:val="0"/>
          <w:bCs w:val="0"/>
          <w:i w:val="0"/>
          <w:iCs w:val="0"/>
          <w:caps w:val="0"/>
          <w:color w:val="000000"/>
          <w:spacing w:val="0"/>
          <w:w w:val="100"/>
          <w:sz w:val="32"/>
          <w:szCs w:val="32"/>
          <w:shd w:val="clear" w:color="auto" w:fill="FFFFFF"/>
          <w:lang w:eastAsia="zh-CN"/>
        </w:rPr>
        <w:t>本办</w:t>
      </w:r>
      <w:r>
        <w:rPr>
          <w:rFonts w:hint="eastAsia" w:ascii="Times New Roman" w:hAnsi="Times New Roman" w:eastAsia="仿宋_GB2312" w:cs="CESI仿宋-GB13000"/>
          <w:b w:val="0"/>
          <w:bCs w:val="0"/>
          <w:i w:val="0"/>
          <w:iCs w:val="0"/>
          <w:caps w:val="0"/>
          <w:color w:val="000000"/>
          <w:spacing w:val="0"/>
          <w:w w:val="100"/>
          <w:sz w:val="32"/>
          <w:szCs w:val="32"/>
          <w:shd w:val="clear" w:color="auto" w:fill="FFFFFF"/>
        </w:rPr>
        <w:t>法所称</w:t>
      </w:r>
      <w:r>
        <w:rPr>
          <w:rFonts w:hint="eastAsia" w:ascii="Times New Roman" w:hAnsi="Times New Roman" w:eastAsia="仿宋_GB2312" w:cs="CESI仿宋-GB13000"/>
          <w:b w:val="0"/>
          <w:bCs w:val="0"/>
          <w:i w:val="0"/>
          <w:iCs w:val="0"/>
          <w:caps w:val="0"/>
          <w:color w:val="000000"/>
          <w:spacing w:val="0"/>
          <w:w w:val="100"/>
          <w:sz w:val="32"/>
          <w:szCs w:val="32"/>
          <w:shd w:val="clear" w:color="auto" w:fill="FFFFFF"/>
          <w:lang w:eastAsia="zh-CN"/>
        </w:rPr>
        <w:t>药品安全信用</w:t>
      </w:r>
      <w:r>
        <w:rPr>
          <w:rFonts w:hint="eastAsia" w:ascii="Times New Roman" w:hAnsi="Times New Roman" w:eastAsia="仿宋_GB2312" w:cs="CESI仿宋-GB13000"/>
          <w:b w:val="0"/>
          <w:bCs w:val="0"/>
          <w:i w:val="0"/>
          <w:iCs w:val="0"/>
          <w:caps w:val="0"/>
          <w:color w:val="000000"/>
          <w:spacing w:val="0"/>
          <w:w w:val="100"/>
          <w:sz w:val="32"/>
          <w:szCs w:val="32"/>
          <w:shd w:val="clear" w:color="auto" w:fill="FFFFFF"/>
        </w:rPr>
        <w:t>管理，是指药品监督管理部门对</w:t>
      </w:r>
      <w:r>
        <w:rPr>
          <w:rFonts w:hint="eastAsia" w:ascii="Times New Roman" w:hAnsi="Times New Roman" w:eastAsia="仿宋_GB2312" w:cs="CESI仿宋-GB13000"/>
          <w:b w:val="0"/>
          <w:bCs w:val="0"/>
          <w:i w:val="0"/>
          <w:iCs w:val="0"/>
          <w:caps w:val="0"/>
          <w:color w:val="000000"/>
          <w:spacing w:val="0"/>
          <w:w w:val="100"/>
          <w:sz w:val="32"/>
          <w:szCs w:val="32"/>
          <w:shd w:val="clear" w:color="auto" w:fill="FFFFFF"/>
          <w:lang w:eastAsia="zh-CN"/>
        </w:rPr>
        <w:t>药品生产经营企业（含药品上市许可持有人，医疗器械和化妆品注册人、备案人，下同）开展信用信息采集、信用等级评定、评价结果发布与应用等有关药品质量安全管理活动。</w:t>
      </w:r>
    </w:p>
    <w:p>
      <w:pPr>
        <w:pStyle w:val="2"/>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left="0" w:leftChars="0" w:firstLine="640" w:firstLineChars="0"/>
        <w:jc w:val="both"/>
        <w:textAlignment w:val="baseline"/>
        <w:rPr>
          <w:rFonts w:hint="eastAsia" w:ascii="Times New Roman" w:hAnsi="Times New Roman" w:eastAsia="仿宋_GB2312" w:cs="CESI仿宋-GB13000"/>
          <w:b w:val="0"/>
          <w:bCs w:val="0"/>
          <w:i w:val="0"/>
          <w:iCs w:val="0"/>
          <w:color w:val="000000"/>
          <w:spacing w:val="-6"/>
          <w:w w:val="100"/>
          <w:sz w:val="32"/>
          <w:szCs w:val="32"/>
        </w:rPr>
      </w:pPr>
      <w:r>
        <w:rPr>
          <w:rFonts w:hint="eastAsia" w:ascii="Times New Roman" w:hAnsi="Times New Roman" w:eastAsia="仿宋_GB2312" w:cs="CESI仿宋-GB13000"/>
          <w:b w:val="0"/>
          <w:bCs w:val="0"/>
          <w:i w:val="0"/>
          <w:iCs w:val="0"/>
          <w:caps w:val="0"/>
          <w:color w:val="000000"/>
          <w:spacing w:val="0"/>
          <w:w w:val="100"/>
          <w:sz w:val="32"/>
          <w:szCs w:val="32"/>
          <w:shd w:val="clear" w:color="auto" w:fill="FFFFFF"/>
          <w:lang w:val="en-US" w:eastAsia="zh-CN"/>
        </w:rPr>
        <w:t xml:space="preserve"> </w:t>
      </w:r>
      <w:r>
        <w:rPr>
          <w:rFonts w:hint="eastAsia" w:ascii="Times New Roman" w:hAnsi="Times New Roman" w:eastAsia="仿宋_GB2312" w:cs="CESI仿宋-GB13000"/>
          <w:b w:val="0"/>
          <w:bCs w:val="0"/>
          <w:i w:val="0"/>
          <w:iCs w:val="0"/>
          <w:caps w:val="0"/>
          <w:color w:val="000000"/>
          <w:spacing w:val="0"/>
          <w:w w:val="100"/>
          <w:sz w:val="32"/>
          <w:szCs w:val="32"/>
          <w:shd w:val="clear" w:color="auto" w:fill="FFFFFF"/>
          <w:lang w:eastAsia="zh-CN"/>
        </w:rPr>
        <w:t>本办法适用于本省行政区域内药品</w:t>
      </w:r>
      <w:r>
        <w:rPr>
          <w:rFonts w:hint="eastAsia" w:ascii="Times New Roman" w:hAnsi="Times New Roman" w:eastAsia="仿宋_GB2312" w:cs="CESI仿宋-GB13000"/>
          <w:b w:val="0"/>
          <w:bCs w:val="0"/>
          <w:i w:val="0"/>
          <w:iCs w:val="0"/>
          <w:caps w:val="0"/>
          <w:color w:val="000000"/>
          <w:spacing w:val="0"/>
          <w:w w:val="100"/>
          <w:sz w:val="32"/>
          <w:szCs w:val="32"/>
          <w:shd w:val="clear" w:color="auto" w:fill="FFFFFF"/>
        </w:rPr>
        <w:t>生产</w:t>
      </w:r>
      <w:r>
        <w:rPr>
          <w:rFonts w:hint="eastAsia" w:ascii="Times New Roman" w:hAnsi="Times New Roman" w:eastAsia="仿宋_GB2312" w:cs="CESI仿宋-GB13000"/>
          <w:b w:val="0"/>
          <w:bCs w:val="0"/>
          <w:i w:val="0"/>
          <w:iCs w:val="0"/>
          <w:caps w:val="0"/>
          <w:color w:val="000000"/>
          <w:spacing w:val="-6"/>
          <w:w w:val="100"/>
          <w:sz w:val="32"/>
          <w:szCs w:val="32"/>
          <w:shd w:val="clear" w:color="auto" w:fill="FFFFFF"/>
          <w:lang w:eastAsia="zh-CN"/>
        </w:rPr>
        <w:t>经营企业安全信</w:t>
      </w:r>
      <w:r>
        <w:rPr>
          <w:rFonts w:hint="eastAsia" w:ascii="Times New Roman" w:hAnsi="Times New Roman" w:eastAsia="仿宋_GB2312" w:cs="CESI仿宋-GB13000"/>
          <w:b w:val="0"/>
          <w:bCs w:val="0"/>
          <w:i w:val="0"/>
          <w:iCs w:val="0"/>
          <w:caps w:val="0"/>
          <w:color w:val="000000"/>
          <w:spacing w:val="-6"/>
          <w:w w:val="100"/>
          <w:sz w:val="32"/>
          <w:szCs w:val="32"/>
          <w:shd w:val="clear" w:color="auto" w:fill="FFFFFF"/>
        </w:rPr>
        <w:t>用</w:t>
      </w:r>
      <w:r>
        <w:rPr>
          <w:rFonts w:hint="eastAsia" w:ascii="Times New Roman" w:hAnsi="Times New Roman" w:eastAsia="仿宋_GB2312" w:cs="CESI仿宋-GB13000"/>
          <w:b w:val="0"/>
          <w:bCs w:val="0"/>
          <w:i w:val="0"/>
          <w:iCs w:val="0"/>
          <w:caps w:val="0"/>
          <w:color w:val="000000"/>
          <w:spacing w:val="-6"/>
          <w:w w:val="100"/>
          <w:sz w:val="32"/>
          <w:szCs w:val="32"/>
          <w:shd w:val="clear" w:color="auto" w:fill="FFFFFF"/>
          <w:lang w:eastAsia="zh-CN"/>
        </w:rPr>
        <w:t>管理</w:t>
      </w:r>
      <w:r>
        <w:rPr>
          <w:rFonts w:hint="eastAsia" w:ascii="Times New Roman" w:hAnsi="Times New Roman" w:eastAsia="仿宋_GB2312" w:cs="CESI仿宋-GB13000"/>
          <w:b w:val="0"/>
          <w:bCs w:val="0"/>
          <w:i w:val="0"/>
          <w:iCs w:val="0"/>
          <w:caps w:val="0"/>
          <w:color w:val="000000"/>
          <w:spacing w:val="-6"/>
          <w:w w:val="100"/>
          <w:sz w:val="32"/>
          <w:szCs w:val="32"/>
          <w:shd w:val="clear" w:color="auto" w:fill="FFFFFF"/>
        </w:rPr>
        <w:t>。</w:t>
      </w:r>
    </w:p>
    <w:p>
      <w:pPr>
        <w:pStyle w:val="2"/>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left="0" w:leftChars="0" w:firstLine="640" w:firstLineChars="0"/>
        <w:jc w:val="both"/>
        <w:textAlignment w:val="baseline"/>
        <w:rPr>
          <w:rFonts w:hint="eastAsia" w:ascii="Times New Roman" w:hAnsi="Times New Roman" w:eastAsia="仿宋_GB2312" w:cs="CESI仿宋-GB13000"/>
          <w:b w:val="0"/>
          <w:bCs w:val="0"/>
          <w:i w:val="0"/>
          <w:iCs w:val="0"/>
          <w:color w:val="000000"/>
          <w:spacing w:val="0"/>
          <w:w w:val="100"/>
          <w:sz w:val="32"/>
          <w:szCs w:val="32"/>
        </w:rPr>
      </w:pPr>
      <w:r>
        <w:rPr>
          <w:rFonts w:hint="eastAsia" w:ascii="Times New Roman" w:hAnsi="Times New Roman" w:eastAsia="仿宋_GB2312" w:cs="CESI仿宋-GB13000"/>
          <w:b w:val="0"/>
          <w:bCs w:val="0"/>
          <w:i w:val="0"/>
          <w:iCs w:val="0"/>
          <w:caps w:val="0"/>
          <w:color w:val="000000"/>
          <w:spacing w:val="0"/>
          <w:w w:val="100"/>
          <w:sz w:val="32"/>
          <w:szCs w:val="32"/>
          <w:shd w:val="clear" w:color="auto" w:fill="FFFFFF"/>
          <w:lang w:val="en-US" w:eastAsia="zh-CN"/>
        </w:rPr>
        <w:t xml:space="preserve"> </w:t>
      </w:r>
      <w:r>
        <w:rPr>
          <w:rFonts w:hint="eastAsia" w:ascii="Times New Roman" w:hAnsi="Times New Roman" w:eastAsia="仿宋_GB2312" w:cs="CESI仿宋-GB13000"/>
          <w:b w:val="0"/>
          <w:bCs w:val="0"/>
          <w:i w:val="0"/>
          <w:iCs w:val="0"/>
          <w:caps w:val="0"/>
          <w:color w:val="000000"/>
          <w:spacing w:val="0"/>
          <w:w w:val="100"/>
          <w:sz w:val="32"/>
          <w:szCs w:val="32"/>
          <w:shd w:val="clear" w:color="auto" w:fill="FFFFFF"/>
          <w:lang w:eastAsia="zh-CN"/>
        </w:rPr>
        <w:t>药品生产经营企业安全信用管理</w:t>
      </w:r>
      <w:r>
        <w:rPr>
          <w:rFonts w:hint="eastAsia" w:ascii="Times New Roman" w:hAnsi="Times New Roman" w:eastAsia="仿宋_GB2312" w:cs="CESI仿宋-GB13000"/>
          <w:color w:val="000000"/>
          <w:spacing w:val="0"/>
          <w:w w:val="100"/>
          <w:sz w:val="32"/>
          <w:szCs w:val="32"/>
        </w:rPr>
        <w:t>应遵循依法依规、公平公正、协同共治、保障权益的原则</w:t>
      </w:r>
      <w:r>
        <w:rPr>
          <w:rFonts w:hint="eastAsia" w:ascii="Times New Roman" w:hAnsi="Times New Roman" w:eastAsia="仿宋_GB2312" w:cs="CESI仿宋-GB13000"/>
          <w:color w:val="000000"/>
          <w:spacing w:val="0"/>
          <w:w w:val="100"/>
          <w:sz w:val="32"/>
          <w:szCs w:val="32"/>
          <w:lang w:eastAsia="zh-CN"/>
        </w:rPr>
        <w:t>，</w:t>
      </w:r>
      <w:r>
        <w:rPr>
          <w:rFonts w:hint="eastAsia" w:ascii="Times New Roman" w:hAnsi="Times New Roman" w:eastAsia="仿宋_GB2312" w:cs="CESI仿宋-GB13000"/>
          <w:color w:val="000000"/>
          <w:spacing w:val="0"/>
          <w:w w:val="100"/>
          <w:sz w:val="32"/>
          <w:szCs w:val="32"/>
        </w:rPr>
        <w:t>以信用评价为基础，建立科学合理的信用分级分类标准体系，对</w:t>
      </w:r>
      <w:r>
        <w:rPr>
          <w:rFonts w:hint="eastAsia" w:ascii="Times New Roman" w:hAnsi="Times New Roman" w:eastAsia="仿宋_GB2312" w:cs="CESI仿宋-GB13000"/>
          <w:color w:val="000000"/>
          <w:spacing w:val="0"/>
          <w:w w:val="100"/>
          <w:sz w:val="32"/>
          <w:szCs w:val="32"/>
          <w:lang w:eastAsia="zh-CN"/>
        </w:rPr>
        <w:t>药品生产经营企业</w:t>
      </w:r>
      <w:r>
        <w:rPr>
          <w:rFonts w:hint="eastAsia" w:ascii="Times New Roman" w:hAnsi="Times New Roman" w:eastAsia="仿宋_GB2312" w:cs="CESI仿宋-GB13000"/>
          <w:color w:val="000000"/>
          <w:spacing w:val="0"/>
          <w:w w:val="100"/>
          <w:sz w:val="32"/>
          <w:szCs w:val="32"/>
        </w:rPr>
        <w:t>实施差异化、精准化监管，有效提升监管效能和服务水平</w:t>
      </w:r>
      <w:r>
        <w:rPr>
          <w:rFonts w:hint="eastAsia" w:ascii="Times New Roman" w:hAnsi="Times New Roman" w:eastAsia="仿宋_GB2312" w:cs="CESI仿宋-GB13000"/>
          <w:color w:val="000000"/>
          <w:spacing w:val="0"/>
          <w:w w:val="100"/>
          <w:sz w:val="32"/>
          <w:szCs w:val="32"/>
          <w:lang w:eastAsia="zh-CN"/>
        </w:rPr>
        <w:t>。</w:t>
      </w:r>
    </w:p>
    <w:p>
      <w:pPr>
        <w:pStyle w:val="2"/>
        <w:keepNext w:val="0"/>
        <w:keepLines w:val="0"/>
        <w:pageBreakBefore w:val="0"/>
        <w:widowControl w:val="0"/>
        <w:numPr>
          <w:ilvl w:val="0"/>
          <w:numId w:val="1"/>
        </w:numPr>
        <w:kinsoku/>
        <w:wordWrap w:val="0"/>
        <w:overflowPunct/>
        <w:topLinePunct w:val="0"/>
        <w:autoSpaceDE/>
        <w:autoSpaceDN/>
        <w:bidi w:val="0"/>
        <w:adjustRightInd/>
        <w:snapToGrid/>
        <w:spacing w:line="580" w:lineRule="exact"/>
        <w:ind w:left="0" w:leftChars="0" w:firstLine="640" w:firstLineChars="0"/>
        <w:jc w:val="both"/>
        <w:textAlignment w:val="baseline"/>
        <w:rPr>
          <w:rFonts w:hint="eastAsia" w:ascii="Times New Roman" w:hAnsi="Times New Roman" w:eastAsia="仿宋_GB2312" w:cs="CESI仿宋-GB13000"/>
          <w:b w:val="0"/>
          <w:bCs w:val="0"/>
          <w:i w:val="0"/>
          <w:iCs w:val="0"/>
          <w:caps w:val="0"/>
          <w:color w:val="000000"/>
          <w:spacing w:val="-6"/>
          <w:w w:val="100"/>
          <w:sz w:val="32"/>
          <w:szCs w:val="32"/>
          <w:shd w:val="clear" w:color="auto" w:fill="FFFFFF"/>
          <w:lang w:eastAsia="zh-CN"/>
        </w:rPr>
      </w:pPr>
      <w:r>
        <w:rPr>
          <w:rFonts w:hint="eastAsia" w:ascii="Times New Roman" w:hAnsi="Times New Roman" w:eastAsia="仿宋_GB2312" w:cs="CESI仿宋-GB13000"/>
          <w:b w:val="0"/>
          <w:bCs w:val="0"/>
          <w:i w:val="0"/>
          <w:iCs w:val="0"/>
          <w:caps w:val="0"/>
          <w:color w:val="000000"/>
          <w:spacing w:val="0"/>
          <w:w w:val="100"/>
          <w:sz w:val="32"/>
          <w:szCs w:val="32"/>
          <w:shd w:val="clear" w:color="auto" w:fill="FFFFFF"/>
          <w:lang w:val="en-US" w:eastAsia="zh-CN"/>
        </w:rPr>
        <w:t xml:space="preserve"> </w:t>
      </w:r>
      <w:r>
        <w:rPr>
          <w:rFonts w:hint="eastAsia" w:ascii="Times New Roman" w:hAnsi="Times New Roman" w:eastAsia="仿宋_GB2312" w:cs="CESI仿宋-GB13000"/>
          <w:b w:val="0"/>
          <w:bCs w:val="0"/>
          <w:i w:val="0"/>
          <w:iCs w:val="0"/>
          <w:caps w:val="0"/>
          <w:color w:val="000000"/>
          <w:spacing w:val="0"/>
          <w:w w:val="100"/>
          <w:sz w:val="32"/>
          <w:szCs w:val="32"/>
          <w:shd w:val="clear" w:color="auto" w:fill="FFFFFF"/>
        </w:rPr>
        <w:t>省</w:t>
      </w:r>
      <w:r>
        <w:rPr>
          <w:rFonts w:hint="eastAsia" w:ascii="Times New Roman" w:hAnsi="Times New Roman" w:eastAsia="仿宋_GB2312" w:cs="CESI仿宋-GB13000"/>
          <w:b w:val="0"/>
          <w:bCs w:val="0"/>
          <w:i w:val="0"/>
          <w:iCs w:val="0"/>
          <w:caps w:val="0"/>
          <w:color w:val="000000"/>
          <w:spacing w:val="0"/>
          <w:w w:val="100"/>
          <w:sz w:val="32"/>
          <w:szCs w:val="32"/>
          <w:shd w:val="clear" w:color="auto" w:fill="FFFFFF"/>
          <w:lang w:eastAsia="zh-CN"/>
        </w:rPr>
        <w:t>级</w:t>
      </w:r>
      <w:r>
        <w:rPr>
          <w:rFonts w:hint="eastAsia" w:ascii="Times New Roman" w:hAnsi="Times New Roman" w:eastAsia="仿宋_GB2312" w:cs="CESI仿宋-GB13000"/>
          <w:b w:val="0"/>
          <w:bCs w:val="0"/>
          <w:i w:val="0"/>
          <w:iCs w:val="0"/>
          <w:caps w:val="0"/>
          <w:color w:val="000000"/>
          <w:spacing w:val="0"/>
          <w:w w:val="100"/>
          <w:sz w:val="32"/>
          <w:szCs w:val="32"/>
          <w:shd w:val="clear" w:color="auto" w:fill="FFFFFF"/>
        </w:rPr>
        <w:t>药品监督管理</w:t>
      </w:r>
      <w:r>
        <w:rPr>
          <w:rFonts w:hint="eastAsia" w:ascii="Times New Roman" w:hAnsi="Times New Roman" w:eastAsia="仿宋_GB2312" w:cs="CESI仿宋-GB13000"/>
          <w:b w:val="0"/>
          <w:bCs w:val="0"/>
          <w:i w:val="0"/>
          <w:iCs w:val="0"/>
          <w:caps w:val="0"/>
          <w:color w:val="000000"/>
          <w:spacing w:val="0"/>
          <w:w w:val="100"/>
          <w:sz w:val="32"/>
          <w:szCs w:val="32"/>
          <w:shd w:val="clear" w:color="auto" w:fill="FFFFFF"/>
          <w:lang w:eastAsia="zh-CN"/>
        </w:rPr>
        <w:t>部门统筹全省药品安全信用管理工作，制定</w:t>
      </w:r>
      <w:r>
        <w:rPr>
          <w:rFonts w:hint="eastAsia" w:ascii="Times New Roman" w:hAnsi="Times New Roman" w:eastAsia="仿宋_GB2312" w:cs="CESI仿宋-GB13000"/>
          <w:b w:val="0"/>
          <w:bCs w:val="0"/>
          <w:i w:val="0"/>
          <w:iCs w:val="0"/>
          <w:caps w:val="0"/>
          <w:color w:val="000000"/>
          <w:spacing w:val="0"/>
          <w:w w:val="100"/>
          <w:sz w:val="32"/>
          <w:szCs w:val="32"/>
          <w:shd w:val="clear" w:color="auto" w:fill="FFFFFF"/>
        </w:rPr>
        <w:t>全省</w:t>
      </w:r>
      <w:r>
        <w:rPr>
          <w:rFonts w:hint="eastAsia" w:ascii="Times New Roman" w:hAnsi="Times New Roman" w:eastAsia="仿宋_GB2312" w:cs="CESI仿宋-GB13000"/>
          <w:b w:val="0"/>
          <w:bCs w:val="0"/>
          <w:i w:val="0"/>
          <w:iCs w:val="0"/>
          <w:caps w:val="0"/>
          <w:color w:val="000000"/>
          <w:spacing w:val="0"/>
          <w:w w:val="100"/>
          <w:sz w:val="32"/>
          <w:szCs w:val="32"/>
          <w:shd w:val="clear" w:color="auto" w:fill="FFFFFF"/>
          <w:lang w:eastAsia="zh-CN"/>
        </w:rPr>
        <w:t>药品安全信用管理规定，建立完善全省药品安全信用管理系统，负责制定药品生产企业、药品批发企业（含零售连锁总部）、第二类和第三类医疗器械生产企业、化妆品生产企业安全信用评价规则、分级标准，并组织开展评价</w:t>
      </w:r>
      <w:r>
        <w:rPr>
          <w:rFonts w:hint="eastAsia" w:ascii="Times New Roman" w:hAnsi="Times New Roman" w:eastAsia="仿宋_GB2312" w:cs="CESI仿宋-GB13000"/>
          <w:b w:val="0"/>
          <w:bCs w:val="0"/>
          <w:i w:val="0"/>
          <w:iCs w:val="0"/>
          <w:caps w:val="0"/>
          <w:color w:val="000000"/>
          <w:spacing w:val="-6"/>
          <w:w w:val="100"/>
          <w:sz w:val="32"/>
          <w:szCs w:val="32"/>
          <w:shd w:val="clear" w:color="auto" w:fill="FFFFFF"/>
          <w:lang w:eastAsia="zh-CN"/>
        </w:rPr>
        <w:t>工作；</w:t>
      </w:r>
      <w:r>
        <w:rPr>
          <w:rFonts w:hint="eastAsia" w:ascii="Times New Roman" w:hAnsi="Times New Roman" w:eastAsia="仿宋_GB2312" w:cs="CESI仿宋-GB13000"/>
          <w:b w:val="0"/>
          <w:bCs w:val="0"/>
          <w:i w:val="0"/>
          <w:iCs w:val="0"/>
          <w:caps w:val="0"/>
          <w:color w:val="000000"/>
          <w:spacing w:val="-6"/>
          <w:w w:val="100"/>
          <w:sz w:val="32"/>
          <w:szCs w:val="32"/>
          <w:shd w:val="clear" w:color="auto" w:fill="FFFFFF"/>
          <w:lang w:val="en-US" w:eastAsia="zh-CN"/>
        </w:rPr>
        <w:t>组织制定全省药品零售企业、</w:t>
      </w:r>
      <w:r>
        <w:rPr>
          <w:rFonts w:hint="eastAsia" w:ascii="Times New Roman" w:hAnsi="Times New Roman" w:eastAsia="仿宋_GB2312" w:cs="CESI仿宋-GB13000"/>
          <w:b w:val="0"/>
          <w:bCs w:val="0"/>
          <w:i w:val="0"/>
          <w:iCs w:val="0"/>
          <w:caps w:val="0"/>
          <w:color w:val="000000"/>
          <w:spacing w:val="-6"/>
          <w:w w:val="100"/>
          <w:sz w:val="32"/>
          <w:szCs w:val="32"/>
          <w:shd w:val="clear" w:color="auto" w:fill="FFFFFF"/>
          <w:lang w:eastAsia="zh-CN"/>
        </w:rPr>
        <w:t>第一类医疗器械生产企业、医疗器械经营企业、化妆品经营企业安全信用评价规则和分级标准。</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firstLine="640" w:firstLineChars="200"/>
        <w:jc w:val="both"/>
        <w:textAlignment w:val="baseline"/>
        <w:rPr>
          <w:rFonts w:hint="eastAsia" w:ascii="Times New Roman" w:hAnsi="Times New Roman" w:eastAsia="仿宋_GB2312" w:cs="CESI仿宋-GB13000"/>
          <w:b w:val="0"/>
          <w:bCs w:val="0"/>
          <w:i w:val="0"/>
          <w:iCs w:val="0"/>
          <w:caps w:val="0"/>
          <w:color w:val="000000"/>
          <w:spacing w:val="0"/>
          <w:w w:val="100"/>
          <w:sz w:val="32"/>
          <w:szCs w:val="32"/>
          <w:shd w:val="clear" w:color="auto" w:fill="FFFFFF"/>
          <w:lang w:eastAsia="zh-CN"/>
        </w:rPr>
      </w:pPr>
      <w:r>
        <w:rPr>
          <w:rFonts w:hint="eastAsia" w:ascii="Times New Roman" w:hAnsi="Times New Roman" w:eastAsia="仿宋_GB2312" w:cs="CESI仿宋-GB13000"/>
          <w:b w:val="0"/>
          <w:bCs w:val="0"/>
          <w:i w:val="0"/>
          <w:iCs w:val="0"/>
          <w:caps w:val="0"/>
          <w:color w:val="000000"/>
          <w:spacing w:val="0"/>
          <w:w w:val="100"/>
          <w:sz w:val="32"/>
          <w:szCs w:val="32"/>
          <w:shd w:val="clear" w:color="auto" w:fill="FFFFFF"/>
        </w:rPr>
        <w:t>市</w:t>
      </w:r>
      <w:r>
        <w:rPr>
          <w:rFonts w:hint="eastAsia" w:ascii="Times New Roman" w:hAnsi="Times New Roman" w:eastAsia="仿宋_GB2312" w:cs="CESI仿宋-GB13000"/>
          <w:b w:val="0"/>
          <w:bCs w:val="0"/>
          <w:i w:val="0"/>
          <w:iCs w:val="0"/>
          <w:caps w:val="0"/>
          <w:color w:val="000000"/>
          <w:spacing w:val="0"/>
          <w:w w:val="100"/>
          <w:sz w:val="32"/>
          <w:szCs w:val="32"/>
          <w:shd w:val="clear" w:color="auto" w:fill="FFFFFF"/>
          <w:lang w:eastAsia="zh-CN"/>
        </w:rPr>
        <w:t>州级</w:t>
      </w:r>
      <w:r>
        <w:rPr>
          <w:rFonts w:hint="eastAsia" w:ascii="Times New Roman" w:hAnsi="Times New Roman" w:eastAsia="仿宋_GB2312" w:cs="CESI仿宋-GB13000"/>
          <w:b w:val="0"/>
          <w:bCs w:val="0"/>
          <w:i w:val="0"/>
          <w:iCs w:val="0"/>
          <w:caps w:val="0"/>
          <w:color w:val="000000"/>
          <w:spacing w:val="0"/>
          <w:w w:val="100"/>
          <w:sz w:val="32"/>
          <w:szCs w:val="32"/>
          <w:shd w:val="clear" w:color="auto" w:fill="FFFFFF"/>
        </w:rPr>
        <w:t>药品监督管理部门</w:t>
      </w:r>
      <w:r>
        <w:rPr>
          <w:rFonts w:hint="eastAsia" w:ascii="Times New Roman" w:hAnsi="Times New Roman" w:eastAsia="仿宋_GB2312" w:cs="CESI仿宋-GB13000"/>
          <w:b w:val="0"/>
          <w:bCs w:val="0"/>
          <w:i w:val="0"/>
          <w:iCs w:val="0"/>
          <w:caps w:val="0"/>
          <w:color w:val="000000"/>
          <w:spacing w:val="0"/>
          <w:w w:val="100"/>
          <w:sz w:val="32"/>
          <w:szCs w:val="32"/>
          <w:shd w:val="clear" w:color="auto" w:fill="FFFFFF"/>
          <w:lang w:eastAsia="zh-CN"/>
        </w:rPr>
        <w:t>协助省级药品监督管理部门开展本行政区域内药品生产企业、药品批发企业（含零售连锁总部）、第二类和第三类医疗器械生产企业、化妆品生产企业安全信用评价工作；组织实施辖区内药品零售企业、第一类医疗器械生产企业、医疗器械经营企业、化妆品经营企业安全信用评价工作。</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firstLine="640" w:firstLineChars="200"/>
        <w:jc w:val="both"/>
        <w:textAlignment w:val="baseline"/>
        <w:rPr>
          <w:rFonts w:hint="eastAsia" w:ascii="Times New Roman" w:hAnsi="Times New Roman" w:eastAsia="仿宋_GB2312" w:cs="CESI仿宋-GB13000"/>
          <w:b w:val="0"/>
          <w:bCs w:val="0"/>
          <w:i w:val="0"/>
          <w:iCs w:val="0"/>
          <w:caps w:val="0"/>
          <w:color w:val="000000"/>
          <w:spacing w:val="0"/>
          <w:w w:val="100"/>
          <w:sz w:val="32"/>
          <w:szCs w:val="32"/>
          <w:shd w:val="clear" w:color="auto" w:fill="FFFFFF"/>
          <w:lang w:val="en-US" w:eastAsia="zh-CN"/>
        </w:rPr>
      </w:pPr>
      <w:r>
        <w:rPr>
          <w:rFonts w:hint="eastAsia" w:ascii="Times New Roman" w:hAnsi="Times New Roman" w:eastAsia="仿宋_GB2312" w:cs="CESI仿宋-GB13000"/>
          <w:b w:val="0"/>
          <w:bCs w:val="0"/>
          <w:i w:val="0"/>
          <w:iCs w:val="0"/>
          <w:caps w:val="0"/>
          <w:color w:val="000000"/>
          <w:spacing w:val="0"/>
          <w:w w:val="100"/>
          <w:sz w:val="32"/>
          <w:szCs w:val="32"/>
          <w:shd w:val="clear" w:color="auto" w:fill="FFFFFF"/>
          <w:lang w:val="en-US" w:eastAsia="zh-CN"/>
        </w:rPr>
        <w:t>县级药品监督管理部门协助上级药品监督管理部门履行药品安全信用管理职责，配合或组织开展有关评价工作。</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left="0" w:firstLine="640" w:firstLineChars="200"/>
        <w:jc w:val="both"/>
        <w:textAlignment w:val="baseline"/>
        <w:rPr>
          <w:rFonts w:hint="eastAsia" w:ascii="Times New Roman" w:hAnsi="Times New Roman" w:eastAsia="仿宋_GB2312" w:cs="CESI仿宋-GB13000"/>
          <w:b w:val="0"/>
          <w:bCs w:val="0"/>
          <w:i w:val="0"/>
          <w:iCs w:val="0"/>
          <w:caps w:val="0"/>
          <w:color w:val="000000"/>
          <w:spacing w:val="0"/>
          <w:w w:val="100"/>
          <w:sz w:val="32"/>
          <w:szCs w:val="32"/>
          <w:shd w:val="clear" w:color="auto" w:fill="FFFFFF"/>
          <w:lang w:val="en-US" w:eastAsia="zh-CN"/>
        </w:rPr>
      </w:pPr>
    </w:p>
    <w:p>
      <w:pPr>
        <w:keepNext w:val="0"/>
        <w:keepLines w:val="0"/>
        <w:pageBreakBefore w:val="0"/>
        <w:widowControl w:val="0"/>
        <w:kinsoku/>
        <w:wordWrap w:val="0"/>
        <w:overflowPunct/>
        <w:topLinePunct w:val="0"/>
        <w:autoSpaceDE/>
        <w:autoSpaceDN/>
        <w:bidi w:val="0"/>
        <w:adjustRightInd/>
        <w:snapToGrid/>
        <w:spacing w:after="0" w:afterLines="80" w:line="540" w:lineRule="exact"/>
        <w:jc w:val="center"/>
        <w:textAlignment w:val="baseline"/>
        <w:rPr>
          <w:rFonts w:hint="eastAsia" w:ascii="Times New Roman" w:hAnsi="Times New Roman" w:eastAsia="黑体" w:cs="黑体"/>
          <w:color w:val="000000"/>
          <w:spacing w:val="0"/>
          <w:w w:val="100"/>
          <w:sz w:val="32"/>
          <w:szCs w:val="32"/>
        </w:rPr>
      </w:pPr>
      <w:r>
        <w:rPr>
          <w:rFonts w:hint="eastAsia" w:ascii="Times New Roman" w:hAnsi="Times New Roman" w:eastAsia="黑体" w:cs="黑体"/>
          <w:color w:val="000000"/>
          <w:spacing w:val="0"/>
          <w:w w:val="100"/>
          <w:sz w:val="32"/>
          <w:szCs w:val="32"/>
        </w:rPr>
        <w:t xml:space="preserve">第二章  </w:t>
      </w:r>
      <w:r>
        <w:rPr>
          <w:rFonts w:hint="eastAsia" w:ascii="Times New Roman" w:hAnsi="Times New Roman" w:eastAsia="黑体" w:cs="黑体"/>
          <w:color w:val="000000"/>
          <w:spacing w:val="0"/>
          <w:w w:val="100"/>
          <w:sz w:val="32"/>
          <w:szCs w:val="32"/>
          <w:lang w:eastAsia="zh-CN"/>
        </w:rPr>
        <w:t>药品安全</w:t>
      </w:r>
      <w:r>
        <w:rPr>
          <w:rFonts w:hint="eastAsia" w:ascii="Times New Roman" w:hAnsi="Times New Roman" w:eastAsia="黑体" w:cs="黑体"/>
          <w:color w:val="000000"/>
          <w:spacing w:val="0"/>
          <w:w w:val="100"/>
          <w:sz w:val="32"/>
          <w:szCs w:val="32"/>
        </w:rPr>
        <w:t>信用</w:t>
      </w:r>
      <w:r>
        <w:rPr>
          <w:rFonts w:hint="eastAsia" w:ascii="Times New Roman" w:hAnsi="Times New Roman" w:eastAsia="黑体" w:cs="黑体"/>
          <w:color w:val="000000"/>
          <w:spacing w:val="0"/>
          <w:w w:val="100"/>
          <w:sz w:val="32"/>
          <w:szCs w:val="32"/>
          <w:lang w:eastAsia="zh-CN"/>
        </w:rPr>
        <w:t>信息采集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2"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b/>
          <w:bCs/>
          <w:color w:val="000000"/>
          <w:sz w:val="32"/>
          <w:szCs w:val="32"/>
          <w:vertAlign w:val="baseline"/>
        </w:rPr>
        <w:t>第六条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color w:val="000000"/>
          <w:sz w:val="32"/>
          <w:szCs w:val="32"/>
          <w:vertAlign w:val="baseline"/>
        </w:rPr>
        <w:t>药品安全信用信息是评定企业药品安全信用等级必要的相关信息，包括：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楷体_GB2312" w:cs="楷体_GB2312"/>
          <w:color w:val="000000"/>
          <w:sz w:val="32"/>
          <w:szCs w:val="32"/>
          <w:vertAlign w:val="baseline"/>
        </w:rPr>
        <w:t>（一）遵纪守法信息：</w:t>
      </w:r>
      <w:r>
        <w:rPr>
          <w:rFonts w:hint="eastAsia" w:ascii="Times New Roman" w:hAnsi="Times New Roman" w:eastAsia="仿宋_GB2312" w:cs="CESI仿宋-GB13000"/>
          <w:color w:val="000000"/>
          <w:sz w:val="32"/>
          <w:szCs w:val="32"/>
          <w:vertAlign w:val="baseline"/>
        </w:rPr>
        <w:t>药品</w:t>
      </w:r>
      <w:r>
        <w:rPr>
          <w:rFonts w:hint="eastAsia" w:ascii="Times New Roman" w:hAnsi="Times New Roman" w:eastAsia="仿宋_GB2312" w:cs="CESI仿宋-GB13000"/>
          <w:color w:val="000000"/>
          <w:sz w:val="32"/>
          <w:szCs w:val="32"/>
          <w:vertAlign w:val="baseline"/>
          <w:lang w:eastAsia="zh-CN"/>
        </w:rPr>
        <w:t>生产</w:t>
      </w:r>
      <w:r>
        <w:rPr>
          <w:rFonts w:hint="eastAsia" w:ascii="Times New Roman" w:hAnsi="Times New Roman" w:eastAsia="仿宋_GB2312" w:cs="CESI仿宋-GB13000"/>
          <w:color w:val="000000"/>
          <w:sz w:val="32"/>
          <w:szCs w:val="32"/>
          <w:vertAlign w:val="baseline"/>
        </w:rPr>
        <w:t>经营企业因违</w:t>
      </w:r>
      <w:r>
        <w:rPr>
          <w:rFonts w:hint="eastAsia" w:ascii="Times New Roman" w:hAnsi="Times New Roman" w:eastAsia="仿宋_GB2312" w:cs="CESI仿宋-GB13000"/>
          <w:color w:val="000000"/>
          <w:sz w:val="32"/>
          <w:szCs w:val="32"/>
          <w:vertAlign w:val="baseline"/>
          <w:lang w:eastAsia="zh-CN"/>
        </w:rPr>
        <w:t>反药品监管法律法规规章</w:t>
      </w:r>
      <w:r>
        <w:rPr>
          <w:rFonts w:hint="eastAsia" w:ascii="Times New Roman" w:hAnsi="Times New Roman" w:eastAsia="仿宋_GB2312" w:cs="CESI仿宋-GB13000"/>
          <w:color w:val="000000"/>
          <w:sz w:val="32"/>
          <w:szCs w:val="32"/>
          <w:vertAlign w:val="baseline"/>
        </w:rPr>
        <w:t>受到行政处罚或受到司法裁判等信息。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楷体_GB2312" w:cs="楷体_GB2312"/>
          <w:color w:val="000000"/>
          <w:sz w:val="32"/>
          <w:szCs w:val="32"/>
          <w:vertAlign w:val="baseline"/>
        </w:rPr>
        <w:t>（二）主体责任落实信息：</w:t>
      </w:r>
      <w:r>
        <w:rPr>
          <w:rFonts w:hint="eastAsia" w:ascii="Times New Roman" w:hAnsi="Times New Roman" w:eastAsia="仿宋_GB2312" w:cs="CESI仿宋-GB13000"/>
          <w:color w:val="000000"/>
          <w:sz w:val="32"/>
          <w:szCs w:val="32"/>
          <w:vertAlign w:val="baseline"/>
        </w:rPr>
        <w:t>药品</w:t>
      </w:r>
      <w:r>
        <w:rPr>
          <w:rFonts w:hint="eastAsia" w:ascii="Times New Roman" w:hAnsi="Times New Roman" w:eastAsia="仿宋_GB2312" w:cs="CESI仿宋-GB13000"/>
          <w:color w:val="000000"/>
          <w:sz w:val="32"/>
          <w:szCs w:val="32"/>
          <w:vertAlign w:val="baseline"/>
          <w:lang w:eastAsia="zh-CN"/>
        </w:rPr>
        <w:t>生产</w:t>
      </w:r>
      <w:r>
        <w:rPr>
          <w:rFonts w:hint="eastAsia" w:ascii="Times New Roman" w:hAnsi="Times New Roman" w:eastAsia="仿宋_GB2312" w:cs="CESI仿宋-GB13000"/>
          <w:color w:val="000000"/>
          <w:sz w:val="32"/>
          <w:szCs w:val="32"/>
          <w:vertAlign w:val="baseline"/>
        </w:rPr>
        <w:t>经营企业办理行政许可、备案、报告及其他行政权力事项的合法合规情况；</w:t>
      </w:r>
      <w:r>
        <w:rPr>
          <w:rFonts w:hint="eastAsia" w:ascii="Times New Roman" w:hAnsi="Times New Roman" w:eastAsia="仿宋_GB2312" w:cs="CESI仿宋-GB13000"/>
          <w:color w:val="000000"/>
          <w:sz w:val="32"/>
          <w:szCs w:val="32"/>
          <w:vertAlign w:val="baseline"/>
          <w:lang w:eastAsia="zh-CN"/>
        </w:rPr>
        <w:t>生产</w:t>
      </w:r>
      <w:r>
        <w:rPr>
          <w:rFonts w:hint="eastAsia" w:ascii="Times New Roman" w:hAnsi="Times New Roman" w:eastAsia="仿宋_GB2312" w:cs="CESI仿宋-GB13000"/>
          <w:color w:val="000000"/>
          <w:sz w:val="32"/>
          <w:szCs w:val="32"/>
          <w:vertAlign w:val="baseline"/>
        </w:rPr>
        <w:t>经营活动中药品安全</w:t>
      </w:r>
      <w:r>
        <w:rPr>
          <w:rFonts w:hint="eastAsia" w:ascii="Times New Roman" w:hAnsi="Times New Roman" w:eastAsia="仿宋_GB2312" w:cs="CESI仿宋-GB13000"/>
          <w:color w:val="000000"/>
          <w:sz w:val="32"/>
          <w:szCs w:val="32"/>
          <w:vertAlign w:val="baseline"/>
          <w:lang w:eastAsia="zh-CN"/>
        </w:rPr>
        <w:t>主体</w:t>
      </w:r>
      <w:r>
        <w:rPr>
          <w:rFonts w:hint="eastAsia" w:ascii="Times New Roman" w:hAnsi="Times New Roman" w:eastAsia="仿宋_GB2312" w:cs="CESI仿宋-GB13000"/>
          <w:color w:val="000000"/>
          <w:sz w:val="32"/>
          <w:szCs w:val="32"/>
          <w:vertAlign w:val="baseline"/>
        </w:rPr>
        <w:t>责任落实、持续符合</w:t>
      </w:r>
      <w:r>
        <w:rPr>
          <w:rFonts w:hint="eastAsia" w:ascii="Times New Roman" w:hAnsi="Times New Roman" w:eastAsia="仿宋_GB2312" w:cs="CESI仿宋-GB13000"/>
          <w:color w:val="000000"/>
          <w:sz w:val="32"/>
          <w:szCs w:val="32"/>
          <w:vertAlign w:val="baseline"/>
          <w:lang w:eastAsia="zh-CN"/>
        </w:rPr>
        <w:t>生产</w:t>
      </w:r>
      <w:r>
        <w:rPr>
          <w:rFonts w:hint="eastAsia" w:ascii="Times New Roman" w:hAnsi="Times New Roman" w:eastAsia="仿宋_GB2312" w:cs="CESI仿宋-GB13000"/>
          <w:color w:val="000000"/>
          <w:sz w:val="32"/>
          <w:szCs w:val="32"/>
          <w:vertAlign w:val="baseline"/>
        </w:rPr>
        <w:t>经营质量管理规范等法规标准情况；落实药品追溯责任情况；向</w:t>
      </w:r>
      <w:r>
        <w:rPr>
          <w:rFonts w:hint="eastAsia" w:ascii="Times New Roman" w:hAnsi="Times New Roman" w:eastAsia="仿宋_GB2312" w:cs="CESI仿宋-GB13000"/>
          <w:color w:val="000000"/>
          <w:sz w:val="32"/>
          <w:szCs w:val="32"/>
          <w:vertAlign w:val="baseline"/>
          <w:lang w:eastAsia="zh-CN"/>
        </w:rPr>
        <w:t>药品监督管理</w:t>
      </w:r>
      <w:r>
        <w:rPr>
          <w:rFonts w:hint="eastAsia" w:ascii="Times New Roman" w:hAnsi="Times New Roman" w:eastAsia="仿宋_GB2312" w:cs="CESI仿宋-GB13000"/>
          <w:color w:val="000000"/>
          <w:sz w:val="32"/>
          <w:szCs w:val="32"/>
          <w:vertAlign w:val="baseline"/>
        </w:rPr>
        <w:t>部门提供信息的真实性、及时性等情况。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lang w:eastAsia="zh-CN"/>
        </w:rPr>
      </w:pPr>
      <w:r>
        <w:rPr>
          <w:rFonts w:hint="eastAsia" w:ascii="Times New Roman" w:hAnsi="Times New Roman" w:eastAsia="楷体_GB2312" w:cs="楷体_GB2312"/>
          <w:color w:val="000000"/>
          <w:sz w:val="32"/>
          <w:szCs w:val="32"/>
          <w:vertAlign w:val="baseline"/>
        </w:rPr>
        <w:t>（三）监督管理信息：</w:t>
      </w:r>
      <w:r>
        <w:rPr>
          <w:rFonts w:hint="eastAsia" w:ascii="Times New Roman" w:hAnsi="Times New Roman" w:eastAsia="仿宋_GB2312" w:cs="CESI仿宋-GB13000"/>
          <w:color w:val="000000"/>
          <w:sz w:val="32"/>
          <w:szCs w:val="32"/>
          <w:vertAlign w:val="baseline"/>
          <w:lang w:eastAsia="zh-CN"/>
        </w:rPr>
        <w:t>各级</w:t>
      </w:r>
      <w:r>
        <w:rPr>
          <w:rFonts w:hint="eastAsia" w:ascii="Times New Roman" w:hAnsi="Times New Roman" w:eastAsia="仿宋_GB2312" w:cs="CESI仿宋-GB13000"/>
          <w:color w:val="000000"/>
          <w:sz w:val="32"/>
          <w:szCs w:val="32"/>
          <w:vertAlign w:val="baseline"/>
        </w:rPr>
        <w:t>药品监督管理部门对药品</w:t>
      </w:r>
      <w:r>
        <w:rPr>
          <w:rFonts w:hint="eastAsia" w:ascii="Times New Roman" w:hAnsi="Times New Roman" w:eastAsia="仿宋_GB2312" w:cs="CESI仿宋-GB13000"/>
          <w:color w:val="000000"/>
          <w:sz w:val="32"/>
          <w:szCs w:val="32"/>
          <w:vertAlign w:val="baseline"/>
          <w:lang w:eastAsia="zh-CN"/>
        </w:rPr>
        <w:t>生产</w:t>
      </w:r>
      <w:r>
        <w:rPr>
          <w:rFonts w:hint="eastAsia" w:ascii="Times New Roman" w:hAnsi="Times New Roman" w:eastAsia="仿宋_GB2312" w:cs="CESI仿宋-GB13000"/>
          <w:color w:val="000000"/>
          <w:sz w:val="32"/>
          <w:szCs w:val="32"/>
          <w:vertAlign w:val="baseline"/>
        </w:rPr>
        <w:t>经营企业开展监督检查的情况，具体包括监督检查发现的缺陷</w:t>
      </w:r>
      <w:r>
        <w:rPr>
          <w:rFonts w:hint="eastAsia" w:ascii="Times New Roman" w:hAnsi="Times New Roman" w:eastAsia="仿宋_GB2312" w:cs="CESI仿宋-GB13000"/>
          <w:color w:val="000000"/>
          <w:sz w:val="32"/>
          <w:szCs w:val="32"/>
          <w:vertAlign w:val="baseline"/>
          <w:lang w:eastAsia="zh-CN"/>
        </w:rPr>
        <w:t>及</w:t>
      </w:r>
      <w:r>
        <w:rPr>
          <w:rFonts w:hint="eastAsia" w:ascii="Times New Roman" w:hAnsi="Times New Roman" w:eastAsia="仿宋_GB2312" w:cs="CESI仿宋-GB13000"/>
          <w:color w:val="000000"/>
          <w:sz w:val="32"/>
          <w:szCs w:val="32"/>
          <w:vertAlign w:val="baseline"/>
        </w:rPr>
        <w:t>整改</w:t>
      </w:r>
      <w:r>
        <w:rPr>
          <w:rFonts w:hint="eastAsia" w:ascii="Times New Roman" w:hAnsi="Times New Roman" w:eastAsia="仿宋_GB2312" w:cs="CESI仿宋-GB13000"/>
          <w:color w:val="000000"/>
          <w:sz w:val="32"/>
          <w:szCs w:val="32"/>
          <w:vertAlign w:val="baseline"/>
          <w:lang w:eastAsia="zh-CN"/>
        </w:rPr>
        <w:t>情况</w:t>
      </w:r>
      <w:r>
        <w:rPr>
          <w:rFonts w:hint="eastAsia" w:ascii="Times New Roman" w:hAnsi="Times New Roman" w:eastAsia="仿宋_GB2312" w:cs="CESI仿宋-GB13000"/>
          <w:color w:val="000000"/>
          <w:sz w:val="32"/>
          <w:szCs w:val="32"/>
          <w:vertAlign w:val="baseline"/>
        </w:rPr>
        <w:t>，配合监督检查、抽检及案件调查情况</w:t>
      </w:r>
      <w:r>
        <w:rPr>
          <w:rFonts w:hint="eastAsia" w:ascii="Times New Roman" w:hAnsi="Times New Roman" w:eastAsia="仿宋_GB2312" w:cs="CESI仿宋-GB13000"/>
          <w:color w:val="000000"/>
          <w:sz w:val="32"/>
          <w:szCs w:val="32"/>
          <w:vertAlign w:val="baseline"/>
          <w:lang w:eastAsia="zh-CN"/>
        </w:rPr>
        <w:t>，质量抽检和风险处置情况</w:t>
      </w:r>
      <w:r>
        <w:rPr>
          <w:rFonts w:hint="eastAsia" w:ascii="Times New Roman" w:hAnsi="Times New Roman" w:eastAsia="仿宋_GB2312" w:cs="CESI仿宋-GB13000"/>
          <w:color w:val="000000"/>
          <w:sz w:val="32"/>
          <w:szCs w:val="32"/>
          <w:vertAlign w:val="baseline"/>
        </w:rPr>
        <w:t>等</w:t>
      </w:r>
      <w:r>
        <w:rPr>
          <w:rFonts w:hint="eastAsia" w:ascii="Times New Roman" w:hAnsi="Times New Roman" w:eastAsia="仿宋_GB2312" w:cs="CESI仿宋-GB13000"/>
          <w:color w:val="000000"/>
          <w:sz w:val="32"/>
          <w:szCs w:val="32"/>
          <w:vertAlign w:val="baseline"/>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楷体_GB2312" w:cs="楷体_GB2312"/>
          <w:color w:val="000000"/>
          <w:sz w:val="32"/>
          <w:szCs w:val="32"/>
          <w:vertAlign w:val="baseline"/>
        </w:rPr>
        <w:t>（四）社会责任信息：</w:t>
      </w:r>
      <w:r>
        <w:rPr>
          <w:rFonts w:hint="eastAsia" w:ascii="Times New Roman" w:hAnsi="Times New Roman" w:eastAsia="仿宋_GB2312" w:cs="CESI仿宋-GB13000"/>
          <w:color w:val="000000"/>
          <w:sz w:val="32"/>
          <w:szCs w:val="32"/>
          <w:vertAlign w:val="baseline"/>
        </w:rPr>
        <w:t>药品</w:t>
      </w:r>
      <w:r>
        <w:rPr>
          <w:rFonts w:hint="eastAsia" w:ascii="Times New Roman" w:hAnsi="Times New Roman" w:eastAsia="仿宋_GB2312" w:cs="CESI仿宋-GB13000"/>
          <w:color w:val="000000"/>
          <w:sz w:val="32"/>
          <w:szCs w:val="32"/>
          <w:vertAlign w:val="baseline"/>
          <w:lang w:eastAsia="zh-CN"/>
        </w:rPr>
        <w:t>生产</w:t>
      </w:r>
      <w:r>
        <w:rPr>
          <w:rFonts w:hint="eastAsia" w:ascii="Times New Roman" w:hAnsi="Times New Roman" w:eastAsia="仿宋_GB2312" w:cs="CESI仿宋-GB13000"/>
          <w:color w:val="000000"/>
          <w:sz w:val="32"/>
          <w:szCs w:val="32"/>
          <w:vertAlign w:val="baseline"/>
        </w:rPr>
        <w:t>经营企业履行社会责任情况，具体包括药品质量相关投诉处置、社会舆情管控，其他行政管理部门产生的公共信用评价等情况。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楷体_GB2312" w:cs="楷体_GB2312"/>
          <w:color w:val="000000"/>
          <w:sz w:val="32"/>
          <w:szCs w:val="32"/>
          <w:vertAlign w:val="baseline"/>
        </w:rPr>
        <w:t>（五）正向激励信息：</w:t>
      </w:r>
      <w:r>
        <w:rPr>
          <w:rFonts w:hint="eastAsia" w:ascii="Times New Roman" w:hAnsi="Times New Roman" w:eastAsia="仿宋_GB2312" w:cs="CESI仿宋-GB13000"/>
          <w:color w:val="000000"/>
          <w:sz w:val="32"/>
          <w:szCs w:val="32"/>
          <w:vertAlign w:val="baseline"/>
        </w:rPr>
        <w:t>主动采取自律措施有效保障药品</w:t>
      </w:r>
      <w:r>
        <w:rPr>
          <w:rFonts w:hint="eastAsia" w:ascii="Times New Roman" w:hAnsi="Times New Roman" w:eastAsia="仿宋_GB2312" w:cs="CESI仿宋-GB13000"/>
          <w:color w:val="000000"/>
          <w:sz w:val="32"/>
          <w:szCs w:val="32"/>
          <w:vertAlign w:val="baseline"/>
          <w:lang w:eastAsia="zh-CN"/>
        </w:rPr>
        <w:t>安全</w:t>
      </w:r>
      <w:r>
        <w:rPr>
          <w:rFonts w:hint="eastAsia" w:ascii="Times New Roman" w:hAnsi="Times New Roman" w:eastAsia="仿宋_GB2312" w:cs="CESI仿宋-GB13000"/>
          <w:color w:val="000000"/>
          <w:sz w:val="32"/>
          <w:szCs w:val="32"/>
          <w:vertAlign w:val="baseline"/>
        </w:rPr>
        <w:t>情况，企业获得相关荣誉奖励，承担</w:t>
      </w:r>
      <w:r>
        <w:rPr>
          <w:rFonts w:hint="eastAsia" w:ascii="Times New Roman" w:hAnsi="Times New Roman" w:eastAsia="仿宋_GB2312" w:cs="CESI仿宋-GB13000"/>
          <w:color w:val="000000"/>
          <w:sz w:val="32"/>
          <w:szCs w:val="32"/>
          <w:vertAlign w:val="baseline"/>
          <w:lang w:eastAsia="zh-CN"/>
        </w:rPr>
        <w:t>药品监督管理部门</w:t>
      </w:r>
      <w:r>
        <w:rPr>
          <w:rFonts w:hint="eastAsia" w:ascii="Times New Roman" w:hAnsi="Times New Roman" w:eastAsia="仿宋_GB2312" w:cs="CESI仿宋-GB13000"/>
          <w:color w:val="000000"/>
          <w:sz w:val="32"/>
          <w:szCs w:val="32"/>
          <w:vertAlign w:val="baseline"/>
        </w:rPr>
        <w:t>和其他行政管理部门组织开展的活动</w:t>
      </w:r>
      <w:r>
        <w:rPr>
          <w:rFonts w:hint="eastAsia" w:ascii="Times New Roman" w:hAnsi="Times New Roman" w:eastAsia="仿宋_GB2312" w:cs="CESI仿宋-GB13000"/>
          <w:color w:val="000000"/>
          <w:sz w:val="32"/>
          <w:szCs w:val="32"/>
          <w:vertAlign w:val="baseline"/>
          <w:lang w:eastAsia="zh-CN"/>
        </w:rPr>
        <w:t>，参与</w:t>
      </w:r>
      <w:r>
        <w:rPr>
          <w:rFonts w:hint="eastAsia" w:ascii="Times New Roman" w:hAnsi="Times New Roman" w:eastAsia="仿宋_GB2312" w:cs="CESI仿宋-GB13000"/>
          <w:color w:val="000000"/>
          <w:sz w:val="32"/>
          <w:szCs w:val="32"/>
          <w:vertAlign w:val="baseline"/>
        </w:rPr>
        <w:t>公益、民生项目</w:t>
      </w:r>
      <w:r>
        <w:rPr>
          <w:rFonts w:hint="eastAsia" w:ascii="Times New Roman" w:hAnsi="Times New Roman" w:eastAsia="仿宋_GB2312" w:cs="CESI仿宋-GB13000"/>
          <w:color w:val="000000"/>
          <w:sz w:val="32"/>
          <w:szCs w:val="32"/>
          <w:vertAlign w:val="baseline"/>
          <w:lang w:eastAsia="zh-CN"/>
        </w:rPr>
        <w:t>作出社会贡献</w:t>
      </w:r>
      <w:r>
        <w:rPr>
          <w:rFonts w:hint="eastAsia" w:ascii="Times New Roman" w:hAnsi="Times New Roman" w:eastAsia="仿宋_GB2312" w:cs="CESI仿宋-GB13000"/>
          <w:color w:val="000000"/>
          <w:sz w:val="32"/>
          <w:szCs w:val="32"/>
          <w:vertAlign w:val="baseline"/>
        </w:rPr>
        <w:t>等情况。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b/>
          <w:bCs/>
          <w:color w:val="000000"/>
          <w:sz w:val="32"/>
          <w:szCs w:val="32"/>
          <w:vertAlign w:val="baseline"/>
        </w:rPr>
        <w:t>第七条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color w:val="000000"/>
          <w:sz w:val="32"/>
          <w:szCs w:val="32"/>
          <w:vertAlign w:val="baseline"/>
        </w:rPr>
        <w:t>药品安全信用信息采集是药品监督管理部门记录、收集、汇总药品</w:t>
      </w:r>
      <w:r>
        <w:rPr>
          <w:rFonts w:hint="eastAsia" w:ascii="Times New Roman" w:hAnsi="Times New Roman" w:eastAsia="仿宋_GB2312" w:cs="CESI仿宋-GB13000"/>
          <w:color w:val="000000"/>
          <w:sz w:val="32"/>
          <w:szCs w:val="32"/>
          <w:vertAlign w:val="baseline"/>
          <w:lang w:eastAsia="zh-CN"/>
        </w:rPr>
        <w:t>生产</w:t>
      </w:r>
      <w:r>
        <w:rPr>
          <w:rFonts w:hint="eastAsia" w:ascii="Times New Roman" w:hAnsi="Times New Roman" w:eastAsia="仿宋_GB2312" w:cs="CESI仿宋-GB13000"/>
          <w:color w:val="000000"/>
          <w:sz w:val="32"/>
          <w:szCs w:val="32"/>
          <w:vertAlign w:val="baseline"/>
        </w:rPr>
        <w:t>经营企业药品安全信用相关信息的行为。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color w:val="000000"/>
          <w:sz w:val="32"/>
          <w:szCs w:val="32"/>
          <w:vertAlign w:val="baseline"/>
          <w:lang w:val="en-US" w:eastAsia="zh-CN"/>
        </w:rPr>
      </w:pPr>
      <w:r>
        <w:rPr>
          <w:rFonts w:hint="eastAsia" w:ascii="Times New Roman" w:hAnsi="Times New Roman" w:eastAsia="仿宋_GB2312" w:cs="CESI仿宋-GB13000"/>
          <w:b/>
          <w:bCs/>
          <w:color w:val="000000"/>
          <w:sz w:val="32"/>
          <w:szCs w:val="32"/>
          <w:vertAlign w:val="baseline"/>
        </w:rPr>
        <w:t>第八条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color w:val="000000"/>
          <w:sz w:val="32"/>
          <w:szCs w:val="32"/>
          <w:vertAlign w:val="baseline"/>
        </w:rPr>
        <w:t>药品安全信用信息采集工作坚持“谁实施、谁采集</w:t>
      </w:r>
      <w:r>
        <w:rPr>
          <w:rFonts w:hint="eastAsia" w:ascii="Times New Roman" w:hAnsi="Times New Roman" w:eastAsia="仿宋_GB2312" w:cs="CESI仿宋-GB13000"/>
          <w:color w:val="000000"/>
          <w:sz w:val="32"/>
          <w:szCs w:val="32"/>
          <w:vertAlign w:val="baseline"/>
          <w:lang w:eastAsia="zh-CN"/>
        </w:rPr>
        <w:t>、</w:t>
      </w:r>
      <w:r>
        <w:rPr>
          <w:rFonts w:hint="eastAsia" w:ascii="Times New Roman" w:hAnsi="Times New Roman" w:eastAsia="仿宋_GB2312" w:cs="CESI仿宋-GB13000"/>
          <w:color w:val="000000"/>
          <w:sz w:val="32"/>
          <w:szCs w:val="32"/>
          <w:vertAlign w:val="baseline"/>
        </w:rPr>
        <w:t>谁负责”的原则，</w:t>
      </w:r>
      <w:r>
        <w:rPr>
          <w:rFonts w:hint="eastAsia" w:ascii="Times New Roman" w:hAnsi="Times New Roman" w:eastAsia="仿宋_GB2312" w:cs="CESI仿宋-GB13000"/>
          <w:color w:val="000000"/>
          <w:sz w:val="32"/>
          <w:szCs w:val="32"/>
          <w:vertAlign w:val="baseline"/>
          <w:lang w:eastAsia="zh-CN"/>
        </w:rPr>
        <w:t>各级</w:t>
      </w:r>
      <w:r>
        <w:rPr>
          <w:rFonts w:hint="eastAsia" w:ascii="Times New Roman" w:hAnsi="Times New Roman" w:eastAsia="仿宋_GB2312" w:cs="CESI仿宋-GB13000"/>
          <w:color w:val="000000"/>
          <w:sz w:val="32"/>
          <w:szCs w:val="32"/>
          <w:vertAlign w:val="baseline"/>
        </w:rPr>
        <w:t>药品监督管理部门根据协同监管职责分工，及时归集药品</w:t>
      </w:r>
      <w:r>
        <w:rPr>
          <w:rFonts w:hint="eastAsia" w:ascii="Times New Roman" w:hAnsi="Times New Roman" w:eastAsia="仿宋_GB2312" w:cs="CESI仿宋-GB13000"/>
          <w:color w:val="000000"/>
          <w:sz w:val="32"/>
          <w:szCs w:val="32"/>
          <w:vertAlign w:val="baseline"/>
          <w:lang w:eastAsia="zh-CN"/>
        </w:rPr>
        <w:t>生产</w:t>
      </w:r>
      <w:r>
        <w:rPr>
          <w:rFonts w:hint="eastAsia" w:ascii="Times New Roman" w:hAnsi="Times New Roman" w:eastAsia="仿宋_GB2312" w:cs="CESI仿宋-GB13000"/>
          <w:color w:val="000000"/>
          <w:sz w:val="32"/>
          <w:szCs w:val="32"/>
          <w:vertAlign w:val="baseline"/>
        </w:rPr>
        <w:t>经营企业药品安全信用信息。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b/>
          <w:bCs/>
          <w:color w:val="000000"/>
          <w:sz w:val="32"/>
          <w:szCs w:val="32"/>
          <w:vertAlign w:val="baseline"/>
        </w:rPr>
        <w:t>第九条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color w:val="000000"/>
          <w:sz w:val="32"/>
          <w:szCs w:val="32"/>
          <w:vertAlign w:val="baseline"/>
        </w:rPr>
        <w:t>药品安全信用信息可</w:t>
      </w:r>
      <w:r>
        <w:rPr>
          <w:rFonts w:hint="eastAsia" w:ascii="Times New Roman" w:hAnsi="Times New Roman" w:eastAsia="仿宋_GB2312" w:cs="CESI仿宋-GB13000"/>
          <w:color w:val="000000"/>
          <w:sz w:val="32"/>
          <w:szCs w:val="32"/>
          <w:vertAlign w:val="baseline"/>
          <w:lang w:eastAsia="zh-CN"/>
        </w:rPr>
        <w:t>以</w:t>
      </w:r>
      <w:r>
        <w:rPr>
          <w:rFonts w:hint="eastAsia" w:ascii="Times New Roman" w:hAnsi="Times New Roman" w:eastAsia="仿宋_GB2312" w:cs="CESI仿宋-GB13000"/>
          <w:color w:val="000000"/>
          <w:sz w:val="32"/>
          <w:szCs w:val="32"/>
          <w:vertAlign w:val="baseline"/>
        </w:rPr>
        <w:t>通过信息系统自动对接或各级药品监督管理部门录入进行采集，信用信息原则上应在信用信息发生15个工作日内完成采集录入。药品</w:t>
      </w:r>
      <w:r>
        <w:rPr>
          <w:rFonts w:hint="eastAsia" w:ascii="Times New Roman" w:hAnsi="Times New Roman" w:eastAsia="仿宋_GB2312" w:cs="CESI仿宋-GB13000"/>
          <w:color w:val="000000"/>
          <w:sz w:val="32"/>
          <w:szCs w:val="32"/>
          <w:vertAlign w:val="baseline"/>
          <w:lang w:eastAsia="zh-CN"/>
        </w:rPr>
        <w:t>生产</w:t>
      </w:r>
      <w:r>
        <w:rPr>
          <w:rFonts w:hint="eastAsia" w:ascii="Times New Roman" w:hAnsi="Times New Roman" w:eastAsia="仿宋_GB2312" w:cs="CESI仿宋-GB13000"/>
          <w:color w:val="000000"/>
          <w:sz w:val="32"/>
          <w:szCs w:val="32"/>
          <w:vertAlign w:val="baseline"/>
        </w:rPr>
        <w:t>经营企业应主动配合药品监督管理部门采集相关信用信息。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b/>
          <w:bCs/>
          <w:color w:val="000000"/>
          <w:sz w:val="32"/>
          <w:szCs w:val="32"/>
          <w:vertAlign w:val="baseline"/>
        </w:rPr>
        <w:t>第十条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color w:val="000000"/>
          <w:sz w:val="32"/>
          <w:szCs w:val="32"/>
          <w:vertAlign w:val="baseline"/>
        </w:rPr>
        <w:t>涉及</w:t>
      </w:r>
      <w:r>
        <w:rPr>
          <w:rFonts w:hint="eastAsia" w:ascii="Times New Roman" w:hAnsi="Times New Roman" w:eastAsia="仿宋_GB2312" w:cs="CESI仿宋-GB13000"/>
          <w:color w:val="000000"/>
          <w:sz w:val="32"/>
          <w:szCs w:val="32"/>
          <w:vertAlign w:val="baseline"/>
          <w:lang w:eastAsia="zh-CN"/>
        </w:rPr>
        <w:t>药品监督管理部门以外的相关信用</w:t>
      </w:r>
      <w:r>
        <w:rPr>
          <w:rFonts w:hint="eastAsia" w:ascii="Times New Roman" w:hAnsi="Times New Roman" w:eastAsia="仿宋_GB2312" w:cs="CESI仿宋-GB13000"/>
          <w:color w:val="000000"/>
          <w:sz w:val="32"/>
          <w:szCs w:val="32"/>
          <w:vertAlign w:val="baseline"/>
        </w:rPr>
        <w:t>信息采集，应通过各级政府</w:t>
      </w:r>
      <w:r>
        <w:rPr>
          <w:rFonts w:hint="eastAsia" w:ascii="Times New Roman" w:hAnsi="Times New Roman" w:eastAsia="仿宋_GB2312" w:cs="CESI仿宋-GB13000"/>
          <w:color w:val="000000"/>
          <w:sz w:val="32"/>
          <w:szCs w:val="32"/>
          <w:vertAlign w:val="baseline"/>
          <w:lang w:eastAsia="zh-CN"/>
        </w:rPr>
        <w:t>及相关</w:t>
      </w:r>
      <w:r>
        <w:rPr>
          <w:rFonts w:hint="eastAsia" w:ascii="Times New Roman" w:hAnsi="Times New Roman" w:eastAsia="仿宋_GB2312" w:cs="CESI仿宋-GB13000"/>
          <w:color w:val="000000"/>
          <w:sz w:val="32"/>
          <w:szCs w:val="32"/>
          <w:vertAlign w:val="baseline"/>
        </w:rPr>
        <w:t>部门建设的公共信用信息平台、公共大数据平台等途径获取。信息来源为新闻媒体或媒介的，采集的信息应核实后使用。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b/>
          <w:bCs/>
          <w:color w:val="000000"/>
          <w:sz w:val="32"/>
          <w:szCs w:val="32"/>
          <w:vertAlign w:val="baseline"/>
        </w:rPr>
        <w:t>第十一条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color w:val="000000"/>
          <w:sz w:val="32"/>
          <w:szCs w:val="32"/>
          <w:vertAlign w:val="baseline"/>
        </w:rPr>
        <w:t>药品</w:t>
      </w:r>
      <w:r>
        <w:rPr>
          <w:rFonts w:hint="eastAsia" w:ascii="Times New Roman" w:hAnsi="Times New Roman" w:eastAsia="仿宋_GB2312" w:cs="CESI仿宋-GB13000"/>
          <w:color w:val="000000"/>
          <w:sz w:val="32"/>
          <w:szCs w:val="32"/>
          <w:vertAlign w:val="baseline"/>
          <w:lang w:eastAsia="zh-CN"/>
        </w:rPr>
        <w:t>生产</w:t>
      </w:r>
      <w:r>
        <w:rPr>
          <w:rFonts w:hint="eastAsia" w:ascii="Times New Roman" w:hAnsi="Times New Roman" w:eastAsia="仿宋_GB2312" w:cs="CESI仿宋-GB13000"/>
          <w:color w:val="000000"/>
          <w:sz w:val="32"/>
          <w:szCs w:val="32"/>
          <w:vertAlign w:val="baseline"/>
        </w:rPr>
        <w:t>经营企业可根据实际情况录入</w:t>
      </w:r>
      <w:r>
        <w:rPr>
          <w:rFonts w:hint="eastAsia" w:ascii="Times New Roman" w:hAnsi="Times New Roman" w:eastAsia="仿宋_GB2312" w:cs="CESI仿宋-GB13000"/>
          <w:color w:val="000000"/>
          <w:sz w:val="32"/>
          <w:szCs w:val="32"/>
          <w:vertAlign w:val="baseline"/>
          <w:lang w:eastAsia="zh-CN"/>
        </w:rPr>
        <w:t>或向药品监督管理部门提交</w:t>
      </w:r>
      <w:r>
        <w:rPr>
          <w:rFonts w:hint="eastAsia" w:ascii="Times New Roman" w:hAnsi="Times New Roman" w:eastAsia="仿宋_GB2312" w:cs="CESI仿宋-GB13000"/>
          <w:color w:val="000000"/>
          <w:sz w:val="32"/>
          <w:szCs w:val="32"/>
          <w:vertAlign w:val="baseline"/>
        </w:rPr>
        <w:t>正向激励信息</w:t>
      </w:r>
      <w:r>
        <w:rPr>
          <w:rFonts w:hint="eastAsia" w:ascii="Times New Roman" w:hAnsi="Times New Roman" w:eastAsia="仿宋_GB2312" w:cs="CESI仿宋-GB13000"/>
          <w:color w:val="000000"/>
          <w:sz w:val="32"/>
          <w:szCs w:val="32"/>
          <w:vertAlign w:val="baseline"/>
          <w:lang w:eastAsia="zh-CN"/>
        </w:rPr>
        <w:t>（含</w:t>
      </w:r>
      <w:r>
        <w:rPr>
          <w:rFonts w:hint="eastAsia" w:ascii="Times New Roman" w:hAnsi="Times New Roman" w:eastAsia="仿宋_GB2312" w:cs="CESI仿宋-GB13000"/>
          <w:color w:val="000000"/>
          <w:sz w:val="32"/>
          <w:szCs w:val="32"/>
          <w:vertAlign w:val="baseline"/>
        </w:rPr>
        <w:t>证明材料</w:t>
      </w:r>
      <w:r>
        <w:rPr>
          <w:rFonts w:hint="eastAsia" w:ascii="Times New Roman" w:hAnsi="Times New Roman" w:eastAsia="仿宋_GB2312" w:cs="CESI仿宋-GB13000"/>
          <w:color w:val="000000"/>
          <w:sz w:val="32"/>
          <w:szCs w:val="32"/>
          <w:vertAlign w:val="baseline"/>
          <w:lang w:eastAsia="zh-CN"/>
        </w:rPr>
        <w:t>）</w:t>
      </w:r>
      <w:r>
        <w:rPr>
          <w:rFonts w:hint="eastAsia" w:ascii="Times New Roman" w:hAnsi="Times New Roman" w:eastAsia="仿宋_GB2312" w:cs="CESI仿宋-GB13000"/>
          <w:color w:val="000000"/>
          <w:sz w:val="32"/>
          <w:szCs w:val="32"/>
          <w:vertAlign w:val="baseline"/>
        </w:rPr>
        <w:t>。</w:t>
      </w:r>
      <w:r>
        <w:rPr>
          <w:rFonts w:hint="eastAsia" w:ascii="Times New Roman" w:hAnsi="Times New Roman" w:eastAsia="仿宋_GB2312" w:cs="CESI仿宋-GB13000"/>
          <w:color w:val="000000"/>
          <w:sz w:val="32"/>
          <w:szCs w:val="32"/>
          <w:vertAlign w:val="baseline"/>
          <w:lang w:eastAsia="zh-CN"/>
        </w:rPr>
        <w:t>非各级党委、政府及其工作部门</w:t>
      </w:r>
      <w:r>
        <w:rPr>
          <w:rFonts w:hint="eastAsia" w:ascii="Times New Roman" w:hAnsi="Times New Roman" w:eastAsia="仿宋_GB2312" w:cs="CESI仿宋-GB13000"/>
          <w:color w:val="000000"/>
          <w:sz w:val="32"/>
          <w:szCs w:val="32"/>
          <w:vertAlign w:val="baseline"/>
        </w:rPr>
        <w:t>产生的正向激励信息，应经各级药品监督管理部门依职责审核认定。</w:t>
      </w:r>
    </w:p>
    <w:p>
      <w:pPr>
        <w:keepNext w:val="0"/>
        <w:keepLines w:val="0"/>
        <w:pageBreakBefore w:val="0"/>
        <w:widowControl w:val="0"/>
        <w:kinsoku/>
        <w:wordWrap w:val="0"/>
        <w:overflowPunct/>
        <w:topLinePunct w:val="0"/>
        <w:autoSpaceDE/>
        <w:autoSpaceDN/>
        <w:bidi w:val="0"/>
        <w:adjustRightInd/>
        <w:snapToGrid/>
        <w:spacing w:after="0" w:afterLines="80" w:line="560" w:lineRule="exact"/>
        <w:jc w:val="center"/>
        <w:textAlignment w:val="baseline"/>
        <w:rPr>
          <w:rFonts w:hint="eastAsia" w:ascii="Times New Roman" w:hAnsi="Times New Roman" w:eastAsia="黑体" w:cs="黑体"/>
          <w:color w:val="000000"/>
          <w:spacing w:val="0"/>
          <w:w w:val="100"/>
          <w:sz w:val="32"/>
          <w:szCs w:val="32"/>
          <w:lang w:eastAsia="zh-CN"/>
        </w:rPr>
      </w:pPr>
      <w:r>
        <w:rPr>
          <w:rFonts w:hint="eastAsia" w:ascii="Times New Roman" w:hAnsi="Times New Roman" w:eastAsia="黑体" w:cs="黑体"/>
          <w:color w:val="000000"/>
          <w:spacing w:val="0"/>
          <w:w w:val="100"/>
          <w:sz w:val="32"/>
          <w:szCs w:val="32"/>
        </w:rPr>
        <w:t>第</w:t>
      </w:r>
      <w:r>
        <w:rPr>
          <w:rFonts w:hint="eastAsia" w:ascii="Times New Roman" w:hAnsi="Times New Roman" w:eastAsia="黑体" w:cs="黑体"/>
          <w:color w:val="000000"/>
          <w:spacing w:val="0"/>
          <w:w w:val="100"/>
          <w:sz w:val="32"/>
          <w:szCs w:val="32"/>
          <w:lang w:eastAsia="zh-CN"/>
        </w:rPr>
        <w:t>三</w:t>
      </w:r>
      <w:r>
        <w:rPr>
          <w:rFonts w:hint="eastAsia" w:ascii="Times New Roman" w:hAnsi="Times New Roman" w:eastAsia="黑体" w:cs="黑体"/>
          <w:color w:val="000000"/>
          <w:spacing w:val="0"/>
          <w:w w:val="100"/>
          <w:sz w:val="32"/>
          <w:szCs w:val="32"/>
        </w:rPr>
        <w:t>章</w:t>
      </w:r>
      <w:r>
        <w:rPr>
          <w:rFonts w:hint="eastAsia" w:ascii="Times New Roman" w:hAnsi="Times New Roman" w:eastAsia="黑体" w:cs="黑体"/>
          <w:color w:val="000000"/>
          <w:spacing w:val="0"/>
          <w:w w:val="100"/>
          <w:sz w:val="32"/>
          <w:szCs w:val="32"/>
          <w:lang w:val="en-US" w:eastAsia="zh-CN"/>
        </w:rPr>
        <w:t xml:space="preserve">  </w:t>
      </w:r>
      <w:r>
        <w:rPr>
          <w:rFonts w:hint="eastAsia" w:ascii="Times New Roman" w:hAnsi="Times New Roman" w:eastAsia="黑体" w:cs="黑体"/>
          <w:color w:val="000000"/>
          <w:spacing w:val="0"/>
          <w:w w:val="100"/>
          <w:sz w:val="32"/>
          <w:szCs w:val="32"/>
          <w:lang w:eastAsia="zh-CN"/>
        </w:rPr>
        <w:t>药品安全信用评价与分级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2" w:firstLineChars="200"/>
        <w:jc w:val="both"/>
        <w:textAlignment w:val="baseline"/>
        <w:rPr>
          <w:rFonts w:hint="eastAsia" w:ascii="Times New Roman" w:hAnsi="Times New Roman" w:eastAsia="仿宋_GB2312" w:cs="CESI仿宋-GB13000"/>
          <w:color w:val="000000"/>
          <w:sz w:val="32"/>
          <w:szCs w:val="32"/>
          <w:vertAlign w:val="baseline"/>
          <w:lang w:eastAsia="zh-CN"/>
        </w:rPr>
      </w:pPr>
      <w:r>
        <w:rPr>
          <w:rFonts w:hint="eastAsia" w:ascii="Times New Roman" w:hAnsi="Times New Roman" w:eastAsia="仿宋_GB2312" w:cs="CESI仿宋-GB13000"/>
          <w:b/>
          <w:bCs/>
          <w:color w:val="000000"/>
          <w:sz w:val="32"/>
          <w:szCs w:val="32"/>
          <w:vertAlign w:val="baseline"/>
        </w:rPr>
        <w:t>第十二条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color w:val="000000"/>
          <w:sz w:val="32"/>
          <w:szCs w:val="32"/>
          <w:vertAlign w:val="baseline"/>
        </w:rPr>
        <w:t>药品</w:t>
      </w:r>
      <w:r>
        <w:rPr>
          <w:rFonts w:hint="eastAsia" w:ascii="Times New Roman" w:hAnsi="Times New Roman" w:eastAsia="仿宋_GB2312" w:cs="CESI仿宋-GB13000"/>
          <w:color w:val="000000"/>
          <w:sz w:val="32"/>
          <w:szCs w:val="32"/>
          <w:vertAlign w:val="baseline"/>
          <w:lang w:eastAsia="zh-CN"/>
        </w:rPr>
        <w:t>生产经营企业</w:t>
      </w:r>
      <w:r>
        <w:rPr>
          <w:rFonts w:hint="eastAsia" w:ascii="Times New Roman" w:hAnsi="Times New Roman" w:eastAsia="仿宋_GB2312" w:cs="CESI仿宋-GB13000"/>
          <w:color w:val="000000"/>
          <w:sz w:val="32"/>
          <w:szCs w:val="32"/>
          <w:vertAlign w:val="baseline"/>
        </w:rPr>
        <w:t>安全信用评价</w:t>
      </w:r>
      <w:r>
        <w:rPr>
          <w:rFonts w:hint="eastAsia" w:ascii="Times New Roman" w:hAnsi="Times New Roman" w:eastAsia="仿宋_GB2312" w:cs="CESI仿宋-GB13000"/>
          <w:color w:val="000000"/>
          <w:sz w:val="32"/>
          <w:szCs w:val="32"/>
          <w:vertAlign w:val="baseline"/>
          <w:lang w:eastAsia="zh-CN"/>
        </w:rPr>
        <w:t>总分为</w:t>
      </w:r>
      <w:r>
        <w:rPr>
          <w:rFonts w:hint="eastAsia" w:ascii="Times New Roman" w:hAnsi="Times New Roman" w:eastAsia="仿宋_GB2312" w:cs="CESI仿宋-GB13000"/>
          <w:color w:val="000000"/>
          <w:sz w:val="32"/>
          <w:szCs w:val="32"/>
          <w:vertAlign w:val="baseline"/>
          <w:lang w:val="en-US" w:eastAsia="zh-CN"/>
        </w:rPr>
        <w:t>100分，从</w:t>
      </w:r>
      <w:r>
        <w:rPr>
          <w:rFonts w:hint="eastAsia" w:ascii="Times New Roman" w:hAnsi="Times New Roman" w:eastAsia="仿宋_GB2312" w:cs="CESI仿宋-GB13000"/>
          <w:color w:val="000000"/>
          <w:sz w:val="32"/>
          <w:szCs w:val="32"/>
          <w:vertAlign w:val="baseline"/>
        </w:rPr>
        <w:t>遵纪守法、主体责任落实、监督管理、社会责任、正向激励</w:t>
      </w:r>
      <w:r>
        <w:rPr>
          <w:rFonts w:hint="eastAsia" w:ascii="Times New Roman" w:hAnsi="Times New Roman" w:eastAsia="仿宋_GB2312" w:cs="CESI仿宋-GB13000"/>
          <w:color w:val="000000"/>
          <w:sz w:val="32"/>
          <w:szCs w:val="32"/>
          <w:vertAlign w:val="baseline"/>
          <w:lang w:eastAsia="zh-CN"/>
        </w:rPr>
        <w:t>等</w:t>
      </w:r>
      <w:r>
        <w:rPr>
          <w:rFonts w:hint="eastAsia" w:ascii="Times New Roman" w:hAnsi="Times New Roman" w:eastAsia="仿宋_GB2312" w:cs="CESI仿宋-GB13000"/>
          <w:color w:val="000000"/>
          <w:sz w:val="32"/>
          <w:szCs w:val="32"/>
          <w:vertAlign w:val="baseline"/>
        </w:rPr>
        <w:t>5个</w:t>
      </w:r>
      <w:r>
        <w:rPr>
          <w:rFonts w:hint="eastAsia" w:ascii="Times New Roman" w:hAnsi="Times New Roman" w:eastAsia="仿宋_GB2312" w:cs="CESI仿宋-GB13000"/>
          <w:color w:val="000000"/>
          <w:sz w:val="32"/>
          <w:szCs w:val="32"/>
          <w:vertAlign w:val="baseline"/>
          <w:lang w:eastAsia="zh-CN"/>
        </w:rPr>
        <w:t>维度</w:t>
      </w:r>
      <w:r>
        <w:rPr>
          <w:rFonts w:hint="eastAsia" w:ascii="Times New Roman" w:hAnsi="Times New Roman" w:eastAsia="仿宋_GB2312" w:cs="CESI仿宋-GB13000"/>
          <w:color w:val="000000"/>
          <w:sz w:val="32"/>
          <w:szCs w:val="32"/>
          <w:vertAlign w:val="baseline"/>
        </w:rPr>
        <w:t>进行赋分。</w:t>
      </w:r>
      <w:r>
        <w:rPr>
          <w:rFonts w:hint="eastAsia" w:ascii="Times New Roman" w:hAnsi="Times New Roman" w:eastAsia="仿宋_GB2312" w:cs="CESI仿宋-GB13000"/>
          <w:color w:val="000000"/>
          <w:sz w:val="32"/>
          <w:szCs w:val="32"/>
          <w:vertAlign w:val="baseline"/>
          <w:lang w:eastAsia="zh-CN"/>
        </w:rPr>
        <w:t>各类企业、各个维度具体赋分权重由省、市药品监督管理部门依监管权限制定评分标准。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2"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b/>
          <w:bCs/>
          <w:color w:val="000000"/>
          <w:sz w:val="32"/>
          <w:szCs w:val="32"/>
          <w:vertAlign w:val="baseline"/>
        </w:rPr>
        <w:t>第十三条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color w:val="000000"/>
          <w:sz w:val="32"/>
          <w:szCs w:val="32"/>
          <w:vertAlign w:val="baseline"/>
        </w:rPr>
        <w:t>药品</w:t>
      </w:r>
      <w:r>
        <w:rPr>
          <w:rFonts w:hint="eastAsia" w:ascii="Times New Roman" w:hAnsi="Times New Roman" w:eastAsia="仿宋_GB2312" w:cs="CESI仿宋-GB13000"/>
          <w:color w:val="000000"/>
          <w:sz w:val="32"/>
          <w:szCs w:val="32"/>
          <w:vertAlign w:val="baseline"/>
          <w:lang w:eastAsia="zh-CN"/>
        </w:rPr>
        <w:t>生产</w:t>
      </w:r>
      <w:r>
        <w:rPr>
          <w:rFonts w:hint="eastAsia" w:ascii="Times New Roman" w:hAnsi="Times New Roman" w:eastAsia="仿宋_GB2312" w:cs="CESI仿宋-GB13000"/>
          <w:color w:val="000000"/>
          <w:sz w:val="32"/>
          <w:szCs w:val="32"/>
          <w:vertAlign w:val="baseline"/>
        </w:rPr>
        <w:t>经营企业药品安全信用评价实行实时评价、动态管理</w:t>
      </w:r>
      <w:r>
        <w:rPr>
          <w:rFonts w:hint="eastAsia" w:ascii="Times New Roman" w:hAnsi="Times New Roman" w:eastAsia="仿宋_GB2312" w:cs="CESI仿宋-GB13000"/>
          <w:color w:val="000000"/>
          <w:sz w:val="32"/>
          <w:szCs w:val="32"/>
          <w:vertAlign w:val="baseline"/>
          <w:lang w:eastAsia="zh-CN"/>
        </w:rPr>
        <w:t>，年度汇总评定等级</w:t>
      </w:r>
      <w:r>
        <w:rPr>
          <w:rFonts w:hint="eastAsia" w:ascii="Times New Roman" w:hAnsi="Times New Roman" w:eastAsia="仿宋_GB2312" w:cs="CESI仿宋-GB13000"/>
          <w:color w:val="000000"/>
          <w:sz w:val="32"/>
          <w:szCs w:val="32"/>
          <w:vertAlign w:val="baseline"/>
        </w:rPr>
        <w:t>。</w:t>
      </w:r>
      <w:r>
        <w:rPr>
          <w:rFonts w:hint="eastAsia" w:ascii="Times New Roman" w:hAnsi="Times New Roman" w:eastAsia="仿宋_GB2312" w:cs="CESI仿宋-GB13000"/>
          <w:color w:val="000000"/>
          <w:sz w:val="32"/>
          <w:szCs w:val="32"/>
          <w:vertAlign w:val="baseline"/>
          <w:lang w:eastAsia="zh-CN"/>
        </w:rPr>
        <w:t>年度汇总标准日为</w:t>
      </w:r>
      <w:r>
        <w:rPr>
          <w:rFonts w:hint="eastAsia" w:ascii="Times New Roman" w:hAnsi="Times New Roman" w:eastAsia="仿宋_GB2312" w:cs="CESI仿宋-GB13000"/>
          <w:color w:val="000000"/>
          <w:sz w:val="32"/>
          <w:szCs w:val="32"/>
          <w:vertAlign w:val="baseline"/>
          <w:lang w:val="en-US" w:eastAsia="zh-CN"/>
        </w:rPr>
        <w:t>12月31日。</w:t>
      </w:r>
      <w:r>
        <w:rPr>
          <w:rFonts w:hint="eastAsia" w:ascii="Times New Roman" w:hAnsi="Times New Roman" w:eastAsia="仿宋_GB2312" w:cs="CESI仿宋-GB13000"/>
          <w:color w:val="000000"/>
          <w:sz w:val="32"/>
          <w:szCs w:val="32"/>
          <w:vertAlign w:val="baseline"/>
          <w:lang w:eastAsia="zh-CN"/>
        </w:rPr>
        <w:t>各级药品监督管理部门根据所采集的尚在有效</w:t>
      </w:r>
      <w:r>
        <w:rPr>
          <w:rFonts w:hint="eastAsia" w:ascii="Times New Roman" w:hAnsi="Times New Roman" w:eastAsia="仿宋_GB2312" w:cs="CESI仿宋-GB13000"/>
          <w:color w:val="000000"/>
          <w:spacing w:val="-6"/>
          <w:sz w:val="32"/>
          <w:szCs w:val="32"/>
          <w:vertAlign w:val="baseline"/>
          <w:lang w:eastAsia="zh-CN"/>
        </w:rPr>
        <w:t>期内的</w:t>
      </w:r>
      <w:r>
        <w:rPr>
          <w:rFonts w:hint="eastAsia" w:ascii="Times New Roman" w:hAnsi="Times New Roman" w:eastAsia="仿宋_GB2312" w:cs="CESI仿宋-GB13000"/>
          <w:color w:val="000000"/>
          <w:spacing w:val="-6"/>
          <w:sz w:val="32"/>
          <w:szCs w:val="32"/>
          <w:vertAlign w:val="baseline"/>
        </w:rPr>
        <w:t>药品安全信用信息，依据</w:t>
      </w:r>
      <w:r>
        <w:rPr>
          <w:rFonts w:hint="eastAsia" w:ascii="Times New Roman" w:hAnsi="Times New Roman" w:eastAsia="仿宋_GB2312" w:cs="CESI仿宋-GB13000"/>
          <w:color w:val="000000"/>
          <w:spacing w:val="-6"/>
          <w:sz w:val="32"/>
          <w:szCs w:val="32"/>
          <w:vertAlign w:val="baseline"/>
          <w:lang w:eastAsia="zh-CN"/>
        </w:rPr>
        <w:t>企业类别及其</w:t>
      </w:r>
      <w:r>
        <w:rPr>
          <w:rFonts w:hint="eastAsia" w:ascii="Times New Roman" w:hAnsi="Times New Roman" w:eastAsia="仿宋_GB2312" w:cs="CESI仿宋-GB13000"/>
          <w:color w:val="000000"/>
          <w:spacing w:val="-6"/>
          <w:sz w:val="32"/>
          <w:szCs w:val="32"/>
          <w:vertAlign w:val="baseline"/>
        </w:rPr>
        <w:t>评分标准进行评分。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2"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b/>
          <w:bCs/>
          <w:color w:val="000000"/>
          <w:sz w:val="32"/>
          <w:szCs w:val="32"/>
          <w:vertAlign w:val="baseline"/>
        </w:rPr>
        <w:t>第十四条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color w:val="000000"/>
          <w:sz w:val="32"/>
          <w:szCs w:val="32"/>
          <w:vertAlign w:val="baseline"/>
        </w:rPr>
        <w:t>药品</w:t>
      </w:r>
      <w:r>
        <w:rPr>
          <w:rFonts w:hint="eastAsia" w:ascii="Times New Roman" w:hAnsi="Times New Roman" w:eastAsia="仿宋_GB2312" w:cs="CESI仿宋-GB13000"/>
          <w:color w:val="000000"/>
          <w:sz w:val="32"/>
          <w:szCs w:val="32"/>
          <w:vertAlign w:val="baseline"/>
          <w:lang w:eastAsia="zh-CN"/>
        </w:rPr>
        <w:t>生产</w:t>
      </w:r>
      <w:r>
        <w:rPr>
          <w:rFonts w:hint="eastAsia" w:ascii="Times New Roman" w:hAnsi="Times New Roman" w:eastAsia="仿宋_GB2312" w:cs="CESI仿宋-GB13000"/>
          <w:color w:val="000000"/>
          <w:sz w:val="32"/>
          <w:szCs w:val="32"/>
          <w:vertAlign w:val="baseline"/>
        </w:rPr>
        <w:t>经营企业药品安全信用等级分</w:t>
      </w:r>
      <w:r>
        <w:rPr>
          <w:rFonts w:hint="eastAsia" w:ascii="Times New Roman" w:hAnsi="Times New Roman" w:eastAsia="仿宋_GB2312" w:cs="CESI仿宋-GB13000"/>
          <w:color w:val="000000"/>
          <w:sz w:val="32"/>
          <w:szCs w:val="32"/>
          <w:vertAlign w:val="baseline"/>
          <w:lang w:eastAsia="zh-CN"/>
        </w:rPr>
        <w:t>为四等四级。</w:t>
      </w:r>
      <w:r>
        <w:rPr>
          <w:rFonts w:hint="eastAsia" w:ascii="Times New Roman" w:hAnsi="Times New Roman" w:eastAsia="仿宋_GB2312" w:cs="CESI仿宋-GB13000"/>
          <w:color w:val="000000"/>
          <w:sz w:val="32"/>
          <w:szCs w:val="32"/>
          <w:vertAlign w:val="baseline"/>
        </w:rPr>
        <w:t>按照以下分级标准判定信用等级</w:t>
      </w:r>
      <w:r>
        <w:rPr>
          <w:rFonts w:hint="eastAsia" w:ascii="Times New Roman" w:hAnsi="Times New Roman" w:eastAsia="仿宋_GB2312" w:cs="CESI仿宋-GB13000"/>
          <w:color w:val="000000"/>
          <w:sz w:val="32"/>
          <w:szCs w:val="32"/>
          <w:vertAlign w:val="baseline"/>
          <w:lang w:eastAsia="zh-CN"/>
        </w:rPr>
        <w:t>（评价分为</w:t>
      </w:r>
      <w:r>
        <w:rPr>
          <w:rFonts w:hint="eastAsia" w:ascii="Times New Roman" w:hAnsi="Times New Roman" w:eastAsia="仿宋_GB2312" w:cs="CESI仿宋-GB13000"/>
          <w:color w:val="000000"/>
          <w:sz w:val="32"/>
          <w:szCs w:val="32"/>
          <w:vertAlign w:val="baseline"/>
          <w:lang w:val="en-US" w:eastAsia="zh-CN"/>
        </w:rPr>
        <w:t>X</w:t>
      </w:r>
      <w:r>
        <w:rPr>
          <w:rFonts w:hint="eastAsia" w:ascii="Times New Roman" w:hAnsi="Times New Roman" w:eastAsia="仿宋_GB2312" w:cs="CESI仿宋-GB13000"/>
          <w:color w:val="000000"/>
          <w:sz w:val="32"/>
          <w:szCs w:val="32"/>
          <w:vertAlign w:val="baseline"/>
          <w:lang w:eastAsia="zh-CN"/>
        </w:rPr>
        <w:t>）</w:t>
      </w:r>
      <w:r>
        <w:rPr>
          <w:rFonts w:hint="eastAsia" w:ascii="Times New Roman" w:hAnsi="Times New Roman" w:eastAsia="仿宋_GB2312" w:cs="CESI仿宋-GB13000"/>
          <w:color w:val="000000"/>
          <w:sz w:val="32"/>
          <w:szCs w:val="32"/>
          <w:vertAlign w:val="baseline"/>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Times New Roman" w:hAnsi="Times New Roman" w:eastAsia="楷体_GB2312" w:cs="楷体_GB2312"/>
          <w:color w:val="000000"/>
          <w:sz w:val="32"/>
          <w:szCs w:val="32"/>
          <w:vertAlign w:val="baseline"/>
          <w:lang w:eastAsia="zh-CN"/>
        </w:rPr>
      </w:pPr>
      <w:r>
        <w:rPr>
          <w:rFonts w:hint="eastAsia" w:ascii="Times New Roman" w:hAnsi="Times New Roman" w:eastAsia="楷体_GB2312" w:cs="楷体_GB2312"/>
          <w:color w:val="000000"/>
          <w:sz w:val="32"/>
          <w:szCs w:val="32"/>
          <w:vertAlign w:val="baseline"/>
          <w:lang w:eastAsia="zh-CN"/>
        </w:rPr>
        <w:t>（一）优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color w:val="000000"/>
          <w:sz w:val="32"/>
          <w:szCs w:val="32"/>
          <w:vertAlign w:val="baseline"/>
          <w:lang w:val="en-US" w:eastAsia="zh-CN"/>
        </w:rPr>
        <w:t>A 级（</w:t>
      </w:r>
      <w:r>
        <w:rPr>
          <w:rFonts w:hint="eastAsia" w:ascii="Times New Roman" w:hAnsi="Times New Roman" w:eastAsia="仿宋_GB2312" w:cs="CESI仿宋-GB13000"/>
          <w:color w:val="000000"/>
          <w:spacing w:val="4"/>
          <w:sz w:val="32"/>
          <w:szCs w:val="32"/>
          <w:lang w:val="en-US" w:eastAsia="zh-CN"/>
        </w:rPr>
        <w:t>85</w:t>
      </w:r>
      <w:r>
        <w:rPr>
          <w:rFonts w:hint="eastAsia" w:ascii="Times New Roman" w:hAnsi="Times New Roman" w:eastAsia="仿宋_GB2312" w:cs="CESI仿宋-GB13000"/>
          <w:color w:val="000000"/>
          <w:spacing w:val="4"/>
          <w:sz w:val="32"/>
          <w:szCs w:val="32"/>
        </w:rPr>
        <w:t>＜X≤100</w:t>
      </w:r>
      <w:r>
        <w:rPr>
          <w:rFonts w:hint="eastAsia" w:ascii="Times New Roman" w:hAnsi="Times New Roman" w:eastAsia="仿宋_GB2312" w:cs="CESI仿宋-GB13000"/>
          <w:color w:val="000000"/>
          <w:sz w:val="32"/>
          <w:szCs w:val="32"/>
          <w:vertAlign w:val="baseline"/>
          <w:lang w:val="en-US" w:eastAsia="zh-CN"/>
        </w:rPr>
        <w:t>）：安全信用优秀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Times New Roman" w:hAnsi="Times New Roman" w:eastAsia="楷体_GB2312" w:cs="楷体_GB2312"/>
          <w:color w:val="000000"/>
          <w:sz w:val="32"/>
          <w:szCs w:val="32"/>
          <w:vertAlign w:val="baseline"/>
          <w:lang w:eastAsia="zh-CN"/>
        </w:rPr>
      </w:pPr>
      <w:r>
        <w:rPr>
          <w:rFonts w:hint="eastAsia" w:ascii="Times New Roman" w:hAnsi="Times New Roman" w:eastAsia="楷体_GB2312" w:cs="楷体_GB2312"/>
          <w:color w:val="000000"/>
          <w:sz w:val="32"/>
          <w:szCs w:val="32"/>
          <w:vertAlign w:val="baseline"/>
          <w:lang w:eastAsia="zh-CN"/>
        </w:rPr>
        <w:t>（二）良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52" w:firstLineChars="200"/>
        <w:jc w:val="both"/>
        <w:textAlignment w:val="baseline"/>
        <w:rPr>
          <w:rFonts w:hint="eastAsia" w:ascii="Times New Roman" w:hAnsi="Times New Roman" w:eastAsia="仿宋_GB2312" w:cs="CESI仿宋-GB13000"/>
          <w:color w:val="000000"/>
          <w:spacing w:val="3"/>
          <w:sz w:val="32"/>
          <w:szCs w:val="32"/>
          <w:lang w:eastAsia="zh-CN"/>
        </w:rPr>
      </w:pPr>
      <w:r>
        <w:rPr>
          <w:rFonts w:hint="eastAsia" w:ascii="Times New Roman" w:hAnsi="Times New Roman" w:eastAsia="仿宋_GB2312" w:cs="CESI仿宋-GB13000"/>
          <w:color w:val="000000"/>
          <w:spacing w:val="3"/>
          <w:sz w:val="32"/>
          <w:szCs w:val="32"/>
        </w:rPr>
        <w:t>B</w:t>
      </w:r>
      <w:r>
        <w:rPr>
          <w:rFonts w:hint="eastAsia" w:ascii="Times New Roman" w:hAnsi="Times New Roman" w:eastAsia="仿宋_GB2312" w:cs="CESI仿宋-GB13000"/>
          <w:color w:val="000000"/>
          <w:spacing w:val="3"/>
          <w:sz w:val="32"/>
          <w:szCs w:val="32"/>
          <w:lang w:eastAsia="zh-CN"/>
        </w:rPr>
        <w:t>级（</w:t>
      </w:r>
      <w:r>
        <w:rPr>
          <w:rFonts w:hint="eastAsia" w:ascii="Times New Roman" w:hAnsi="Times New Roman" w:eastAsia="仿宋_GB2312" w:cs="CESI仿宋-GB13000"/>
          <w:color w:val="000000"/>
          <w:spacing w:val="3"/>
          <w:sz w:val="32"/>
          <w:szCs w:val="32"/>
          <w:lang w:val="en-US" w:eastAsia="zh-CN"/>
        </w:rPr>
        <w:t>7</w:t>
      </w:r>
      <w:r>
        <w:rPr>
          <w:rFonts w:hint="eastAsia" w:ascii="Times New Roman" w:hAnsi="Times New Roman" w:eastAsia="仿宋_GB2312" w:cs="CESI仿宋-GB13000"/>
          <w:color w:val="000000"/>
          <w:spacing w:val="3"/>
          <w:sz w:val="32"/>
          <w:szCs w:val="32"/>
        </w:rPr>
        <w:t>0＜X≤85</w:t>
      </w:r>
      <w:r>
        <w:rPr>
          <w:rFonts w:hint="eastAsia" w:ascii="Times New Roman" w:hAnsi="Times New Roman" w:eastAsia="仿宋_GB2312" w:cs="CESI仿宋-GB13000"/>
          <w:color w:val="000000"/>
          <w:spacing w:val="3"/>
          <w:sz w:val="32"/>
          <w:szCs w:val="32"/>
          <w:lang w:eastAsia="zh-CN"/>
        </w:rPr>
        <w:t>）：安全</w:t>
      </w:r>
      <w:r>
        <w:rPr>
          <w:rFonts w:hint="eastAsia" w:ascii="Times New Roman" w:hAnsi="Times New Roman" w:eastAsia="仿宋_GB2312" w:cs="CESI仿宋-GB13000"/>
          <w:color w:val="000000"/>
          <w:spacing w:val="3"/>
          <w:sz w:val="32"/>
          <w:szCs w:val="32"/>
        </w:rPr>
        <w:t>信用较好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Times New Roman" w:hAnsi="Times New Roman" w:eastAsia="楷体_GB2312" w:cs="楷体_GB2312"/>
          <w:color w:val="000000"/>
          <w:sz w:val="32"/>
          <w:szCs w:val="32"/>
          <w:vertAlign w:val="baseline"/>
          <w:lang w:eastAsia="zh-CN"/>
        </w:rPr>
      </w:pPr>
      <w:r>
        <w:rPr>
          <w:rFonts w:hint="eastAsia" w:ascii="Times New Roman" w:hAnsi="Times New Roman" w:eastAsia="楷体_GB2312" w:cs="楷体_GB2312"/>
          <w:color w:val="000000"/>
          <w:sz w:val="32"/>
          <w:szCs w:val="32"/>
          <w:vertAlign w:val="baseline"/>
          <w:lang w:eastAsia="zh-CN"/>
        </w:rPr>
        <w:t>（三）中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8" w:firstLineChars="200"/>
        <w:jc w:val="both"/>
        <w:textAlignment w:val="baseline"/>
        <w:rPr>
          <w:rFonts w:hint="eastAsia" w:ascii="Times New Roman" w:hAnsi="Times New Roman" w:eastAsia="仿宋_GB2312" w:cs="CESI仿宋-GB13000"/>
          <w:color w:val="000000"/>
          <w:spacing w:val="4"/>
          <w:sz w:val="32"/>
          <w:szCs w:val="32"/>
        </w:rPr>
      </w:pPr>
      <w:r>
        <w:rPr>
          <w:rFonts w:hint="eastAsia" w:ascii="Times New Roman" w:hAnsi="Times New Roman" w:eastAsia="仿宋_GB2312" w:cs="CESI仿宋-GB13000"/>
          <w:color w:val="000000"/>
          <w:spacing w:val="2"/>
          <w:sz w:val="32"/>
          <w:szCs w:val="32"/>
        </w:rPr>
        <w:t>C</w:t>
      </w:r>
      <w:r>
        <w:rPr>
          <w:rFonts w:hint="eastAsia" w:ascii="Times New Roman" w:hAnsi="Times New Roman" w:eastAsia="仿宋_GB2312" w:cs="CESI仿宋-GB13000"/>
          <w:color w:val="000000"/>
          <w:spacing w:val="2"/>
          <w:sz w:val="32"/>
          <w:szCs w:val="32"/>
          <w:lang w:eastAsia="zh-CN"/>
        </w:rPr>
        <w:t>级（</w:t>
      </w:r>
      <w:r>
        <w:rPr>
          <w:rFonts w:hint="eastAsia" w:ascii="Times New Roman" w:hAnsi="Times New Roman" w:eastAsia="仿宋_GB2312" w:cs="CESI仿宋-GB13000"/>
          <w:color w:val="000000"/>
          <w:spacing w:val="4"/>
          <w:sz w:val="32"/>
          <w:szCs w:val="32"/>
          <w:lang w:val="en-US" w:eastAsia="zh-CN"/>
        </w:rPr>
        <w:t>6</w:t>
      </w:r>
      <w:r>
        <w:rPr>
          <w:rFonts w:hint="eastAsia" w:ascii="Times New Roman" w:hAnsi="Times New Roman" w:eastAsia="仿宋_GB2312" w:cs="CESI仿宋-GB13000"/>
          <w:color w:val="000000"/>
          <w:spacing w:val="4"/>
          <w:sz w:val="32"/>
          <w:szCs w:val="32"/>
        </w:rPr>
        <w:t>0＜X≤70</w:t>
      </w:r>
      <w:r>
        <w:rPr>
          <w:rFonts w:hint="eastAsia" w:ascii="Times New Roman" w:hAnsi="Times New Roman" w:eastAsia="仿宋_GB2312" w:cs="CESI仿宋-GB13000"/>
          <w:color w:val="000000"/>
          <w:spacing w:val="2"/>
          <w:sz w:val="32"/>
          <w:szCs w:val="32"/>
          <w:lang w:eastAsia="zh-CN"/>
        </w:rPr>
        <w:t>）：安全</w:t>
      </w:r>
      <w:r>
        <w:rPr>
          <w:rFonts w:hint="eastAsia" w:ascii="Times New Roman" w:hAnsi="Times New Roman" w:eastAsia="仿宋_GB2312" w:cs="CESI仿宋-GB13000"/>
          <w:color w:val="000000"/>
          <w:spacing w:val="3"/>
          <w:sz w:val="32"/>
          <w:szCs w:val="32"/>
        </w:rPr>
        <w:t>信用较差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Times New Roman" w:hAnsi="Times New Roman" w:eastAsia="楷体_GB2312" w:cs="楷体_GB2312"/>
          <w:color w:val="000000"/>
          <w:sz w:val="32"/>
          <w:szCs w:val="32"/>
          <w:vertAlign w:val="baseline"/>
          <w:lang w:eastAsia="zh-CN"/>
        </w:rPr>
      </w:pPr>
      <w:r>
        <w:rPr>
          <w:rFonts w:hint="eastAsia" w:ascii="Times New Roman" w:hAnsi="Times New Roman" w:eastAsia="楷体_GB2312" w:cs="楷体_GB2312"/>
          <w:color w:val="000000"/>
          <w:sz w:val="32"/>
          <w:szCs w:val="32"/>
          <w:vertAlign w:val="baseline"/>
          <w:lang w:eastAsia="zh-CN"/>
        </w:rPr>
        <w:t>（四）差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52" w:firstLineChars="200"/>
        <w:jc w:val="both"/>
        <w:textAlignment w:val="baseline"/>
        <w:rPr>
          <w:rFonts w:hint="eastAsia" w:ascii="Times New Roman" w:hAnsi="Times New Roman" w:eastAsia="仿宋_GB2312" w:cs="CESI仿宋-GB13000"/>
          <w:color w:val="000000"/>
          <w:spacing w:val="5"/>
          <w:sz w:val="32"/>
          <w:szCs w:val="32"/>
        </w:rPr>
      </w:pPr>
      <w:r>
        <w:rPr>
          <w:rFonts w:hint="eastAsia" w:ascii="Times New Roman" w:hAnsi="Times New Roman" w:eastAsia="仿宋_GB2312" w:cs="CESI仿宋-GB13000"/>
          <w:color w:val="000000"/>
          <w:spacing w:val="3"/>
          <w:sz w:val="32"/>
          <w:szCs w:val="32"/>
        </w:rPr>
        <w:t>D</w:t>
      </w:r>
      <w:r>
        <w:rPr>
          <w:rFonts w:hint="eastAsia" w:ascii="Times New Roman" w:hAnsi="Times New Roman" w:eastAsia="仿宋_GB2312" w:cs="CESI仿宋-GB13000"/>
          <w:color w:val="000000"/>
          <w:spacing w:val="3"/>
          <w:sz w:val="32"/>
          <w:szCs w:val="32"/>
          <w:lang w:val="en-US" w:eastAsia="zh-CN"/>
        </w:rPr>
        <w:t xml:space="preserve"> </w:t>
      </w:r>
      <w:r>
        <w:rPr>
          <w:rFonts w:hint="eastAsia" w:ascii="Times New Roman" w:hAnsi="Times New Roman" w:eastAsia="仿宋_GB2312" w:cs="CESI仿宋-GB13000"/>
          <w:color w:val="000000"/>
          <w:spacing w:val="3"/>
          <w:sz w:val="32"/>
          <w:szCs w:val="32"/>
          <w:lang w:eastAsia="zh-CN"/>
        </w:rPr>
        <w:t>级（</w:t>
      </w:r>
      <w:r>
        <w:rPr>
          <w:rFonts w:hint="eastAsia" w:ascii="Times New Roman" w:hAnsi="Times New Roman" w:eastAsia="仿宋_GB2312" w:cs="CESI仿宋-GB13000"/>
          <w:color w:val="000000"/>
          <w:spacing w:val="3"/>
          <w:sz w:val="32"/>
          <w:szCs w:val="32"/>
        </w:rPr>
        <w:t>0≤X≤</w:t>
      </w:r>
      <w:r>
        <w:rPr>
          <w:rFonts w:hint="eastAsia" w:ascii="Times New Roman" w:hAnsi="Times New Roman" w:eastAsia="仿宋_GB2312" w:cs="CESI仿宋-GB13000"/>
          <w:color w:val="000000"/>
          <w:spacing w:val="3"/>
          <w:sz w:val="32"/>
          <w:szCs w:val="32"/>
          <w:lang w:val="en-US" w:eastAsia="zh-CN"/>
        </w:rPr>
        <w:t>6</w:t>
      </w:r>
      <w:r>
        <w:rPr>
          <w:rFonts w:hint="eastAsia" w:ascii="Times New Roman" w:hAnsi="Times New Roman" w:eastAsia="仿宋_GB2312" w:cs="CESI仿宋-GB13000"/>
          <w:color w:val="000000"/>
          <w:spacing w:val="3"/>
          <w:sz w:val="32"/>
          <w:szCs w:val="32"/>
        </w:rPr>
        <w:t>0</w:t>
      </w:r>
      <w:r>
        <w:rPr>
          <w:rFonts w:hint="eastAsia" w:ascii="Times New Roman" w:hAnsi="Times New Roman" w:eastAsia="仿宋_GB2312" w:cs="CESI仿宋-GB13000"/>
          <w:color w:val="000000"/>
          <w:spacing w:val="3"/>
          <w:sz w:val="32"/>
          <w:szCs w:val="32"/>
          <w:lang w:eastAsia="zh-CN"/>
        </w:rPr>
        <w:t>）：安全</w:t>
      </w:r>
      <w:r>
        <w:rPr>
          <w:rFonts w:hint="eastAsia" w:ascii="Times New Roman" w:hAnsi="Times New Roman" w:eastAsia="仿宋_GB2312" w:cs="CESI仿宋-GB13000"/>
          <w:color w:val="000000"/>
          <w:spacing w:val="5"/>
          <w:sz w:val="32"/>
          <w:szCs w:val="32"/>
        </w:rPr>
        <w:t>信用差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2"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pPr>
      <w:r>
        <w:rPr>
          <w:rFonts w:hint="eastAsia" w:ascii="Times New Roman" w:hAnsi="Times New Roman" w:eastAsia="仿宋_GB2312" w:cs="CESI仿宋-GB13000"/>
          <w:b/>
          <w:bCs/>
          <w:color w:val="000000"/>
          <w:sz w:val="32"/>
          <w:szCs w:val="32"/>
          <w:vertAlign w:val="baseline"/>
        </w:rPr>
        <w:t>第十</w:t>
      </w:r>
      <w:r>
        <w:rPr>
          <w:rFonts w:hint="eastAsia" w:ascii="Times New Roman" w:hAnsi="Times New Roman" w:eastAsia="仿宋_GB2312" w:cs="CESI仿宋-GB13000"/>
          <w:b/>
          <w:bCs/>
          <w:color w:val="000000"/>
          <w:sz w:val="32"/>
          <w:szCs w:val="32"/>
          <w:vertAlign w:val="baseline"/>
          <w:lang w:eastAsia="zh-CN"/>
        </w:rPr>
        <w:t>五</w:t>
      </w:r>
      <w:r>
        <w:rPr>
          <w:rFonts w:hint="eastAsia" w:ascii="Times New Roman" w:hAnsi="Times New Roman" w:eastAsia="仿宋_GB2312" w:cs="CESI仿宋-GB13000"/>
          <w:b/>
          <w:bCs/>
          <w:color w:val="000000"/>
          <w:sz w:val="32"/>
          <w:szCs w:val="32"/>
          <w:vertAlign w:val="baseline"/>
        </w:rPr>
        <w:t>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根据有关药品监督管理严重违法失信名单规定，药品生产经营企业被药品监督管理部门列入药品安全严重违法失信名单的，在药品安全信用评价中直接评定为“差”等（</w:t>
      </w:r>
      <w:r>
        <w:rPr>
          <w:rFonts w:hint="eastAsia" w:ascii="Times New Roman" w:hAnsi="Times New Roman" w:eastAsia="仿宋_GB2312" w:cs="CESI仿宋-GB13000"/>
          <w:b w:val="0"/>
          <w:bCs w:val="0"/>
          <w:i w:val="0"/>
          <w:iCs w:val="0"/>
          <w:caps w:val="0"/>
          <w:color w:val="000000"/>
          <w:spacing w:val="0"/>
          <w:sz w:val="32"/>
          <w:szCs w:val="32"/>
          <w:shd w:val="clear" w:color="auto" w:fill="FFFFFF"/>
          <w:lang w:val="en-US" w:eastAsia="zh-CN"/>
        </w:rPr>
        <w:t>D级</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w:t>
      </w:r>
    </w:p>
    <w:p>
      <w:pPr>
        <w:keepNext w:val="0"/>
        <w:keepLines w:val="0"/>
        <w:pageBreakBefore w:val="0"/>
        <w:widowControl w:val="0"/>
        <w:suppressLineNumbers w:val="0"/>
        <w:kinsoku/>
        <w:wordWrap w:val="0"/>
        <w:overflowPunct/>
        <w:topLinePunct w:val="0"/>
        <w:autoSpaceDE/>
        <w:autoSpaceDN/>
        <w:bidi w:val="0"/>
        <w:adjustRightInd/>
        <w:snapToGrid/>
        <w:spacing w:line="500" w:lineRule="exact"/>
        <w:ind w:left="0" w:firstLine="640" w:firstLineChars="200"/>
        <w:jc w:val="both"/>
        <w:textAlignment w:val="auto"/>
        <w:rPr>
          <w:rFonts w:hint="eastAsia" w:ascii="Times New Roman" w:hAnsi="Times New Roman" w:eastAsia="仿宋_GB2312" w:cs="CESI仿宋-GB13000"/>
          <w:snapToGrid w:val="0"/>
          <w:color w:val="000000"/>
          <w:kern w:val="0"/>
          <w:sz w:val="32"/>
          <w:szCs w:val="32"/>
          <w:lang w:val="en-US" w:eastAsia="zh-CN" w:bidi="ar"/>
        </w:rPr>
      </w:pPr>
    </w:p>
    <w:p>
      <w:pPr>
        <w:keepNext w:val="0"/>
        <w:keepLines w:val="0"/>
        <w:pageBreakBefore w:val="0"/>
        <w:widowControl w:val="0"/>
        <w:kinsoku/>
        <w:wordWrap w:val="0"/>
        <w:overflowPunct/>
        <w:topLinePunct w:val="0"/>
        <w:autoSpaceDE/>
        <w:autoSpaceDN/>
        <w:bidi w:val="0"/>
        <w:adjustRightInd/>
        <w:snapToGrid/>
        <w:spacing w:after="0" w:afterLines="80" w:line="560" w:lineRule="exact"/>
        <w:jc w:val="center"/>
        <w:textAlignment w:val="baseline"/>
        <w:rPr>
          <w:rFonts w:hint="eastAsia" w:ascii="Times New Roman" w:hAnsi="Times New Roman" w:eastAsia="黑体" w:cs="黑体"/>
          <w:color w:val="000000"/>
          <w:spacing w:val="0"/>
          <w:w w:val="100"/>
          <w:sz w:val="32"/>
          <w:szCs w:val="32"/>
        </w:rPr>
      </w:pPr>
      <w:r>
        <w:rPr>
          <w:rFonts w:hint="eastAsia" w:ascii="Times New Roman" w:hAnsi="Times New Roman" w:eastAsia="黑体" w:cs="黑体"/>
          <w:color w:val="000000"/>
          <w:spacing w:val="0"/>
          <w:w w:val="100"/>
          <w:sz w:val="32"/>
          <w:szCs w:val="32"/>
        </w:rPr>
        <w:t>第四章 </w:t>
      </w:r>
      <w:r>
        <w:rPr>
          <w:rFonts w:hint="eastAsia" w:ascii="Times New Roman" w:hAnsi="Times New Roman" w:eastAsia="黑体" w:cs="黑体"/>
          <w:color w:val="000000"/>
          <w:spacing w:val="0"/>
          <w:w w:val="100"/>
          <w:sz w:val="32"/>
          <w:szCs w:val="32"/>
          <w:lang w:val="en-US" w:eastAsia="zh-CN"/>
        </w:rPr>
        <w:t xml:space="preserve">  </w:t>
      </w:r>
      <w:r>
        <w:rPr>
          <w:rFonts w:hint="eastAsia" w:ascii="Times New Roman" w:hAnsi="Times New Roman" w:eastAsia="黑体" w:cs="黑体"/>
          <w:color w:val="000000"/>
          <w:spacing w:val="0"/>
          <w:w w:val="100"/>
          <w:sz w:val="32"/>
          <w:szCs w:val="32"/>
        </w:rPr>
        <w:t>药品安全信用评价信息有效期及修复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2"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pPr>
      <w:r>
        <w:rPr>
          <w:rFonts w:hint="eastAsia" w:ascii="Times New Roman" w:hAnsi="Times New Roman" w:eastAsia="仿宋_GB2312" w:cs="CESI仿宋-GB13000"/>
          <w:b/>
          <w:bCs/>
          <w:color w:val="000000"/>
          <w:sz w:val="32"/>
          <w:szCs w:val="32"/>
          <w:vertAlign w:val="baseline"/>
        </w:rPr>
        <w:t>第十</w:t>
      </w:r>
      <w:r>
        <w:rPr>
          <w:rFonts w:hint="eastAsia" w:ascii="Times New Roman" w:hAnsi="Times New Roman" w:eastAsia="仿宋_GB2312" w:cs="CESI仿宋-GB13000"/>
          <w:b/>
          <w:bCs/>
          <w:color w:val="000000"/>
          <w:sz w:val="32"/>
          <w:szCs w:val="32"/>
          <w:vertAlign w:val="baseline"/>
          <w:lang w:eastAsia="zh-CN"/>
        </w:rPr>
        <w:t>六</w:t>
      </w:r>
      <w:r>
        <w:rPr>
          <w:rFonts w:hint="eastAsia" w:ascii="Times New Roman" w:hAnsi="Times New Roman" w:eastAsia="仿宋_GB2312" w:cs="CESI仿宋-GB13000"/>
          <w:b/>
          <w:bCs/>
          <w:color w:val="000000"/>
          <w:sz w:val="32"/>
          <w:szCs w:val="32"/>
          <w:vertAlign w:val="baseline"/>
        </w:rPr>
        <w:t>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b w:val="0"/>
          <w:bCs w:val="0"/>
          <w:i w:val="0"/>
          <w:iCs w:val="0"/>
          <w:caps w:val="0"/>
          <w:color w:val="000000"/>
          <w:spacing w:val="0"/>
          <w:sz w:val="32"/>
          <w:szCs w:val="32"/>
          <w:shd w:val="clear" w:color="auto" w:fill="FFFFFF"/>
        </w:rPr>
        <w:t>药品生产</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经营</w:t>
      </w:r>
      <w:r>
        <w:rPr>
          <w:rFonts w:hint="eastAsia" w:ascii="Times New Roman" w:hAnsi="Times New Roman" w:eastAsia="仿宋_GB2312" w:cs="CESI仿宋-GB13000"/>
          <w:b w:val="0"/>
          <w:bCs w:val="0"/>
          <w:i w:val="0"/>
          <w:iCs w:val="0"/>
          <w:caps w:val="0"/>
          <w:color w:val="000000"/>
          <w:spacing w:val="0"/>
          <w:sz w:val="32"/>
          <w:szCs w:val="32"/>
          <w:shd w:val="clear" w:color="auto" w:fill="FFFFFF"/>
        </w:rPr>
        <w:t>企业</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安全</w:t>
      </w:r>
      <w:r>
        <w:rPr>
          <w:rFonts w:hint="eastAsia" w:ascii="Times New Roman" w:hAnsi="Times New Roman" w:eastAsia="仿宋_GB2312" w:cs="CESI仿宋-GB13000"/>
          <w:b w:val="0"/>
          <w:bCs w:val="0"/>
          <w:i w:val="0"/>
          <w:iCs w:val="0"/>
          <w:caps w:val="0"/>
          <w:color w:val="000000"/>
          <w:spacing w:val="0"/>
          <w:sz w:val="32"/>
          <w:szCs w:val="32"/>
          <w:shd w:val="clear" w:color="auto" w:fill="FFFFFF"/>
        </w:rPr>
        <w:t>信用评价实施动态管理，</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根据安全信用信息类型设置有效期，有效期自信息确认之日起计算。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baseline"/>
        <w:rPr>
          <w:rFonts w:hint="eastAsia" w:ascii="Times New Roman" w:hAnsi="Times New Roman" w:eastAsia="仿宋_GB2312" w:cs="CESI仿宋-GB13000"/>
          <w:b w:val="0"/>
          <w:bCs w:val="0"/>
          <w:i w:val="0"/>
          <w:iCs w:val="0"/>
          <w:caps w:val="0"/>
          <w:color w:val="000000"/>
          <w:spacing w:val="-11"/>
          <w:sz w:val="32"/>
          <w:szCs w:val="32"/>
          <w:shd w:val="clear" w:color="auto" w:fill="FFFFFF"/>
          <w:lang w:val="en-US" w:eastAsia="zh-CN"/>
        </w:rPr>
      </w:pP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本办法第十五条情形、遵纪守法信息有效期为</w:t>
      </w:r>
      <w:r>
        <w:rPr>
          <w:rFonts w:hint="eastAsia" w:ascii="Times New Roman" w:hAnsi="Times New Roman" w:eastAsia="仿宋_GB2312" w:cs="CESI仿宋-GB13000"/>
          <w:b w:val="0"/>
          <w:bCs w:val="0"/>
          <w:i w:val="0"/>
          <w:iCs w:val="0"/>
          <w:caps w:val="0"/>
          <w:color w:val="000000"/>
          <w:spacing w:val="0"/>
          <w:sz w:val="32"/>
          <w:szCs w:val="32"/>
          <w:shd w:val="clear" w:color="auto" w:fill="FFFFFF"/>
          <w:lang w:val="en-US" w:eastAsia="zh-CN"/>
        </w:rPr>
        <w:t>3年。主体责</w:t>
      </w:r>
      <w:r>
        <w:rPr>
          <w:rFonts w:hint="eastAsia" w:ascii="Times New Roman" w:hAnsi="Times New Roman" w:eastAsia="仿宋_GB2312" w:cs="CESI仿宋-GB13000"/>
          <w:b w:val="0"/>
          <w:bCs w:val="0"/>
          <w:i w:val="0"/>
          <w:iCs w:val="0"/>
          <w:caps w:val="0"/>
          <w:color w:val="000000"/>
          <w:spacing w:val="-11"/>
          <w:sz w:val="32"/>
          <w:szCs w:val="32"/>
          <w:shd w:val="clear" w:color="auto" w:fill="FFFFFF"/>
          <w:lang w:val="en-US" w:eastAsia="zh-CN"/>
        </w:rPr>
        <w:t>任落实、监督管理、社会责任、正向激励信用信息有效期为1年。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val="0"/>
          <w:bCs w:val="0"/>
          <w:i w:val="0"/>
          <w:iCs w:val="0"/>
          <w:caps w:val="0"/>
          <w:color w:val="000000"/>
          <w:spacing w:val="0"/>
          <w:sz w:val="32"/>
          <w:szCs w:val="32"/>
          <w:shd w:val="clear" w:color="auto" w:fill="FFFFFF"/>
          <w:lang w:val="en-US" w:eastAsia="zh-CN"/>
        </w:rPr>
        <w:t>法律、法规、规章对严重失信惩戒期限有其他规定规定的，从其规定。</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left"/>
        <w:textAlignment w:val="auto"/>
        <w:outlineLvl w:val="9"/>
        <w:rPr>
          <w:rFonts w:hint="eastAsia" w:ascii="Times New Roman" w:hAnsi="Times New Roman" w:eastAsia="仿宋_GB2312" w:cs="CESI仿宋-GB13000"/>
          <w:b w:val="0"/>
          <w:bCs w:val="0"/>
          <w:i w:val="0"/>
          <w:iCs w:val="0"/>
          <w:caps w:val="0"/>
          <w:color w:val="000000"/>
          <w:spacing w:val="0"/>
          <w:kern w:val="0"/>
          <w:sz w:val="32"/>
          <w:szCs w:val="32"/>
          <w:shd w:val="clear" w:color="auto" w:fill="FFFFFF"/>
          <w:lang w:val="en-US" w:eastAsia="zh-CN" w:bidi="ar"/>
        </w:rPr>
      </w:pPr>
      <w:r>
        <w:rPr>
          <w:rFonts w:hint="eastAsia" w:ascii="Times New Roman" w:hAnsi="Times New Roman" w:eastAsia="仿宋_GB2312" w:cs="CESI仿宋-GB13000"/>
          <w:b/>
          <w:bCs/>
          <w:color w:val="000000"/>
          <w:sz w:val="32"/>
          <w:szCs w:val="32"/>
          <w:vertAlign w:val="baseline"/>
        </w:rPr>
        <w:t>第十</w:t>
      </w:r>
      <w:r>
        <w:rPr>
          <w:rFonts w:hint="eastAsia" w:ascii="Times New Roman" w:hAnsi="Times New Roman" w:eastAsia="仿宋_GB2312" w:cs="CESI仿宋-GB13000"/>
          <w:b/>
          <w:bCs/>
          <w:color w:val="000000"/>
          <w:sz w:val="32"/>
          <w:szCs w:val="32"/>
          <w:vertAlign w:val="baseline"/>
          <w:lang w:eastAsia="zh-CN"/>
        </w:rPr>
        <w:t>七</w:t>
      </w:r>
      <w:r>
        <w:rPr>
          <w:rFonts w:hint="eastAsia" w:ascii="Times New Roman" w:hAnsi="Times New Roman" w:eastAsia="仿宋_GB2312" w:cs="CESI仿宋-GB13000"/>
          <w:b/>
          <w:bCs/>
          <w:color w:val="000000"/>
          <w:sz w:val="32"/>
          <w:szCs w:val="32"/>
          <w:vertAlign w:val="baseline"/>
        </w:rPr>
        <w:t>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b w:val="0"/>
          <w:bCs w:val="0"/>
          <w:i w:val="0"/>
          <w:iCs w:val="0"/>
          <w:caps w:val="0"/>
          <w:color w:val="000000"/>
          <w:spacing w:val="0"/>
          <w:kern w:val="0"/>
          <w:sz w:val="32"/>
          <w:szCs w:val="32"/>
          <w:shd w:val="clear" w:color="auto" w:fill="FFFFFF"/>
          <w:lang w:val="en-US" w:eastAsia="zh-CN" w:bidi="ar"/>
        </w:rPr>
        <w:t>药品监督管理部门为鼓励和引导不良信息主体主动改正违法失信行为，消除社会不良影响，提升自身信用水平，营造诚实守信的社会环境，根据《市场监督管理信用修复管理办法》（国市监信规〔2021〕3号）实施信用修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lang w:val="en-US" w:eastAsia="zh-CN"/>
        </w:rPr>
      </w:pP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药品监督管理部门实施的行政处罚，因行政复议或行政诉讼的原因被撤销或纠正的，作出行政处罚的部门应在行政处罚结果被撤销或纠正之日起</w:t>
      </w:r>
      <w:r>
        <w:rPr>
          <w:rFonts w:hint="eastAsia" w:ascii="Times New Roman" w:hAnsi="Times New Roman" w:eastAsia="仿宋_GB2312" w:cs="CESI仿宋-GB13000"/>
          <w:b w:val="0"/>
          <w:bCs w:val="0"/>
          <w:i w:val="0"/>
          <w:iCs w:val="0"/>
          <w:caps w:val="0"/>
          <w:color w:val="000000"/>
          <w:spacing w:val="0"/>
          <w:sz w:val="32"/>
          <w:szCs w:val="32"/>
          <w:shd w:val="clear" w:color="auto" w:fill="FFFFFF"/>
          <w:lang w:val="en-US" w:eastAsia="zh-CN"/>
        </w:rPr>
        <w:t>5个工作日内，纠正信用评定结果。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2"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b/>
          <w:bCs/>
          <w:color w:val="000000"/>
          <w:sz w:val="32"/>
          <w:szCs w:val="32"/>
          <w:vertAlign w:val="baseline"/>
          <w:lang w:eastAsia="zh-CN"/>
        </w:rPr>
        <w:t>第十八条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color w:val="000000"/>
          <w:sz w:val="32"/>
          <w:szCs w:val="32"/>
          <w:vertAlign w:val="baseline"/>
          <w:lang w:eastAsia="zh-CN"/>
        </w:rPr>
        <w:t>药品生产经营</w:t>
      </w:r>
      <w:r>
        <w:rPr>
          <w:rFonts w:hint="eastAsia" w:ascii="Times New Roman" w:hAnsi="Times New Roman" w:eastAsia="仿宋_GB2312" w:cs="CESI仿宋-GB13000"/>
          <w:color w:val="000000"/>
          <w:sz w:val="32"/>
          <w:szCs w:val="32"/>
          <w:vertAlign w:val="baseline"/>
        </w:rPr>
        <w:t>企</w:t>
      </w:r>
      <w:r>
        <w:rPr>
          <w:rFonts w:hint="eastAsia" w:ascii="Times New Roman" w:hAnsi="Times New Roman" w:eastAsia="仿宋_GB2312" w:cs="CESI仿宋-GB13000"/>
          <w:color w:val="000000"/>
          <w:sz w:val="32"/>
          <w:szCs w:val="32"/>
          <w:vertAlign w:val="baseline"/>
          <w:lang w:eastAsia="zh-CN"/>
        </w:rPr>
        <w:t>业遵纪守</w:t>
      </w:r>
      <w:r>
        <w:rPr>
          <w:rFonts w:hint="eastAsia" w:ascii="Times New Roman" w:hAnsi="Times New Roman" w:eastAsia="仿宋_GB2312" w:cs="CESI仿宋-GB13000"/>
          <w:color w:val="000000"/>
          <w:spacing w:val="-6"/>
          <w:sz w:val="32"/>
          <w:szCs w:val="32"/>
          <w:vertAlign w:val="baseline"/>
          <w:lang w:eastAsia="zh-CN"/>
        </w:rPr>
        <w:t>法</w:t>
      </w:r>
      <w:r>
        <w:rPr>
          <w:rFonts w:hint="eastAsia" w:ascii="Times New Roman" w:hAnsi="Times New Roman" w:eastAsia="仿宋_GB2312" w:cs="CESI仿宋-GB13000"/>
          <w:color w:val="000000"/>
          <w:spacing w:val="-6"/>
          <w:sz w:val="32"/>
          <w:szCs w:val="32"/>
          <w:vertAlign w:val="baseline"/>
          <w:lang w:val="en-US" w:eastAsia="zh-CN"/>
        </w:rPr>
        <w:t>指标</w:t>
      </w:r>
      <w:r>
        <w:rPr>
          <w:rFonts w:hint="eastAsia" w:ascii="Times New Roman" w:hAnsi="Times New Roman" w:eastAsia="仿宋_GB2312" w:cs="CESI仿宋-GB13000"/>
          <w:color w:val="000000"/>
          <w:spacing w:val="-6"/>
          <w:sz w:val="32"/>
          <w:szCs w:val="32"/>
          <w:vertAlign w:val="baseline"/>
          <w:lang w:eastAsia="zh-CN"/>
        </w:rPr>
        <w:t>扣分满1年，</w:t>
      </w:r>
      <w:r>
        <w:rPr>
          <w:rFonts w:hint="eastAsia" w:ascii="Times New Roman" w:hAnsi="Times New Roman" w:eastAsia="仿宋_GB2312" w:cs="CESI仿宋-GB13000"/>
          <w:color w:val="000000"/>
          <w:spacing w:val="-6"/>
          <w:sz w:val="32"/>
          <w:szCs w:val="32"/>
          <w:vertAlign w:val="baseline"/>
        </w:rPr>
        <w:t>且同时符合下列情形的，可</w:t>
      </w:r>
      <w:r>
        <w:rPr>
          <w:rFonts w:hint="eastAsia" w:ascii="Times New Roman" w:hAnsi="Times New Roman" w:eastAsia="仿宋_GB2312" w:cs="CESI仿宋-GB13000"/>
          <w:color w:val="000000"/>
          <w:spacing w:val="-6"/>
          <w:sz w:val="32"/>
          <w:szCs w:val="32"/>
          <w:vertAlign w:val="baseline"/>
          <w:lang w:eastAsia="zh-CN"/>
        </w:rPr>
        <w:t>提前</w:t>
      </w:r>
      <w:r>
        <w:rPr>
          <w:rFonts w:hint="eastAsia" w:ascii="Times New Roman" w:hAnsi="Times New Roman" w:eastAsia="仿宋_GB2312" w:cs="CESI仿宋-GB13000"/>
          <w:color w:val="000000"/>
          <w:spacing w:val="-6"/>
          <w:sz w:val="32"/>
          <w:szCs w:val="32"/>
          <w:vertAlign w:val="baseline"/>
        </w:rPr>
        <w:t>申请信用修复：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color w:val="000000"/>
          <w:sz w:val="32"/>
          <w:szCs w:val="32"/>
          <w:vertAlign w:val="baseline"/>
        </w:rPr>
        <w:t>（一）行政处罚、处理决定中的法律责任和义务履行到位的；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color w:val="000000"/>
          <w:sz w:val="32"/>
          <w:szCs w:val="32"/>
          <w:vertAlign w:val="baseline"/>
        </w:rPr>
        <w:t>（二）相关问题已经在规定时限内整改到位的；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color w:val="000000"/>
          <w:sz w:val="32"/>
          <w:szCs w:val="32"/>
          <w:vertAlign w:val="baseline"/>
        </w:rPr>
        <w:t>（三）已经主动消除危害后果和社会不良影响的；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color w:val="000000"/>
          <w:sz w:val="32"/>
          <w:szCs w:val="32"/>
          <w:vertAlign w:val="baseline"/>
        </w:rPr>
        <w:t>（四）未因同一类违法行为再次受到药品</w:t>
      </w:r>
      <w:r>
        <w:rPr>
          <w:rFonts w:hint="eastAsia" w:ascii="Times New Roman" w:hAnsi="Times New Roman" w:eastAsia="仿宋_GB2312" w:cs="CESI仿宋-GB13000"/>
          <w:color w:val="000000"/>
          <w:sz w:val="32"/>
          <w:szCs w:val="32"/>
          <w:vertAlign w:val="baseline"/>
          <w:lang w:eastAsia="zh-CN"/>
        </w:rPr>
        <w:t>监督管理</w:t>
      </w:r>
      <w:r>
        <w:rPr>
          <w:rFonts w:hint="eastAsia" w:ascii="Times New Roman" w:hAnsi="Times New Roman" w:eastAsia="仿宋_GB2312" w:cs="CESI仿宋-GB13000"/>
          <w:color w:val="000000"/>
          <w:sz w:val="32"/>
          <w:szCs w:val="32"/>
          <w:vertAlign w:val="baseline"/>
        </w:rPr>
        <w:t>部门行政处罚；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color w:val="000000"/>
          <w:sz w:val="32"/>
          <w:szCs w:val="32"/>
          <w:vertAlign w:val="baseline"/>
        </w:rPr>
        <w:t>（五）未列入严重违法失信名单的；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color w:val="000000"/>
          <w:sz w:val="32"/>
          <w:szCs w:val="32"/>
          <w:vertAlign w:val="baseline"/>
        </w:rPr>
        <w:t>（六）年度信用等级被评为</w:t>
      </w:r>
      <w:r>
        <w:rPr>
          <w:rFonts w:hint="eastAsia" w:ascii="Times New Roman" w:hAnsi="Times New Roman" w:eastAsia="仿宋_GB2312" w:cs="CESI仿宋-GB13000"/>
          <w:color w:val="000000"/>
          <w:spacing w:val="2"/>
          <w:sz w:val="32"/>
          <w:szCs w:val="32"/>
          <w:lang w:eastAsia="zh-CN"/>
        </w:rPr>
        <w:t>中等</w:t>
      </w:r>
      <w:r>
        <w:rPr>
          <w:rFonts w:hint="eastAsia" w:ascii="Times New Roman" w:hAnsi="Times New Roman" w:eastAsia="仿宋_GB2312" w:cs="CESI仿宋-GB13000"/>
          <w:color w:val="000000"/>
          <w:sz w:val="32"/>
          <w:szCs w:val="32"/>
          <w:vertAlign w:val="baseline"/>
        </w:rPr>
        <w:t>以上的</w:t>
      </w:r>
      <w:r>
        <w:rPr>
          <w:rFonts w:hint="eastAsia" w:ascii="Times New Roman" w:hAnsi="Times New Roman" w:eastAsia="仿宋_GB2312" w:cs="CESI仿宋-GB13000"/>
          <w:color w:val="000000"/>
          <w:sz w:val="32"/>
          <w:szCs w:val="32"/>
          <w:vertAlign w:val="baseline"/>
          <w:lang w:eastAsia="zh-CN"/>
        </w:rPr>
        <w:t>（含中等</w:t>
      </w:r>
      <w:r>
        <w:rPr>
          <w:rFonts w:hint="eastAsia" w:ascii="Times New Roman" w:hAnsi="Times New Roman" w:eastAsia="仿宋_GB2312" w:cs="CESI仿宋-GB13000"/>
          <w:color w:val="000000"/>
          <w:sz w:val="32"/>
          <w:szCs w:val="32"/>
          <w:vertAlign w:val="baseline"/>
          <w:lang w:val="en-US" w:eastAsia="zh-CN"/>
        </w:rPr>
        <w:t>)</w:t>
      </w:r>
      <w:r>
        <w:rPr>
          <w:rFonts w:hint="eastAsia" w:ascii="Times New Roman" w:hAnsi="Times New Roman" w:eastAsia="仿宋_GB2312" w:cs="CESI仿宋-GB13000"/>
          <w:color w:val="000000"/>
          <w:sz w:val="32"/>
          <w:szCs w:val="32"/>
          <w:vertAlign w:val="baseline"/>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b/>
          <w:bCs/>
          <w:color w:val="000000"/>
          <w:sz w:val="32"/>
          <w:szCs w:val="32"/>
          <w:vertAlign w:val="baseline"/>
        </w:rPr>
        <w:t>第</w:t>
      </w:r>
      <w:r>
        <w:rPr>
          <w:rFonts w:hint="eastAsia" w:ascii="Times New Roman" w:hAnsi="Times New Roman" w:eastAsia="仿宋_GB2312" w:cs="CESI仿宋-GB13000"/>
          <w:b/>
          <w:bCs/>
          <w:color w:val="000000"/>
          <w:sz w:val="32"/>
          <w:szCs w:val="32"/>
          <w:vertAlign w:val="baseline"/>
          <w:lang w:eastAsia="zh-CN"/>
        </w:rPr>
        <w:t>十九</w:t>
      </w:r>
      <w:r>
        <w:rPr>
          <w:rFonts w:hint="eastAsia" w:ascii="Times New Roman" w:hAnsi="Times New Roman" w:eastAsia="仿宋_GB2312" w:cs="CESI仿宋-GB13000"/>
          <w:b/>
          <w:bCs/>
          <w:color w:val="000000"/>
          <w:sz w:val="32"/>
          <w:szCs w:val="32"/>
          <w:vertAlign w:val="baseline"/>
        </w:rPr>
        <w:t>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color w:val="000000"/>
          <w:sz w:val="32"/>
          <w:szCs w:val="32"/>
          <w:vertAlign w:val="baseline"/>
          <w:lang w:eastAsia="zh-CN"/>
        </w:rPr>
        <w:t>药品生产经营</w:t>
      </w:r>
      <w:r>
        <w:rPr>
          <w:rFonts w:hint="eastAsia" w:ascii="Times New Roman" w:hAnsi="Times New Roman" w:eastAsia="仿宋_GB2312" w:cs="CESI仿宋-GB13000"/>
          <w:color w:val="000000"/>
          <w:sz w:val="32"/>
          <w:szCs w:val="32"/>
          <w:vertAlign w:val="baseline"/>
        </w:rPr>
        <w:t>企业列入严重违法失信名单满1年，且符合下列情形的，可依照本办法规定申请</w:t>
      </w:r>
      <w:r>
        <w:rPr>
          <w:rFonts w:hint="eastAsia" w:ascii="Times New Roman" w:hAnsi="Times New Roman" w:eastAsia="仿宋_GB2312" w:cs="CESI仿宋-GB13000"/>
          <w:color w:val="000000"/>
          <w:sz w:val="32"/>
          <w:szCs w:val="32"/>
          <w:vertAlign w:val="baseline"/>
          <w:lang w:eastAsia="zh-CN"/>
        </w:rPr>
        <w:t>提前移出严重违法失信名单，可申请信用修复</w:t>
      </w:r>
      <w:r>
        <w:rPr>
          <w:rFonts w:hint="eastAsia" w:ascii="Times New Roman" w:hAnsi="Times New Roman" w:eastAsia="仿宋_GB2312" w:cs="CESI仿宋-GB13000"/>
          <w:color w:val="000000"/>
          <w:sz w:val="32"/>
          <w:szCs w:val="32"/>
          <w:vertAlign w:val="baseline"/>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color w:val="000000"/>
          <w:sz w:val="32"/>
          <w:szCs w:val="32"/>
          <w:vertAlign w:val="baseline"/>
        </w:rPr>
        <w:t>（一）</w:t>
      </w:r>
      <w:r>
        <w:rPr>
          <w:rFonts w:hint="eastAsia" w:ascii="Times New Roman" w:hAnsi="Times New Roman" w:eastAsia="仿宋_GB2312" w:cs="CESI仿宋-GB13000"/>
          <w:color w:val="000000"/>
          <w:sz w:val="32"/>
          <w:szCs w:val="32"/>
          <w:vertAlign w:val="baseline"/>
          <w:lang w:eastAsia="zh-CN"/>
        </w:rPr>
        <w:t>已经自觉履行行政处罚</w:t>
      </w:r>
      <w:r>
        <w:rPr>
          <w:rFonts w:hint="eastAsia" w:ascii="Times New Roman" w:hAnsi="Times New Roman" w:eastAsia="仿宋_GB2312" w:cs="CESI仿宋-GB13000"/>
          <w:color w:val="000000"/>
          <w:sz w:val="32"/>
          <w:szCs w:val="32"/>
          <w:vertAlign w:val="baseline"/>
        </w:rPr>
        <w:t>决定中规定</w:t>
      </w:r>
      <w:r>
        <w:rPr>
          <w:rFonts w:hint="eastAsia" w:ascii="Times New Roman" w:hAnsi="Times New Roman" w:eastAsia="仿宋_GB2312" w:cs="CESI仿宋-GB13000"/>
          <w:color w:val="000000"/>
          <w:sz w:val="32"/>
          <w:szCs w:val="32"/>
          <w:vertAlign w:val="baseline"/>
          <w:lang w:eastAsia="zh-CN"/>
        </w:rPr>
        <w:t>的</w:t>
      </w:r>
      <w:r>
        <w:rPr>
          <w:rFonts w:hint="eastAsia" w:ascii="Times New Roman" w:hAnsi="Times New Roman" w:eastAsia="仿宋_GB2312" w:cs="CESI仿宋-GB13000"/>
          <w:color w:val="000000"/>
          <w:sz w:val="32"/>
          <w:szCs w:val="32"/>
          <w:vertAlign w:val="baseline"/>
        </w:rPr>
        <w:t>义务；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color w:val="000000"/>
          <w:sz w:val="32"/>
          <w:szCs w:val="32"/>
          <w:vertAlign w:val="baseline"/>
        </w:rPr>
        <w:t>（二）</w:t>
      </w:r>
      <w:r>
        <w:rPr>
          <w:rFonts w:hint="eastAsia" w:ascii="Times New Roman" w:hAnsi="Times New Roman" w:eastAsia="仿宋_GB2312" w:cs="CESI仿宋-GB13000"/>
          <w:color w:val="000000"/>
          <w:sz w:val="32"/>
          <w:szCs w:val="32"/>
          <w:vertAlign w:val="baseline"/>
          <w:lang w:eastAsia="zh-CN"/>
        </w:rPr>
        <w:t>已经</w:t>
      </w:r>
      <w:r>
        <w:rPr>
          <w:rFonts w:hint="eastAsia" w:ascii="Times New Roman" w:hAnsi="Times New Roman" w:eastAsia="仿宋_GB2312" w:cs="CESI仿宋-GB13000"/>
          <w:color w:val="000000"/>
          <w:sz w:val="32"/>
          <w:szCs w:val="32"/>
          <w:vertAlign w:val="baseline"/>
        </w:rPr>
        <w:t>主动消除危害后果和不良影响；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color w:val="000000"/>
          <w:sz w:val="32"/>
          <w:szCs w:val="32"/>
          <w:vertAlign w:val="baseline"/>
        </w:rPr>
        <w:t>（三）未再次受到</w:t>
      </w:r>
      <w:r>
        <w:rPr>
          <w:rFonts w:hint="eastAsia" w:ascii="Times New Roman" w:hAnsi="Times New Roman" w:eastAsia="仿宋_GB2312" w:cs="CESI仿宋-GB13000"/>
          <w:color w:val="000000"/>
          <w:sz w:val="32"/>
          <w:szCs w:val="32"/>
          <w:vertAlign w:val="baseline"/>
          <w:lang w:eastAsia="zh-CN"/>
        </w:rPr>
        <w:t>药品</w:t>
      </w:r>
      <w:r>
        <w:rPr>
          <w:rFonts w:hint="eastAsia" w:ascii="Times New Roman" w:hAnsi="Times New Roman" w:eastAsia="仿宋_GB2312" w:cs="CESI仿宋-GB13000"/>
          <w:color w:val="000000"/>
          <w:sz w:val="32"/>
          <w:szCs w:val="32"/>
          <w:vertAlign w:val="baseline"/>
        </w:rPr>
        <w:t>监督管理部门</w:t>
      </w:r>
      <w:r>
        <w:rPr>
          <w:rFonts w:hint="eastAsia" w:ascii="Times New Roman" w:hAnsi="Times New Roman" w:eastAsia="仿宋_GB2312" w:cs="CESI仿宋-GB13000"/>
          <w:color w:val="000000"/>
          <w:sz w:val="32"/>
          <w:szCs w:val="32"/>
          <w:vertAlign w:val="baseline"/>
          <w:lang w:eastAsia="zh-CN"/>
        </w:rPr>
        <w:t>较重</w:t>
      </w:r>
      <w:r>
        <w:rPr>
          <w:rFonts w:hint="eastAsia" w:ascii="Times New Roman" w:hAnsi="Times New Roman" w:eastAsia="仿宋_GB2312" w:cs="CESI仿宋-GB13000"/>
          <w:color w:val="000000"/>
          <w:sz w:val="32"/>
          <w:szCs w:val="32"/>
          <w:vertAlign w:val="baseline"/>
        </w:rPr>
        <w:t>行政处罚。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color w:val="000000"/>
          <w:sz w:val="32"/>
          <w:szCs w:val="32"/>
          <w:vertAlign w:val="baseline"/>
        </w:rPr>
        <w:t>法律、</w:t>
      </w:r>
      <w:r>
        <w:rPr>
          <w:rFonts w:hint="eastAsia" w:ascii="Times New Roman" w:hAnsi="Times New Roman" w:eastAsia="仿宋_GB2312" w:cs="CESI仿宋-GB13000"/>
          <w:color w:val="000000"/>
          <w:sz w:val="32"/>
          <w:szCs w:val="32"/>
          <w:vertAlign w:val="baseline"/>
          <w:lang w:eastAsia="zh-CN"/>
        </w:rPr>
        <w:t>法规、</w:t>
      </w:r>
      <w:r>
        <w:rPr>
          <w:rFonts w:hint="eastAsia" w:ascii="Times New Roman" w:hAnsi="Times New Roman" w:eastAsia="仿宋_GB2312" w:cs="CESI仿宋-GB13000"/>
          <w:color w:val="000000"/>
          <w:sz w:val="32"/>
          <w:szCs w:val="32"/>
          <w:vertAlign w:val="baseline"/>
        </w:rPr>
        <w:t>规章的实施相应管理措施期限尚未届满的，不得申请修复。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b/>
          <w:bCs/>
          <w:color w:val="000000"/>
          <w:sz w:val="32"/>
          <w:szCs w:val="32"/>
          <w:vertAlign w:val="baseline"/>
        </w:rPr>
        <w:t>第二十条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color w:val="000000"/>
          <w:sz w:val="32"/>
          <w:szCs w:val="32"/>
          <w:vertAlign w:val="baseline"/>
          <w:lang w:eastAsia="zh-CN"/>
        </w:rPr>
        <w:t>药品生产经营企业</w:t>
      </w:r>
      <w:r>
        <w:rPr>
          <w:rFonts w:hint="eastAsia" w:ascii="Times New Roman" w:hAnsi="Times New Roman" w:eastAsia="仿宋_GB2312" w:cs="CESI仿宋-GB13000"/>
          <w:color w:val="000000"/>
          <w:sz w:val="32"/>
          <w:szCs w:val="32"/>
          <w:vertAlign w:val="baseline"/>
        </w:rPr>
        <w:t>主体责任落实、监督管理、社会责任扣分满</w:t>
      </w:r>
      <w:r>
        <w:rPr>
          <w:rFonts w:hint="eastAsia" w:ascii="Times New Roman" w:hAnsi="Times New Roman" w:eastAsia="仿宋_GB2312" w:cs="CESI仿宋-GB13000"/>
          <w:color w:val="000000"/>
          <w:sz w:val="32"/>
          <w:szCs w:val="32"/>
          <w:vertAlign w:val="baseline"/>
          <w:lang w:eastAsia="zh-CN"/>
        </w:rPr>
        <w:t>六个月</w:t>
      </w:r>
      <w:r>
        <w:rPr>
          <w:rFonts w:hint="eastAsia" w:ascii="Times New Roman" w:hAnsi="Times New Roman" w:eastAsia="仿宋_GB2312" w:cs="CESI仿宋-GB13000"/>
          <w:color w:val="000000"/>
          <w:sz w:val="32"/>
          <w:szCs w:val="32"/>
          <w:vertAlign w:val="baseline"/>
        </w:rPr>
        <w:t>，且同时符合下列情形的，可申请信用修复：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color w:val="000000"/>
          <w:sz w:val="32"/>
          <w:szCs w:val="32"/>
          <w:vertAlign w:val="baseline"/>
        </w:rPr>
        <w:t>（一）监督检查发现的缺陷和问题已整改到位，问题产品已依法处置的；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color w:val="000000"/>
          <w:sz w:val="32"/>
          <w:szCs w:val="32"/>
          <w:vertAlign w:val="baseline"/>
        </w:rPr>
        <w:t>（二）主动消除危害后果和社会不良影响的；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color w:val="000000"/>
          <w:sz w:val="32"/>
          <w:szCs w:val="32"/>
          <w:vertAlign w:val="baseline"/>
        </w:rPr>
        <w:t>（三）信用期内未出现同类问题被信用扣分的；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color w:val="000000"/>
          <w:sz w:val="32"/>
          <w:szCs w:val="32"/>
          <w:vertAlign w:val="baseline"/>
        </w:rPr>
        <w:t>（四）年度信用等级被评为</w:t>
      </w:r>
      <w:r>
        <w:rPr>
          <w:rFonts w:hint="eastAsia" w:ascii="Times New Roman" w:hAnsi="Times New Roman" w:eastAsia="仿宋_GB2312" w:cs="CESI仿宋-GB13000"/>
          <w:color w:val="000000"/>
          <w:spacing w:val="2"/>
          <w:sz w:val="32"/>
          <w:szCs w:val="32"/>
          <w:lang w:eastAsia="zh-CN"/>
        </w:rPr>
        <w:t>中等</w:t>
      </w:r>
      <w:r>
        <w:rPr>
          <w:rFonts w:hint="eastAsia" w:ascii="Times New Roman" w:hAnsi="Times New Roman" w:eastAsia="仿宋_GB2312" w:cs="CESI仿宋-GB13000"/>
          <w:color w:val="000000"/>
          <w:sz w:val="32"/>
          <w:szCs w:val="32"/>
          <w:vertAlign w:val="baseline"/>
        </w:rPr>
        <w:t>以上</w:t>
      </w:r>
      <w:r>
        <w:rPr>
          <w:rFonts w:hint="eastAsia" w:ascii="Times New Roman" w:hAnsi="Times New Roman" w:eastAsia="仿宋_GB2312" w:cs="CESI仿宋-GB13000"/>
          <w:color w:val="000000"/>
          <w:sz w:val="32"/>
          <w:szCs w:val="32"/>
          <w:vertAlign w:val="baseline"/>
          <w:lang w:eastAsia="zh-CN"/>
        </w:rPr>
        <w:t>（含中等）</w:t>
      </w:r>
      <w:r>
        <w:rPr>
          <w:rFonts w:hint="eastAsia" w:ascii="Times New Roman" w:hAnsi="Times New Roman" w:eastAsia="仿宋_GB2312" w:cs="CESI仿宋-GB13000"/>
          <w:color w:val="000000"/>
          <w:sz w:val="32"/>
          <w:szCs w:val="32"/>
          <w:vertAlign w:val="baseline"/>
        </w:rPr>
        <w:t>的且未列入严重违法失信名单的。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b/>
          <w:bCs/>
          <w:color w:val="000000"/>
          <w:sz w:val="32"/>
          <w:szCs w:val="32"/>
          <w:vertAlign w:val="baseline"/>
        </w:rPr>
        <w:t>第二十</w:t>
      </w:r>
      <w:r>
        <w:rPr>
          <w:rFonts w:hint="eastAsia" w:ascii="Times New Roman" w:hAnsi="Times New Roman" w:eastAsia="仿宋_GB2312" w:cs="CESI仿宋-GB13000"/>
          <w:b/>
          <w:bCs/>
          <w:color w:val="000000"/>
          <w:sz w:val="32"/>
          <w:szCs w:val="32"/>
          <w:vertAlign w:val="baseline"/>
          <w:lang w:eastAsia="zh-CN"/>
        </w:rPr>
        <w:t>一</w:t>
      </w:r>
      <w:r>
        <w:rPr>
          <w:rFonts w:hint="eastAsia" w:ascii="Times New Roman" w:hAnsi="Times New Roman" w:eastAsia="仿宋_GB2312" w:cs="CESI仿宋-GB13000"/>
          <w:b/>
          <w:bCs/>
          <w:color w:val="000000"/>
          <w:sz w:val="32"/>
          <w:szCs w:val="32"/>
          <w:vertAlign w:val="baseline"/>
        </w:rPr>
        <w:t>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color w:val="000000"/>
          <w:sz w:val="32"/>
          <w:szCs w:val="32"/>
          <w:vertAlign w:val="baseline"/>
        </w:rPr>
        <w:t>按照“谁实施、谁负责、谁修复”原则，各级药品监督管理部门依药品</w:t>
      </w:r>
      <w:r>
        <w:rPr>
          <w:rFonts w:hint="eastAsia" w:ascii="Times New Roman" w:hAnsi="Times New Roman" w:eastAsia="仿宋_GB2312" w:cs="CESI仿宋-GB13000"/>
          <w:color w:val="000000"/>
          <w:sz w:val="32"/>
          <w:szCs w:val="32"/>
          <w:vertAlign w:val="baseline"/>
          <w:lang w:eastAsia="zh-CN"/>
        </w:rPr>
        <w:t>生产</w:t>
      </w:r>
      <w:r>
        <w:rPr>
          <w:rFonts w:hint="eastAsia" w:ascii="Times New Roman" w:hAnsi="Times New Roman" w:eastAsia="仿宋_GB2312" w:cs="CESI仿宋-GB13000"/>
          <w:color w:val="000000"/>
          <w:sz w:val="32"/>
          <w:szCs w:val="32"/>
          <w:vertAlign w:val="baseline"/>
        </w:rPr>
        <w:t>经营企业申请开展信用修复有关审查和修复工作。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color w:val="000000"/>
          <w:sz w:val="32"/>
          <w:szCs w:val="32"/>
          <w:vertAlign w:val="baseline"/>
        </w:rPr>
        <w:t>信用修复程序和管理文书格式规范依照《市场监督管理信用修复管理办法》</w:t>
      </w:r>
      <w:r>
        <w:rPr>
          <w:rFonts w:hint="eastAsia" w:ascii="Times New Roman" w:hAnsi="Times New Roman" w:eastAsia="仿宋_GB2312" w:cs="CESI仿宋-GB13000"/>
          <w:b w:val="0"/>
          <w:bCs w:val="0"/>
          <w:i w:val="0"/>
          <w:iCs w:val="0"/>
          <w:caps w:val="0"/>
          <w:color w:val="000000"/>
          <w:spacing w:val="0"/>
          <w:kern w:val="0"/>
          <w:sz w:val="32"/>
          <w:szCs w:val="32"/>
          <w:shd w:val="clear" w:color="auto" w:fill="FFFFFF"/>
          <w:lang w:val="en-US" w:eastAsia="zh-CN" w:bidi="ar"/>
        </w:rPr>
        <w:t>（国市监信规〔2021〕3号）</w:t>
      </w:r>
      <w:r>
        <w:rPr>
          <w:rFonts w:hint="eastAsia" w:ascii="Times New Roman" w:hAnsi="Times New Roman" w:eastAsia="仿宋_GB2312" w:cs="CESI仿宋-GB13000"/>
          <w:color w:val="000000"/>
          <w:sz w:val="32"/>
          <w:szCs w:val="32"/>
          <w:vertAlign w:val="baseline"/>
        </w:rPr>
        <w:t>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color w:val="000000"/>
          <w:sz w:val="32"/>
          <w:szCs w:val="32"/>
          <w:vertAlign w:val="baseline"/>
        </w:rPr>
      </w:pPr>
      <w:r>
        <w:rPr>
          <w:rFonts w:hint="eastAsia" w:ascii="Times New Roman" w:hAnsi="Times New Roman" w:eastAsia="仿宋_GB2312" w:cs="CESI仿宋-GB13000"/>
          <w:b/>
          <w:bCs/>
          <w:color w:val="000000"/>
          <w:sz w:val="32"/>
          <w:szCs w:val="32"/>
          <w:vertAlign w:val="baseline"/>
        </w:rPr>
        <w:t>第二十</w:t>
      </w:r>
      <w:r>
        <w:rPr>
          <w:rFonts w:hint="eastAsia" w:ascii="Times New Roman" w:hAnsi="Times New Roman" w:eastAsia="仿宋_GB2312" w:cs="CESI仿宋-GB13000"/>
          <w:b/>
          <w:bCs/>
          <w:color w:val="000000"/>
          <w:sz w:val="32"/>
          <w:szCs w:val="32"/>
          <w:vertAlign w:val="baseline"/>
          <w:lang w:eastAsia="zh-CN"/>
        </w:rPr>
        <w:t>二</w:t>
      </w:r>
      <w:r>
        <w:rPr>
          <w:rFonts w:hint="eastAsia" w:ascii="Times New Roman" w:hAnsi="Times New Roman" w:eastAsia="仿宋_GB2312" w:cs="CESI仿宋-GB13000"/>
          <w:b/>
          <w:bCs/>
          <w:color w:val="000000"/>
          <w:sz w:val="32"/>
          <w:szCs w:val="32"/>
          <w:vertAlign w:val="baseline"/>
        </w:rPr>
        <w:t>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color w:val="000000"/>
          <w:sz w:val="32"/>
          <w:szCs w:val="32"/>
          <w:vertAlign w:val="baseline"/>
        </w:rPr>
        <w:t>法律、法规和党中央、国务院政</w:t>
      </w:r>
      <w:r>
        <w:rPr>
          <w:rFonts w:hint="eastAsia" w:ascii="Times New Roman" w:hAnsi="Times New Roman" w:eastAsia="仿宋_GB2312" w:cs="CESI仿宋-GB13000"/>
          <w:color w:val="000000"/>
          <w:spacing w:val="-6"/>
          <w:sz w:val="32"/>
          <w:szCs w:val="32"/>
          <w:vertAlign w:val="baseline"/>
        </w:rPr>
        <w:t>策文件明确规定不可信用修复的，</w:t>
      </w:r>
      <w:r>
        <w:rPr>
          <w:rFonts w:hint="eastAsia" w:ascii="Times New Roman" w:hAnsi="Times New Roman" w:eastAsia="仿宋_GB2312" w:cs="CESI仿宋-GB13000"/>
          <w:color w:val="000000"/>
          <w:spacing w:val="-6"/>
          <w:sz w:val="32"/>
          <w:szCs w:val="32"/>
          <w:vertAlign w:val="baseline"/>
          <w:lang w:eastAsia="zh-CN"/>
        </w:rPr>
        <w:t>药品</w:t>
      </w:r>
      <w:r>
        <w:rPr>
          <w:rFonts w:hint="eastAsia" w:ascii="Times New Roman" w:hAnsi="Times New Roman" w:eastAsia="仿宋_GB2312" w:cs="CESI仿宋-GB13000"/>
          <w:color w:val="000000"/>
          <w:spacing w:val="-6"/>
          <w:sz w:val="32"/>
          <w:szCs w:val="32"/>
          <w:vertAlign w:val="baseline"/>
        </w:rPr>
        <w:t>监督管理部门不予信用修复。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color w:val="000000"/>
          <w:sz w:val="32"/>
          <w:szCs w:val="32"/>
          <w:vertAlign w:val="baseline"/>
        </w:rPr>
      </w:pPr>
    </w:p>
    <w:p>
      <w:pPr>
        <w:keepNext w:val="0"/>
        <w:keepLines w:val="0"/>
        <w:pageBreakBefore w:val="0"/>
        <w:widowControl w:val="0"/>
        <w:kinsoku/>
        <w:wordWrap w:val="0"/>
        <w:overflowPunct/>
        <w:topLinePunct w:val="0"/>
        <w:autoSpaceDE/>
        <w:autoSpaceDN/>
        <w:bidi w:val="0"/>
        <w:adjustRightInd/>
        <w:snapToGrid/>
        <w:spacing w:after="0" w:afterLines="80" w:line="560" w:lineRule="exact"/>
        <w:ind w:left="0" w:firstLine="640" w:firstLineChars="200"/>
        <w:jc w:val="center"/>
        <w:textAlignment w:val="baseline"/>
        <w:rPr>
          <w:rFonts w:hint="eastAsia" w:ascii="Times New Roman" w:hAnsi="Times New Roman" w:eastAsia="黑体" w:cs="黑体"/>
          <w:color w:val="000000"/>
          <w:spacing w:val="0"/>
          <w:w w:val="100"/>
          <w:sz w:val="32"/>
          <w:szCs w:val="32"/>
        </w:rPr>
      </w:pPr>
      <w:r>
        <w:rPr>
          <w:rFonts w:hint="eastAsia" w:ascii="Times New Roman" w:hAnsi="Times New Roman" w:eastAsia="黑体" w:cs="黑体"/>
          <w:color w:val="000000"/>
          <w:spacing w:val="0"/>
          <w:w w:val="100"/>
          <w:sz w:val="32"/>
          <w:szCs w:val="32"/>
          <w:lang w:eastAsia="zh-CN"/>
        </w:rPr>
        <w:t>第五章</w:t>
      </w:r>
      <w:r>
        <w:rPr>
          <w:rFonts w:hint="eastAsia" w:ascii="Times New Roman" w:hAnsi="Times New Roman" w:eastAsia="黑体" w:cs="黑体"/>
          <w:color w:val="000000"/>
          <w:spacing w:val="0"/>
          <w:w w:val="100"/>
          <w:sz w:val="32"/>
          <w:szCs w:val="32"/>
          <w:lang w:val="en-US" w:eastAsia="zh-CN"/>
        </w:rPr>
        <w:t xml:space="preserve">  </w:t>
      </w:r>
      <w:r>
        <w:rPr>
          <w:rFonts w:hint="eastAsia" w:ascii="Times New Roman" w:hAnsi="Times New Roman" w:eastAsia="黑体" w:cs="黑体"/>
          <w:color w:val="000000"/>
          <w:spacing w:val="0"/>
          <w:w w:val="100"/>
          <w:sz w:val="32"/>
          <w:szCs w:val="32"/>
        </w:rPr>
        <w:t>药品安全信用评价结果公开与应用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bCs/>
          <w:color w:val="000000"/>
          <w:sz w:val="32"/>
          <w:szCs w:val="32"/>
          <w:vertAlign w:val="baseline"/>
        </w:rPr>
        <w:t>第二十</w:t>
      </w:r>
      <w:r>
        <w:rPr>
          <w:rFonts w:hint="eastAsia" w:ascii="Times New Roman" w:hAnsi="Times New Roman" w:eastAsia="仿宋_GB2312" w:cs="CESI仿宋-GB13000"/>
          <w:b/>
          <w:bCs/>
          <w:color w:val="000000"/>
          <w:sz w:val="32"/>
          <w:szCs w:val="32"/>
          <w:vertAlign w:val="baseline"/>
          <w:lang w:eastAsia="zh-CN"/>
        </w:rPr>
        <w:t>三</w:t>
      </w:r>
      <w:r>
        <w:rPr>
          <w:rFonts w:hint="eastAsia" w:ascii="Times New Roman" w:hAnsi="Times New Roman" w:eastAsia="仿宋_GB2312" w:cs="CESI仿宋-GB13000"/>
          <w:b/>
          <w:bCs/>
          <w:color w:val="000000"/>
          <w:sz w:val="32"/>
          <w:szCs w:val="32"/>
          <w:vertAlign w:val="baseline"/>
        </w:rPr>
        <w:t>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b w:val="0"/>
          <w:bCs w:val="0"/>
          <w:i w:val="0"/>
          <w:iCs w:val="0"/>
          <w:caps w:val="0"/>
          <w:color w:val="000000"/>
          <w:spacing w:val="0"/>
          <w:sz w:val="32"/>
          <w:szCs w:val="32"/>
          <w:shd w:val="clear" w:color="auto" w:fill="FFFFFF"/>
        </w:rPr>
        <w:t>按照激励守信、惩戒失信的原则，药品监督管理部门</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将</w:t>
      </w:r>
      <w:r>
        <w:rPr>
          <w:rFonts w:hint="eastAsia" w:ascii="Times New Roman" w:hAnsi="Times New Roman" w:eastAsia="仿宋_GB2312" w:cs="CESI仿宋-GB13000"/>
          <w:b w:val="0"/>
          <w:bCs w:val="0"/>
          <w:i w:val="0"/>
          <w:iCs w:val="0"/>
          <w:caps w:val="0"/>
          <w:color w:val="000000"/>
          <w:spacing w:val="0"/>
          <w:sz w:val="32"/>
          <w:szCs w:val="32"/>
          <w:shd w:val="clear" w:color="auto" w:fill="FFFFFF"/>
        </w:rPr>
        <w:t>药品安全信用评价结果作为分类分级监管</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与服务</w:t>
      </w:r>
      <w:r>
        <w:rPr>
          <w:rFonts w:hint="eastAsia" w:ascii="Times New Roman" w:hAnsi="Times New Roman" w:eastAsia="仿宋_GB2312" w:cs="CESI仿宋-GB13000"/>
          <w:b w:val="0"/>
          <w:bCs w:val="0"/>
          <w:i w:val="0"/>
          <w:iCs w:val="0"/>
          <w:caps w:val="0"/>
          <w:color w:val="000000"/>
          <w:spacing w:val="0"/>
          <w:sz w:val="32"/>
          <w:szCs w:val="32"/>
          <w:shd w:val="clear" w:color="auto" w:fill="FFFFFF"/>
        </w:rPr>
        <w:t>的</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重要依据</w:t>
      </w:r>
      <w:r>
        <w:rPr>
          <w:rFonts w:hint="eastAsia" w:ascii="Times New Roman" w:hAnsi="Times New Roman" w:eastAsia="仿宋_GB2312" w:cs="CESI仿宋-GB13000"/>
          <w:b w:val="0"/>
          <w:bCs w:val="0"/>
          <w:i w:val="0"/>
          <w:iCs w:val="0"/>
          <w:caps w:val="0"/>
          <w:color w:val="000000"/>
          <w:spacing w:val="0"/>
          <w:sz w:val="32"/>
          <w:szCs w:val="32"/>
          <w:shd w:val="clear" w:color="auto" w:fill="FFFFFF"/>
        </w:rPr>
        <w:t>，必要时可向相关部门推送评价结果。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bCs/>
          <w:color w:val="000000"/>
          <w:sz w:val="32"/>
          <w:szCs w:val="32"/>
          <w:vertAlign w:val="baseline"/>
        </w:rPr>
        <w:t>第二十</w:t>
      </w:r>
      <w:r>
        <w:rPr>
          <w:rFonts w:hint="eastAsia" w:ascii="Times New Roman" w:hAnsi="Times New Roman" w:eastAsia="仿宋_GB2312" w:cs="CESI仿宋-GB13000"/>
          <w:b/>
          <w:bCs/>
          <w:color w:val="000000"/>
          <w:sz w:val="32"/>
          <w:szCs w:val="32"/>
          <w:vertAlign w:val="baseline"/>
          <w:lang w:eastAsia="zh-CN"/>
        </w:rPr>
        <w:t>四</w:t>
      </w:r>
      <w:r>
        <w:rPr>
          <w:rFonts w:hint="eastAsia" w:ascii="Times New Roman" w:hAnsi="Times New Roman" w:eastAsia="仿宋_GB2312" w:cs="CESI仿宋-GB13000"/>
          <w:b/>
          <w:bCs/>
          <w:color w:val="000000"/>
          <w:sz w:val="32"/>
          <w:szCs w:val="32"/>
          <w:vertAlign w:val="baseline"/>
        </w:rPr>
        <w:t>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b w:val="0"/>
          <w:bCs w:val="0"/>
          <w:i w:val="0"/>
          <w:iCs w:val="0"/>
          <w:caps w:val="0"/>
          <w:color w:val="000000"/>
          <w:spacing w:val="0"/>
          <w:sz w:val="32"/>
          <w:szCs w:val="32"/>
          <w:shd w:val="clear" w:color="auto" w:fill="FFFFFF"/>
        </w:rPr>
        <w:t>对药品安全信用为</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优等</w:t>
      </w:r>
      <w:r>
        <w:rPr>
          <w:rFonts w:hint="eastAsia" w:ascii="Times New Roman" w:hAnsi="Times New Roman" w:eastAsia="仿宋_GB2312" w:cs="CESI仿宋-GB13000"/>
          <w:b w:val="0"/>
          <w:bCs w:val="0"/>
          <w:i w:val="0"/>
          <w:iCs w:val="0"/>
          <w:caps w:val="0"/>
          <w:color w:val="000000"/>
          <w:spacing w:val="0"/>
          <w:sz w:val="32"/>
          <w:szCs w:val="32"/>
          <w:shd w:val="clear" w:color="auto" w:fill="FFFFFF"/>
        </w:rPr>
        <w:t>的药品生产</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经营</w:t>
      </w:r>
      <w:r>
        <w:rPr>
          <w:rFonts w:hint="eastAsia" w:ascii="Times New Roman" w:hAnsi="Times New Roman" w:eastAsia="仿宋_GB2312" w:cs="CESI仿宋-GB13000"/>
          <w:b w:val="0"/>
          <w:bCs w:val="0"/>
          <w:i w:val="0"/>
          <w:iCs w:val="0"/>
          <w:caps w:val="0"/>
          <w:color w:val="000000"/>
          <w:spacing w:val="0"/>
          <w:sz w:val="32"/>
          <w:szCs w:val="32"/>
          <w:shd w:val="clear" w:color="auto" w:fill="FFFFFF"/>
        </w:rPr>
        <w:t>企业，药品</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监督管理部门</w:t>
      </w:r>
      <w:r>
        <w:rPr>
          <w:rFonts w:hint="eastAsia" w:ascii="Times New Roman" w:hAnsi="Times New Roman" w:eastAsia="仿宋_GB2312" w:cs="CESI仿宋-GB13000"/>
          <w:b w:val="0"/>
          <w:bCs w:val="0"/>
          <w:i w:val="0"/>
          <w:iCs w:val="0"/>
          <w:caps w:val="0"/>
          <w:color w:val="000000"/>
          <w:spacing w:val="0"/>
          <w:sz w:val="32"/>
          <w:szCs w:val="32"/>
          <w:shd w:val="clear" w:color="auto" w:fill="FFFFFF"/>
        </w:rPr>
        <w:t>予以下列激励措施：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val="0"/>
          <w:bCs w:val="0"/>
          <w:i w:val="0"/>
          <w:iCs w:val="0"/>
          <w:caps w:val="0"/>
          <w:color w:val="000000"/>
          <w:spacing w:val="0"/>
          <w:sz w:val="32"/>
          <w:szCs w:val="32"/>
          <w:shd w:val="clear" w:color="auto" w:fill="FFFFFF"/>
        </w:rPr>
        <w:t>（一）主动公布</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年度</w:t>
      </w:r>
      <w:r>
        <w:rPr>
          <w:rFonts w:hint="eastAsia" w:ascii="Times New Roman" w:hAnsi="Times New Roman" w:eastAsia="仿宋_GB2312" w:cs="CESI仿宋-GB13000"/>
          <w:b w:val="0"/>
          <w:bCs w:val="0"/>
          <w:i w:val="0"/>
          <w:iCs w:val="0"/>
          <w:caps w:val="0"/>
          <w:color w:val="000000"/>
          <w:spacing w:val="0"/>
          <w:sz w:val="32"/>
          <w:szCs w:val="32"/>
          <w:shd w:val="clear" w:color="auto" w:fill="FFFFFF"/>
        </w:rPr>
        <w:t>A级企业名单；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val="0"/>
          <w:bCs w:val="0"/>
          <w:i w:val="0"/>
          <w:iCs w:val="0"/>
          <w:caps w:val="0"/>
          <w:color w:val="000000"/>
          <w:spacing w:val="0"/>
          <w:sz w:val="32"/>
          <w:szCs w:val="32"/>
          <w:shd w:val="clear" w:color="auto" w:fill="FFFFFF"/>
        </w:rPr>
        <w:t>（二）依法合理降低</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下一年度</w:t>
      </w:r>
      <w:r>
        <w:rPr>
          <w:rFonts w:hint="eastAsia" w:ascii="Times New Roman" w:hAnsi="Times New Roman" w:eastAsia="仿宋_GB2312" w:cs="CESI仿宋-GB13000"/>
          <w:b w:val="0"/>
          <w:bCs w:val="0"/>
          <w:i w:val="0"/>
          <w:iCs w:val="0"/>
          <w:caps w:val="0"/>
          <w:color w:val="000000"/>
          <w:spacing w:val="0"/>
          <w:sz w:val="32"/>
          <w:szCs w:val="32"/>
          <w:shd w:val="clear" w:color="auto" w:fill="FFFFFF"/>
        </w:rPr>
        <w:t>检查比例和频次；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val="0"/>
          <w:bCs w:val="0"/>
          <w:i w:val="0"/>
          <w:iCs w:val="0"/>
          <w:caps w:val="0"/>
          <w:color w:val="000000"/>
          <w:spacing w:val="0"/>
          <w:sz w:val="32"/>
          <w:szCs w:val="32"/>
          <w:shd w:val="clear" w:color="auto" w:fill="FFFFFF"/>
        </w:rPr>
        <w:t>（三）</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在省部级以上评比表彰中予以推荐</w:t>
      </w:r>
      <w:r>
        <w:rPr>
          <w:rFonts w:hint="eastAsia" w:ascii="Times New Roman" w:hAnsi="Times New Roman" w:eastAsia="仿宋_GB2312" w:cs="CESI仿宋-GB13000"/>
          <w:b w:val="0"/>
          <w:bCs w:val="0"/>
          <w:i w:val="0"/>
          <w:iCs w:val="0"/>
          <w:caps w:val="0"/>
          <w:color w:val="000000"/>
          <w:spacing w:val="0"/>
          <w:sz w:val="32"/>
          <w:szCs w:val="32"/>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pPr>
      <w:r>
        <w:rPr>
          <w:rFonts w:hint="eastAsia" w:ascii="Times New Roman" w:hAnsi="Times New Roman" w:eastAsia="仿宋_GB2312" w:cs="CESI仿宋-GB13000"/>
          <w:b w:val="0"/>
          <w:bCs w:val="0"/>
          <w:i w:val="0"/>
          <w:iCs w:val="0"/>
          <w:caps w:val="0"/>
          <w:color w:val="000000"/>
          <w:spacing w:val="0"/>
          <w:sz w:val="32"/>
          <w:szCs w:val="32"/>
          <w:shd w:val="clear" w:color="auto" w:fill="FFFFFF"/>
        </w:rPr>
        <w:t>（四）</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对</w:t>
      </w:r>
      <w:r>
        <w:rPr>
          <w:rFonts w:hint="eastAsia" w:ascii="Times New Roman" w:hAnsi="Times New Roman" w:eastAsia="仿宋_GB2312" w:cs="CESI仿宋-GB13000"/>
          <w:b w:val="0"/>
          <w:bCs w:val="0"/>
          <w:i w:val="0"/>
          <w:iCs w:val="0"/>
          <w:caps w:val="0"/>
          <w:color w:val="000000"/>
          <w:spacing w:val="0"/>
          <w:sz w:val="32"/>
          <w:szCs w:val="32"/>
          <w:shd w:val="clear" w:color="auto" w:fill="FFFFFF"/>
        </w:rPr>
        <w:t>A级</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企业</w:t>
      </w:r>
      <w:r>
        <w:rPr>
          <w:rFonts w:hint="eastAsia" w:ascii="Times New Roman" w:hAnsi="Times New Roman" w:eastAsia="仿宋_GB2312" w:cs="CESI仿宋-GB13000"/>
          <w:b w:val="0"/>
          <w:bCs w:val="0"/>
          <w:i w:val="0"/>
          <w:iCs w:val="0"/>
          <w:caps w:val="0"/>
          <w:color w:val="000000"/>
          <w:spacing w:val="0"/>
          <w:sz w:val="32"/>
          <w:szCs w:val="32"/>
          <w:shd w:val="clear" w:color="auto" w:fill="FFFFFF"/>
        </w:rPr>
        <w:t>推行“信用+精准服务”，由药品监督管理部门提供绿色通道或各类精准服务举措，在行政许可等事项上依法适度推行容缺</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受理</w:t>
      </w:r>
      <w:r>
        <w:rPr>
          <w:rFonts w:hint="eastAsia" w:ascii="Times New Roman" w:hAnsi="Times New Roman" w:eastAsia="仿宋_GB2312" w:cs="CESI仿宋-GB13000"/>
          <w:b w:val="0"/>
          <w:bCs w:val="0"/>
          <w:i w:val="0"/>
          <w:iCs w:val="0"/>
          <w:caps w:val="0"/>
          <w:color w:val="000000"/>
          <w:spacing w:val="0"/>
          <w:sz w:val="32"/>
          <w:szCs w:val="32"/>
          <w:shd w:val="clear" w:color="auto" w:fill="FFFFFF"/>
        </w:rPr>
        <w:t>和告知承诺等激励措施</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val="0"/>
          <w:bCs w:val="0"/>
          <w:i w:val="0"/>
          <w:iCs w:val="0"/>
          <w:caps w:val="0"/>
          <w:color w:val="000000"/>
          <w:spacing w:val="0"/>
          <w:sz w:val="32"/>
          <w:szCs w:val="32"/>
          <w:shd w:val="clear" w:color="auto" w:fill="FFFFFF"/>
        </w:rPr>
        <w:t>（五）药品监督管理部门与相关部门实施的联合激励措施，以及结合当地实际情况采取的其他激励措施。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pPr>
      <w:r>
        <w:rPr>
          <w:rFonts w:hint="eastAsia" w:ascii="Times New Roman" w:hAnsi="Times New Roman" w:eastAsia="仿宋_GB2312" w:cs="CESI仿宋-GB13000"/>
          <w:b/>
          <w:bCs/>
          <w:color w:val="000000"/>
          <w:sz w:val="32"/>
          <w:szCs w:val="32"/>
          <w:vertAlign w:val="baseline"/>
        </w:rPr>
        <w:t>第二十</w:t>
      </w:r>
      <w:r>
        <w:rPr>
          <w:rFonts w:hint="eastAsia" w:ascii="Times New Roman" w:hAnsi="Times New Roman" w:eastAsia="仿宋_GB2312" w:cs="CESI仿宋-GB13000"/>
          <w:b/>
          <w:bCs/>
          <w:color w:val="000000"/>
          <w:sz w:val="32"/>
          <w:szCs w:val="32"/>
          <w:vertAlign w:val="baseline"/>
          <w:lang w:eastAsia="zh-CN"/>
        </w:rPr>
        <w:t>五</w:t>
      </w:r>
      <w:r>
        <w:rPr>
          <w:rFonts w:hint="eastAsia" w:ascii="Times New Roman" w:hAnsi="Times New Roman" w:eastAsia="仿宋_GB2312" w:cs="CESI仿宋-GB13000"/>
          <w:b/>
          <w:bCs/>
          <w:color w:val="000000"/>
          <w:sz w:val="32"/>
          <w:szCs w:val="32"/>
          <w:vertAlign w:val="baseline"/>
        </w:rPr>
        <w:t>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b w:val="0"/>
          <w:bCs w:val="0"/>
          <w:i w:val="0"/>
          <w:iCs w:val="0"/>
          <w:caps w:val="0"/>
          <w:color w:val="000000"/>
          <w:spacing w:val="0"/>
          <w:sz w:val="32"/>
          <w:szCs w:val="32"/>
          <w:shd w:val="clear" w:color="auto" w:fill="FFFFFF"/>
        </w:rPr>
        <w:t>对药品安全信用级别</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良等</w:t>
      </w:r>
      <w:r>
        <w:rPr>
          <w:rFonts w:hint="eastAsia" w:ascii="Times New Roman" w:hAnsi="Times New Roman" w:eastAsia="仿宋_GB2312" w:cs="CESI仿宋-GB13000"/>
          <w:b w:val="0"/>
          <w:bCs w:val="0"/>
          <w:i w:val="0"/>
          <w:iCs w:val="0"/>
          <w:caps w:val="0"/>
          <w:color w:val="000000"/>
          <w:spacing w:val="0"/>
          <w:sz w:val="32"/>
          <w:szCs w:val="32"/>
          <w:shd w:val="clear" w:color="auto" w:fill="FFFFFF"/>
        </w:rPr>
        <w:t>的药品生产</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经营</w:t>
      </w:r>
      <w:r>
        <w:rPr>
          <w:rFonts w:hint="eastAsia" w:ascii="Times New Roman" w:hAnsi="Times New Roman" w:eastAsia="仿宋_GB2312" w:cs="CESI仿宋-GB13000"/>
          <w:b w:val="0"/>
          <w:bCs w:val="0"/>
          <w:i w:val="0"/>
          <w:iCs w:val="0"/>
          <w:caps w:val="0"/>
          <w:color w:val="000000"/>
          <w:spacing w:val="0"/>
          <w:sz w:val="32"/>
          <w:szCs w:val="32"/>
          <w:shd w:val="clear" w:color="auto" w:fill="FFFFFF"/>
        </w:rPr>
        <w:t>企业，</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药品监督管理部门</w:t>
      </w:r>
      <w:r>
        <w:rPr>
          <w:rFonts w:hint="eastAsia" w:ascii="Times New Roman" w:hAnsi="Times New Roman" w:eastAsia="仿宋_GB2312" w:cs="CESI仿宋-GB13000"/>
          <w:b w:val="0"/>
          <w:bCs w:val="0"/>
          <w:i w:val="0"/>
          <w:iCs w:val="0"/>
          <w:caps w:val="0"/>
          <w:color w:val="000000"/>
          <w:spacing w:val="0"/>
          <w:sz w:val="32"/>
          <w:szCs w:val="32"/>
          <w:shd w:val="clear" w:color="auto" w:fill="FFFFFF"/>
        </w:rPr>
        <w:t>实施正常</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监管，加强行政指导，督促企业修复信用、合法经营。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bCs/>
          <w:color w:val="000000"/>
          <w:sz w:val="32"/>
          <w:szCs w:val="32"/>
          <w:vertAlign w:val="baseline"/>
        </w:rPr>
        <w:t>第二十</w:t>
      </w:r>
      <w:r>
        <w:rPr>
          <w:rFonts w:hint="eastAsia" w:ascii="Times New Roman" w:hAnsi="Times New Roman" w:eastAsia="仿宋_GB2312" w:cs="CESI仿宋-GB13000"/>
          <w:b/>
          <w:bCs/>
          <w:color w:val="000000"/>
          <w:sz w:val="32"/>
          <w:szCs w:val="32"/>
          <w:vertAlign w:val="baseline"/>
          <w:lang w:eastAsia="zh-CN"/>
        </w:rPr>
        <w:t>六</w:t>
      </w:r>
      <w:r>
        <w:rPr>
          <w:rFonts w:hint="eastAsia" w:ascii="Times New Roman" w:hAnsi="Times New Roman" w:eastAsia="仿宋_GB2312" w:cs="CESI仿宋-GB13000"/>
          <w:b/>
          <w:bCs/>
          <w:color w:val="000000"/>
          <w:sz w:val="32"/>
          <w:szCs w:val="32"/>
          <w:vertAlign w:val="baseline"/>
        </w:rPr>
        <w:t>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b w:val="0"/>
          <w:bCs w:val="0"/>
          <w:i w:val="0"/>
          <w:iCs w:val="0"/>
          <w:caps w:val="0"/>
          <w:color w:val="000000"/>
          <w:spacing w:val="0"/>
          <w:sz w:val="32"/>
          <w:szCs w:val="32"/>
          <w:shd w:val="clear" w:color="auto" w:fill="FFFFFF"/>
        </w:rPr>
        <w:t>对药品安全信用级别为</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中等</w:t>
      </w:r>
      <w:r>
        <w:rPr>
          <w:rFonts w:hint="eastAsia" w:ascii="Times New Roman" w:hAnsi="Times New Roman" w:eastAsia="仿宋_GB2312" w:cs="CESI仿宋-GB13000"/>
          <w:b w:val="0"/>
          <w:bCs w:val="0"/>
          <w:i w:val="0"/>
          <w:iCs w:val="0"/>
          <w:caps w:val="0"/>
          <w:color w:val="000000"/>
          <w:spacing w:val="0"/>
          <w:sz w:val="32"/>
          <w:szCs w:val="32"/>
          <w:shd w:val="clear" w:color="auto" w:fill="FFFFFF"/>
        </w:rPr>
        <w:t>的药品生产</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经营</w:t>
      </w:r>
      <w:r>
        <w:rPr>
          <w:rFonts w:hint="eastAsia" w:ascii="Times New Roman" w:hAnsi="Times New Roman" w:eastAsia="仿宋_GB2312" w:cs="CESI仿宋-GB13000"/>
          <w:b w:val="0"/>
          <w:bCs w:val="0"/>
          <w:i w:val="0"/>
          <w:iCs w:val="0"/>
          <w:caps w:val="0"/>
          <w:color w:val="000000"/>
          <w:spacing w:val="0"/>
          <w:sz w:val="32"/>
          <w:szCs w:val="32"/>
          <w:shd w:val="clear" w:color="auto" w:fill="FFFFFF"/>
        </w:rPr>
        <w:t>企业，药品监督管理部门可根据信用趋势情况实施下列</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监管</w:t>
      </w:r>
      <w:r>
        <w:rPr>
          <w:rFonts w:hint="eastAsia" w:ascii="Times New Roman" w:hAnsi="Times New Roman" w:eastAsia="仿宋_GB2312" w:cs="CESI仿宋-GB13000"/>
          <w:b w:val="0"/>
          <w:bCs w:val="0"/>
          <w:i w:val="0"/>
          <w:iCs w:val="0"/>
          <w:caps w:val="0"/>
          <w:color w:val="000000"/>
          <w:spacing w:val="0"/>
          <w:sz w:val="32"/>
          <w:szCs w:val="32"/>
          <w:shd w:val="clear" w:color="auto" w:fill="FFFFFF"/>
        </w:rPr>
        <w:t>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val="0"/>
          <w:bCs w:val="0"/>
          <w:i w:val="0"/>
          <w:iCs w:val="0"/>
          <w:caps w:val="0"/>
          <w:color w:val="000000"/>
          <w:spacing w:val="0"/>
          <w:sz w:val="32"/>
          <w:szCs w:val="32"/>
          <w:shd w:val="clear" w:color="auto" w:fill="FFFFFF"/>
        </w:rPr>
        <w:t>（一）依法从严监管，适当提高检查比例和频次；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pPr>
      <w:r>
        <w:rPr>
          <w:rFonts w:hint="eastAsia" w:ascii="Times New Roman" w:hAnsi="Times New Roman" w:eastAsia="仿宋_GB2312" w:cs="CESI仿宋-GB13000"/>
          <w:b w:val="0"/>
          <w:bCs w:val="0"/>
          <w:i w:val="0"/>
          <w:iCs w:val="0"/>
          <w:caps w:val="0"/>
          <w:color w:val="000000"/>
          <w:spacing w:val="0"/>
          <w:sz w:val="32"/>
          <w:szCs w:val="32"/>
          <w:shd w:val="clear" w:color="auto" w:fill="FFFFFF"/>
        </w:rPr>
        <w:t>（二）不适用告知承诺制</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bCs/>
          <w:color w:val="000000"/>
          <w:sz w:val="32"/>
          <w:szCs w:val="32"/>
          <w:vertAlign w:val="baseline"/>
        </w:rPr>
        <w:t>第二十</w:t>
      </w:r>
      <w:r>
        <w:rPr>
          <w:rFonts w:hint="eastAsia" w:ascii="Times New Roman" w:hAnsi="Times New Roman" w:eastAsia="仿宋_GB2312" w:cs="CESI仿宋-GB13000"/>
          <w:b/>
          <w:bCs/>
          <w:color w:val="000000"/>
          <w:sz w:val="32"/>
          <w:szCs w:val="32"/>
          <w:vertAlign w:val="baseline"/>
          <w:lang w:eastAsia="zh-CN"/>
        </w:rPr>
        <w:t>七</w:t>
      </w:r>
      <w:r>
        <w:rPr>
          <w:rFonts w:hint="eastAsia" w:ascii="Times New Roman" w:hAnsi="Times New Roman" w:eastAsia="仿宋_GB2312" w:cs="CESI仿宋-GB13000"/>
          <w:b/>
          <w:bCs/>
          <w:color w:val="000000"/>
          <w:sz w:val="32"/>
          <w:szCs w:val="32"/>
          <w:vertAlign w:val="baseline"/>
        </w:rPr>
        <w:t>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b w:val="0"/>
          <w:bCs w:val="0"/>
          <w:i w:val="0"/>
          <w:iCs w:val="0"/>
          <w:caps w:val="0"/>
          <w:color w:val="000000"/>
          <w:spacing w:val="0"/>
          <w:sz w:val="32"/>
          <w:szCs w:val="32"/>
          <w:shd w:val="clear" w:color="auto" w:fill="FFFFFF"/>
        </w:rPr>
        <w:t>对药品安全信用级别为</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差等</w:t>
      </w:r>
      <w:r>
        <w:rPr>
          <w:rFonts w:hint="eastAsia" w:ascii="Times New Roman" w:hAnsi="Times New Roman" w:eastAsia="仿宋_GB2312" w:cs="CESI仿宋-GB13000"/>
          <w:b w:val="0"/>
          <w:bCs w:val="0"/>
          <w:i w:val="0"/>
          <w:iCs w:val="0"/>
          <w:caps w:val="0"/>
          <w:color w:val="000000"/>
          <w:spacing w:val="0"/>
          <w:sz w:val="32"/>
          <w:szCs w:val="32"/>
          <w:shd w:val="clear" w:color="auto" w:fill="FFFFFF"/>
        </w:rPr>
        <w:t>的药品生产</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经营</w:t>
      </w:r>
      <w:r>
        <w:rPr>
          <w:rFonts w:hint="eastAsia" w:ascii="Times New Roman" w:hAnsi="Times New Roman" w:eastAsia="仿宋_GB2312" w:cs="CESI仿宋-GB13000"/>
          <w:b w:val="0"/>
          <w:bCs w:val="0"/>
          <w:i w:val="0"/>
          <w:iCs w:val="0"/>
          <w:caps w:val="0"/>
          <w:color w:val="000000"/>
          <w:spacing w:val="0"/>
          <w:sz w:val="32"/>
          <w:szCs w:val="32"/>
          <w:shd w:val="clear" w:color="auto" w:fill="FFFFFF"/>
        </w:rPr>
        <w:t>企业，实施下列</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监管</w:t>
      </w:r>
      <w:r>
        <w:rPr>
          <w:rFonts w:hint="eastAsia" w:ascii="Times New Roman" w:hAnsi="Times New Roman" w:eastAsia="仿宋_GB2312" w:cs="CESI仿宋-GB13000"/>
          <w:b w:val="0"/>
          <w:bCs w:val="0"/>
          <w:i w:val="0"/>
          <w:iCs w:val="0"/>
          <w:caps w:val="0"/>
          <w:color w:val="000000"/>
          <w:spacing w:val="0"/>
          <w:sz w:val="32"/>
          <w:szCs w:val="32"/>
          <w:shd w:val="clear" w:color="auto" w:fill="FFFFFF"/>
        </w:rPr>
        <w:t>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val="0"/>
          <w:bCs w:val="0"/>
          <w:i w:val="0"/>
          <w:iCs w:val="0"/>
          <w:caps w:val="0"/>
          <w:color w:val="000000"/>
          <w:spacing w:val="0"/>
          <w:sz w:val="32"/>
          <w:szCs w:val="32"/>
          <w:shd w:val="clear" w:color="auto" w:fill="FFFFFF"/>
        </w:rPr>
        <w:t>（一）依据法律、行政法规和党中央、国务院政策文件，在审查行政许可、资质、资格时作为重要考量因素；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val="0"/>
          <w:bCs w:val="0"/>
          <w:i w:val="0"/>
          <w:iCs w:val="0"/>
          <w:caps w:val="0"/>
          <w:color w:val="000000"/>
          <w:spacing w:val="0"/>
          <w:sz w:val="32"/>
          <w:szCs w:val="32"/>
          <w:shd w:val="clear" w:color="auto" w:fill="FFFFFF"/>
        </w:rPr>
        <w:t>（二）列入重点监管对象，依法提高检查比例和频次；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val="0"/>
          <w:bCs w:val="0"/>
          <w:i w:val="0"/>
          <w:iCs w:val="0"/>
          <w:caps w:val="0"/>
          <w:color w:val="000000"/>
          <w:spacing w:val="0"/>
          <w:sz w:val="32"/>
          <w:szCs w:val="32"/>
          <w:shd w:val="clear" w:color="auto" w:fill="FFFFFF"/>
        </w:rPr>
        <w:t>（三）对企业法定代表人、主要负责人进行约谈；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val="0"/>
          <w:bCs w:val="0"/>
          <w:i w:val="0"/>
          <w:iCs w:val="0"/>
          <w:caps w:val="0"/>
          <w:color w:val="000000"/>
          <w:spacing w:val="0"/>
          <w:sz w:val="32"/>
          <w:szCs w:val="32"/>
          <w:shd w:val="clear" w:color="auto" w:fill="FFFFFF"/>
        </w:rPr>
        <w:t>（四）不适用告知承诺制；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val="0"/>
          <w:bCs w:val="0"/>
          <w:i w:val="0"/>
          <w:iCs w:val="0"/>
          <w:caps w:val="0"/>
          <w:color w:val="000000"/>
          <w:spacing w:val="0"/>
          <w:sz w:val="32"/>
          <w:szCs w:val="32"/>
          <w:shd w:val="clear" w:color="auto" w:fill="FFFFFF"/>
        </w:rPr>
        <w:t>（五）不予授予药品监管部门荣誉称号等表彰奖励；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lang w:val="en-US" w:eastAsia="zh-CN"/>
        </w:rPr>
      </w:pPr>
      <w:r>
        <w:rPr>
          <w:rFonts w:hint="eastAsia" w:ascii="Times New Roman" w:hAnsi="Times New Roman" w:eastAsia="仿宋_GB2312" w:cs="CESI仿宋-GB13000"/>
          <w:b w:val="0"/>
          <w:bCs w:val="0"/>
          <w:i w:val="0"/>
          <w:iCs w:val="0"/>
          <w:caps w:val="0"/>
          <w:color w:val="000000"/>
          <w:spacing w:val="0"/>
          <w:sz w:val="32"/>
          <w:szCs w:val="32"/>
          <w:shd w:val="clear" w:color="auto" w:fill="FFFFFF"/>
        </w:rPr>
        <w:t>（</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六</w:t>
      </w:r>
      <w:r>
        <w:rPr>
          <w:rFonts w:hint="eastAsia" w:ascii="Times New Roman" w:hAnsi="Times New Roman" w:eastAsia="仿宋_GB2312" w:cs="CESI仿宋-GB13000"/>
          <w:b w:val="0"/>
          <w:bCs w:val="0"/>
          <w:i w:val="0"/>
          <w:iCs w:val="0"/>
          <w:caps w:val="0"/>
          <w:color w:val="000000"/>
          <w:spacing w:val="0"/>
          <w:sz w:val="32"/>
          <w:szCs w:val="32"/>
          <w:shd w:val="clear" w:color="auto" w:fill="FFFFFF"/>
        </w:rPr>
        <w:t>）</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对列入严重违法失信名单的企业予以公布；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（七）</w:t>
      </w:r>
      <w:r>
        <w:rPr>
          <w:rFonts w:hint="eastAsia" w:ascii="Times New Roman" w:hAnsi="Times New Roman" w:eastAsia="仿宋_GB2312" w:cs="CESI仿宋-GB13000"/>
          <w:b w:val="0"/>
          <w:bCs w:val="0"/>
          <w:i w:val="0"/>
          <w:iCs w:val="0"/>
          <w:caps w:val="0"/>
          <w:color w:val="000000"/>
          <w:spacing w:val="0"/>
          <w:sz w:val="32"/>
          <w:szCs w:val="32"/>
          <w:shd w:val="clear" w:color="auto" w:fill="FFFFFF"/>
        </w:rPr>
        <w:t>法律、行政法规和党中央、国务院政策文件规定的其他管理措施。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Style w:val="8"/>
          <w:rFonts w:hint="eastAsia" w:ascii="Times New Roman" w:hAnsi="Times New Roman" w:eastAsia="仿宋_GB2312" w:cs="CESI仿宋-GB13000"/>
          <w:b/>
          <w:bCs/>
          <w:i w:val="0"/>
          <w:iCs w:val="0"/>
          <w:caps w:val="0"/>
          <w:color w:val="000000"/>
          <w:spacing w:val="0"/>
          <w:sz w:val="32"/>
          <w:szCs w:val="32"/>
          <w:shd w:val="clear" w:color="auto" w:fill="FFFFFF"/>
        </w:rPr>
      </w:pPr>
    </w:p>
    <w:p>
      <w:pPr>
        <w:keepNext w:val="0"/>
        <w:keepLines w:val="0"/>
        <w:pageBreakBefore w:val="0"/>
        <w:widowControl w:val="0"/>
        <w:kinsoku/>
        <w:wordWrap w:val="0"/>
        <w:overflowPunct/>
        <w:topLinePunct w:val="0"/>
        <w:autoSpaceDE/>
        <w:autoSpaceDN/>
        <w:bidi w:val="0"/>
        <w:adjustRightInd/>
        <w:snapToGrid/>
        <w:spacing w:after="0" w:afterLines="80" w:line="560" w:lineRule="exact"/>
        <w:jc w:val="center"/>
        <w:textAlignment w:val="baseline"/>
        <w:rPr>
          <w:rFonts w:hint="eastAsia" w:ascii="Times New Roman" w:hAnsi="Times New Roman" w:eastAsia="黑体" w:cs="黑体"/>
          <w:color w:val="000000"/>
          <w:spacing w:val="0"/>
          <w:w w:val="100"/>
          <w:sz w:val="32"/>
          <w:szCs w:val="32"/>
        </w:rPr>
      </w:pPr>
      <w:r>
        <w:rPr>
          <w:rFonts w:hint="eastAsia" w:ascii="Times New Roman" w:hAnsi="Times New Roman" w:eastAsia="黑体" w:cs="黑体"/>
          <w:color w:val="000000"/>
          <w:spacing w:val="0"/>
          <w:w w:val="100"/>
          <w:sz w:val="32"/>
          <w:szCs w:val="32"/>
        </w:rPr>
        <w:t>第六章</w:t>
      </w:r>
      <w:r>
        <w:rPr>
          <w:rFonts w:hint="eastAsia" w:ascii="Times New Roman" w:hAnsi="Times New Roman" w:eastAsia="黑体" w:cs="黑体"/>
          <w:color w:val="000000"/>
          <w:spacing w:val="0"/>
          <w:w w:val="100"/>
          <w:sz w:val="32"/>
          <w:szCs w:val="32"/>
          <w:lang w:val="en-US" w:eastAsia="zh-CN"/>
        </w:rPr>
        <w:t xml:space="preserve">  </w:t>
      </w:r>
      <w:r>
        <w:rPr>
          <w:rFonts w:hint="eastAsia" w:ascii="Times New Roman" w:hAnsi="Times New Roman" w:eastAsia="黑体" w:cs="黑体"/>
          <w:color w:val="000000"/>
          <w:spacing w:val="0"/>
          <w:w w:val="100"/>
          <w:sz w:val="32"/>
          <w:szCs w:val="32"/>
        </w:rPr>
        <w:t>药品安全信用评价异议处理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bCs/>
          <w:color w:val="000000"/>
          <w:sz w:val="32"/>
          <w:szCs w:val="32"/>
          <w:vertAlign w:val="baseline"/>
        </w:rPr>
        <w:t>第</w:t>
      </w:r>
      <w:r>
        <w:rPr>
          <w:rFonts w:hint="eastAsia" w:ascii="Times New Roman" w:hAnsi="Times New Roman" w:eastAsia="仿宋_GB2312" w:cs="CESI仿宋-GB13000"/>
          <w:b/>
          <w:bCs/>
          <w:color w:val="000000"/>
          <w:sz w:val="32"/>
          <w:szCs w:val="32"/>
          <w:vertAlign w:val="baseline"/>
          <w:lang w:eastAsia="zh-CN"/>
        </w:rPr>
        <w:t>二十八</w:t>
      </w:r>
      <w:r>
        <w:rPr>
          <w:rFonts w:hint="eastAsia" w:ascii="Times New Roman" w:hAnsi="Times New Roman" w:eastAsia="仿宋_GB2312" w:cs="CESI仿宋-GB13000"/>
          <w:b/>
          <w:bCs/>
          <w:color w:val="000000"/>
          <w:sz w:val="32"/>
          <w:szCs w:val="32"/>
          <w:vertAlign w:val="baseline"/>
        </w:rPr>
        <w:t>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b w:val="0"/>
          <w:bCs w:val="0"/>
          <w:i w:val="0"/>
          <w:iCs w:val="0"/>
          <w:caps w:val="0"/>
          <w:color w:val="000000"/>
          <w:spacing w:val="0"/>
          <w:sz w:val="32"/>
          <w:szCs w:val="32"/>
          <w:shd w:val="clear" w:color="auto" w:fill="FFFFFF"/>
        </w:rPr>
        <w:t>药品生产</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经营</w:t>
      </w:r>
      <w:r>
        <w:rPr>
          <w:rFonts w:hint="eastAsia" w:ascii="Times New Roman" w:hAnsi="Times New Roman" w:eastAsia="仿宋_GB2312" w:cs="CESI仿宋-GB13000"/>
          <w:b w:val="0"/>
          <w:bCs w:val="0"/>
          <w:i w:val="0"/>
          <w:iCs w:val="0"/>
          <w:caps w:val="0"/>
          <w:color w:val="000000"/>
          <w:spacing w:val="0"/>
          <w:sz w:val="32"/>
          <w:szCs w:val="32"/>
          <w:shd w:val="clear" w:color="auto" w:fill="FFFFFF"/>
        </w:rPr>
        <w:t>企业对药品安全信用信息和评价结果有异议的，可向信用信息相应的采集部门或作出评价决定的单位提出复核申请，并上传相关证明资料。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bCs/>
          <w:color w:val="000000"/>
          <w:sz w:val="32"/>
          <w:szCs w:val="32"/>
          <w:vertAlign w:val="baseline"/>
        </w:rPr>
        <w:t>第</w:t>
      </w:r>
      <w:r>
        <w:rPr>
          <w:rFonts w:hint="eastAsia" w:ascii="Times New Roman" w:hAnsi="Times New Roman" w:eastAsia="仿宋_GB2312" w:cs="CESI仿宋-GB13000"/>
          <w:b/>
          <w:bCs/>
          <w:color w:val="000000"/>
          <w:sz w:val="32"/>
          <w:szCs w:val="32"/>
          <w:vertAlign w:val="baseline"/>
          <w:lang w:eastAsia="zh-CN"/>
        </w:rPr>
        <w:t>二</w:t>
      </w:r>
      <w:r>
        <w:rPr>
          <w:rFonts w:hint="eastAsia" w:ascii="Times New Roman" w:hAnsi="Times New Roman" w:eastAsia="仿宋_GB2312" w:cs="CESI仿宋-GB13000"/>
          <w:b/>
          <w:bCs/>
          <w:color w:val="000000"/>
          <w:sz w:val="32"/>
          <w:szCs w:val="32"/>
          <w:vertAlign w:val="baseline"/>
        </w:rPr>
        <w:t>十</w:t>
      </w:r>
      <w:r>
        <w:rPr>
          <w:rFonts w:hint="eastAsia" w:ascii="Times New Roman" w:hAnsi="Times New Roman" w:eastAsia="仿宋_GB2312" w:cs="CESI仿宋-GB13000"/>
          <w:b/>
          <w:bCs/>
          <w:color w:val="000000"/>
          <w:sz w:val="32"/>
          <w:szCs w:val="32"/>
          <w:vertAlign w:val="baseline"/>
          <w:lang w:eastAsia="zh-CN"/>
        </w:rPr>
        <w:t>九</w:t>
      </w:r>
      <w:r>
        <w:rPr>
          <w:rFonts w:hint="eastAsia" w:ascii="Times New Roman" w:hAnsi="Times New Roman" w:eastAsia="仿宋_GB2312" w:cs="CESI仿宋-GB13000"/>
          <w:b/>
          <w:bCs/>
          <w:color w:val="000000"/>
          <w:sz w:val="32"/>
          <w:szCs w:val="32"/>
          <w:vertAlign w:val="baseline"/>
        </w:rPr>
        <w:t>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药品安全信用</w:t>
      </w:r>
      <w:r>
        <w:rPr>
          <w:rFonts w:hint="eastAsia" w:ascii="Times New Roman" w:hAnsi="Times New Roman" w:eastAsia="仿宋_GB2312" w:cs="CESI仿宋-GB13000"/>
          <w:b w:val="0"/>
          <w:bCs w:val="0"/>
          <w:i w:val="0"/>
          <w:iCs w:val="0"/>
          <w:caps w:val="0"/>
          <w:color w:val="000000"/>
          <w:spacing w:val="0"/>
          <w:sz w:val="32"/>
          <w:szCs w:val="32"/>
          <w:shd w:val="clear" w:color="auto" w:fill="FFFFFF"/>
        </w:rPr>
        <w:t>信息相应的采集部门或作出评价决定的单位应在收到药品生产</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经营</w:t>
      </w:r>
      <w:r>
        <w:rPr>
          <w:rFonts w:hint="eastAsia" w:ascii="Times New Roman" w:hAnsi="Times New Roman" w:eastAsia="仿宋_GB2312" w:cs="CESI仿宋-GB13000"/>
          <w:b w:val="0"/>
          <w:bCs w:val="0"/>
          <w:i w:val="0"/>
          <w:iCs w:val="0"/>
          <w:caps w:val="0"/>
          <w:color w:val="000000"/>
          <w:spacing w:val="0"/>
          <w:sz w:val="32"/>
          <w:szCs w:val="32"/>
          <w:shd w:val="clear" w:color="auto" w:fill="FFFFFF"/>
        </w:rPr>
        <w:t>企业异议复核申请之日起</w:t>
      </w:r>
      <w:r>
        <w:rPr>
          <w:rFonts w:hint="eastAsia" w:ascii="Times New Roman" w:hAnsi="Times New Roman" w:eastAsia="仿宋_GB2312" w:cs="CESI仿宋-GB13000"/>
          <w:b w:val="0"/>
          <w:bCs w:val="0"/>
          <w:i w:val="0"/>
          <w:iCs w:val="0"/>
          <w:caps w:val="0"/>
          <w:color w:val="000000"/>
          <w:spacing w:val="0"/>
          <w:sz w:val="32"/>
          <w:szCs w:val="32"/>
          <w:shd w:val="clear" w:color="auto" w:fill="FFFFFF"/>
          <w:lang w:val="en-US" w:eastAsia="zh-CN"/>
        </w:rPr>
        <w:t>5</w:t>
      </w:r>
      <w:r>
        <w:rPr>
          <w:rFonts w:hint="eastAsia" w:ascii="Times New Roman" w:hAnsi="Times New Roman" w:eastAsia="仿宋_GB2312" w:cs="CESI仿宋-GB13000"/>
          <w:b w:val="0"/>
          <w:bCs w:val="0"/>
          <w:i w:val="0"/>
          <w:iCs w:val="0"/>
          <w:caps w:val="0"/>
          <w:color w:val="000000"/>
          <w:spacing w:val="0"/>
          <w:sz w:val="32"/>
          <w:szCs w:val="32"/>
          <w:shd w:val="clear" w:color="auto" w:fill="FFFFFF"/>
        </w:rPr>
        <w:t>个工作日内进行核查，异议信息经核查属实的，及时予以更正。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p>
    <w:p>
      <w:pPr>
        <w:keepNext w:val="0"/>
        <w:keepLines w:val="0"/>
        <w:pageBreakBefore w:val="0"/>
        <w:widowControl w:val="0"/>
        <w:kinsoku/>
        <w:wordWrap w:val="0"/>
        <w:overflowPunct/>
        <w:topLinePunct w:val="0"/>
        <w:autoSpaceDE/>
        <w:autoSpaceDN/>
        <w:bidi w:val="0"/>
        <w:adjustRightInd/>
        <w:snapToGrid/>
        <w:spacing w:after="0" w:afterLines="80" w:line="560" w:lineRule="exact"/>
        <w:jc w:val="center"/>
        <w:textAlignment w:val="baseline"/>
        <w:rPr>
          <w:rFonts w:hint="eastAsia" w:ascii="Times New Roman" w:hAnsi="Times New Roman" w:eastAsia="黑体" w:cs="黑体"/>
          <w:color w:val="000000"/>
          <w:spacing w:val="0"/>
          <w:w w:val="100"/>
          <w:sz w:val="32"/>
          <w:szCs w:val="32"/>
          <w:lang w:eastAsia="zh-CN"/>
        </w:rPr>
      </w:pPr>
      <w:r>
        <w:rPr>
          <w:rFonts w:hint="eastAsia" w:ascii="Times New Roman" w:hAnsi="Times New Roman" w:eastAsia="黑体" w:cs="黑体"/>
          <w:color w:val="000000"/>
          <w:spacing w:val="0"/>
          <w:w w:val="100"/>
          <w:sz w:val="32"/>
          <w:szCs w:val="32"/>
        </w:rPr>
        <w:t>第七章</w:t>
      </w:r>
      <w:r>
        <w:rPr>
          <w:rFonts w:hint="eastAsia" w:ascii="Times New Roman" w:hAnsi="Times New Roman" w:eastAsia="黑体" w:cs="黑体"/>
          <w:color w:val="000000"/>
          <w:spacing w:val="0"/>
          <w:w w:val="100"/>
          <w:sz w:val="32"/>
          <w:szCs w:val="32"/>
          <w:lang w:val="en-US" w:eastAsia="zh-CN"/>
        </w:rPr>
        <w:t xml:space="preserve">  </w:t>
      </w:r>
      <w:r>
        <w:rPr>
          <w:rFonts w:hint="eastAsia" w:ascii="Times New Roman" w:hAnsi="Times New Roman" w:eastAsia="黑体" w:cs="黑体"/>
          <w:color w:val="000000"/>
          <w:spacing w:val="0"/>
          <w:w w:val="100"/>
          <w:sz w:val="32"/>
          <w:szCs w:val="32"/>
          <w:lang w:eastAsia="zh-CN"/>
        </w:rPr>
        <w:t>其他规定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b w:val="0"/>
          <w:bCs w:val="0"/>
          <w:i w:val="0"/>
          <w:iCs w:val="0"/>
          <w:caps w:val="0"/>
          <w:color w:val="000000"/>
          <w:spacing w:val="-6"/>
          <w:sz w:val="32"/>
          <w:szCs w:val="32"/>
          <w:shd w:val="clear" w:color="auto" w:fill="FFFFFF"/>
          <w:lang w:eastAsia="zh-CN"/>
        </w:rPr>
      </w:pPr>
      <w:r>
        <w:rPr>
          <w:rFonts w:hint="eastAsia" w:ascii="Times New Roman" w:hAnsi="Times New Roman" w:eastAsia="仿宋_GB2312" w:cs="CESI仿宋-GB13000"/>
          <w:b/>
          <w:bCs/>
          <w:color w:val="000000"/>
          <w:sz w:val="32"/>
          <w:szCs w:val="32"/>
          <w:vertAlign w:val="baseline"/>
        </w:rPr>
        <w:t>第三十条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b w:val="0"/>
          <w:bCs w:val="0"/>
          <w:i w:val="0"/>
          <w:iCs w:val="0"/>
          <w:caps w:val="0"/>
          <w:color w:val="000000"/>
          <w:spacing w:val="0"/>
          <w:sz w:val="32"/>
          <w:szCs w:val="32"/>
          <w:shd w:val="clear" w:color="auto" w:fill="FFFFFF"/>
          <w:lang w:eastAsia="zh-CN"/>
        </w:rPr>
        <w:t>各级药品监督管理部门应加强药品安全信用信息安全防护，推进信用信息安全基础设施和安全防护能力建设；建立健全安全管理、查询使用、应急处理等制度机</w:t>
      </w:r>
      <w:r>
        <w:rPr>
          <w:rFonts w:hint="eastAsia" w:ascii="Times New Roman" w:hAnsi="Times New Roman" w:eastAsia="仿宋_GB2312" w:cs="CESI仿宋-GB13000"/>
          <w:b w:val="0"/>
          <w:bCs w:val="0"/>
          <w:i w:val="0"/>
          <w:iCs w:val="0"/>
          <w:caps w:val="0"/>
          <w:color w:val="000000"/>
          <w:spacing w:val="-6"/>
          <w:sz w:val="32"/>
          <w:szCs w:val="32"/>
          <w:shd w:val="clear" w:color="auto" w:fill="FFFFFF"/>
          <w:lang w:eastAsia="zh-CN"/>
        </w:rPr>
        <w:t>制，保障药品安全信用信息在信用评价和评价结果应用中的安全。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color w:val="000000"/>
          <w:sz w:val="32"/>
          <w:szCs w:val="32"/>
        </w:rPr>
      </w:pPr>
      <w:r>
        <w:rPr>
          <w:rFonts w:hint="eastAsia" w:ascii="Times New Roman" w:hAnsi="Times New Roman" w:eastAsia="仿宋_GB2312" w:cs="CESI仿宋-GB13000"/>
          <w:b/>
          <w:bCs/>
          <w:color w:val="000000"/>
          <w:sz w:val="32"/>
          <w:szCs w:val="32"/>
          <w:vertAlign w:val="baseline"/>
          <w:lang w:eastAsia="zh-CN"/>
        </w:rPr>
        <w:t>第三十一条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color w:val="000000"/>
          <w:spacing w:val="13"/>
          <w:sz w:val="32"/>
          <w:szCs w:val="32"/>
        </w:rPr>
        <w:t>各</w:t>
      </w:r>
      <w:r>
        <w:rPr>
          <w:rFonts w:hint="eastAsia" w:ascii="Times New Roman" w:hAnsi="Times New Roman" w:eastAsia="仿宋_GB2312" w:cs="CESI仿宋-GB13000"/>
          <w:color w:val="000000"/>
          <w:spacing w:val="13"/>
          <w:sz w:val="32"/>
          <w:szCs w:val="32"/>
          <w:lang w:eastAsia="zh-CN"/>
        </w:rPr>
        <w:t>级药品监督管理</w:t>
      </w:r>
      <w:r>
        <w:rPr>
          <w:rFonts w:hint="eastAsia" w:ascii="Times New Roman" w:hAnsi="Times New Roman" w:eastAsia="仿宋_GB2312" w:cs="CESI仿宋-GB13000"/>
          <w:color w:val="000000"/>
          <w:spacing w:val="13"/>
          <w:sz w:val="32"/>
          <w:szCs w:val="32"/>
        </w:rPr>
        <w:t>部门</w:t>
      </w:r>
      <w:r>
        <w:rPr>
          <w:rFonts w:hint="eastAsia" w:ascii="Times New Roman" w:hAnsi="Times New Roman" w:eastAsia="仿宋_GB2312" w:cs="CESI仿宋-GB13000"/>
          <w:color w:val="000000"/>
          <w:spacing w:val="13"/>
          <w:sz w:val="32"/>
          <w:szCs w:val="32"/>
          <w:lang w:eastAsia="zh-CN"/>
        </w:rPr>
        <w:t>应</w:t>
      </w:r>
      <w:r>
        <w:rPr>
          <w:rFonts w:hint="eastAsia" w:ascii="Times New Roman" w:hAnsi="Times New Roman" w:eastAsia="仿宋_GB2312" w:cs="CESI仿宋-GB13000"/>
          <w:color w:val="000000"/>
          <w:spacing w:val="13"/>
          <w:sz w:val="32"/>
          <w:szCs w:val="32"/>
        </w:rPr>
        <w:t>建立信用评价和评价结果应用</w:t>
      </w:r>
      <w:r>
        <w:rPr>
          <w:rFonts w:hint="eastAsia" w:ascii="Times New Roman" w:hAnsi="Times New Roman" w:eastAsia="仿宋_GB2312" w:cs="CESI仿宋-GB13000"/>
          <w:color w:val="000000"/>
          <w:spacing w:val="15"/>
          <w:sz w:val="32"/>
          <w:szCs w:val="32"/>
        </w:rPr>
        <w:t>全流程管理体系，完善侵权责任追究机制，对利用工作之便篡</w:t>
      </w:r>
      <w:r>
        <w:rPr>
          <w:rFonts w:hint="eastAsia" w:ascii="Times New Roman" w:hAnsi="Times New Roman" w:eastAsia="仿宋_GB2312" w:cs="CESI仿宋-GB13000"/>
          <w:color w:val="000000"/>
          <w:spacing w:val="6"/>
          <w:sz w:val="32"/>
          <w:szCs w:val="32"/>
        </w:rPr>
        <w:t>改、虚构、删除、泄露相关信息，情节严重或造成不良后果的</w:t>
      </w:r>
      <w:r>
        <w:rPr>
          <w:rFonts w:hint="eastAsia" w:ascii="Times New Roman" w:hAnsi="Times New Roman" w:eastAsia="仿宋_GB2312" w:cs="CESI仿宋-GB13000"/>
          <w:color w:val="000000"/>
          <w:spacing w:val="6"/>
          <w:sz w:val="32"/>
          <w:szCs w:val="32"/>
          <w:lang w:eastAsia="zh-CN"/>
        </w:rPr>
        <w:t>，</w:t>
      </w:r>
      <w:r>
        <w:rPr>
          <w:rFonts w:hint="eastAsia" w:ascii="Times New Roman" w:hAnsi="Times New Roman" w:eastAsia="仿宋_GB2312" w:cs="CESI仿宋-GB13000"/>
          <w:color w:val="000000"/>
          <w:spacing w:val="15"/>
          <w:sz w:val="32"/>
          <w:szCs w:val="32"/>
        </w:rPr>
        <w:t>依法追究相关责任</w:t>
      </w:r>
      <w:r>
        <w:rPr>
          <w:rFonts w:hint="eastAsia" w:ascii="Times New Roman" w:hAnsi="Times New Roman" w:eastAsia="仿宋_GB2312" w:cs="CESI仿宋-GB13000"/>
          <w:color w:val="000000"/>
          <w:spacing w:val="15"/>
          <w:sz w:val="32"/>
          <w:szCs w:val="32"/>
          <w:lang w:eastAsia="zh-CN"/>
        </w:rPr>
        <w:t>；</w:t>
      </w:r>
      <w:r>
        <w:rPr>
          <w:rFonts w:hint="eastAsia" w:ascii="Times New Roman" w:hAnsi="Times New Roman" w:eastAsia="仿宋_GB2312" w:cs="CESI仿宋-GB13000"/>
          <w:color w:val="000000"/>
          <w:spacing w:val="15"/>
          <w:sz w:val="32"/>
          <w:szCs w:val="32"/>
        </w:rPr>
        <w:t>对存在弄虚作假、敷衍应付等问题，影响</w:t>
      </w:r>
      <w:r>
        <w:rPr>
          <w:rFonts w:hint="eastAsia" w:ascii="Times New Roman" w:hAnsi="Times New Roman" w:eastAsia="仿宋_GB2312" w:cs="CESI仿宋-GB13000"/>
          <w:color w:val="000000"/>
          <w:spacing w:val="6"/>
          <w:sz w:val="32"/>
          <w:szCs w:val="32"/>
        </w:rPr>
        <w:t>分级分类监管工作有效开展的，按照有关规定约谈相关责任人</w:t>
      </w:r>
      <w:r>
        <w:rPr>
          <w:rFonts w:hint="eastAsia" w:ascii="Times New Roman" w:hAnsi="Times New Roman" w:eastAsia="仿宋_GB2312" w:cs="CESI仿宋-GB13000"/>
          <w:color w:val="000000"/>
          <w:spacing w:val="6"/>
          <w:sz w:val="32"/>
          <w:szCs w:val="32"/>
          <w:lang w:eastAsia="zh-CN"/>
        </w:rPr>
        <w:t>，</w:t>
      </w:r>
      <w:r>
        <w:rPr>
          <w:rFonts w:hint="eastAsia" w:ascii="Times New Roman" w:hAnsi="Times New Roman" w:eastAsia="仿宋_GB2312" w:cs="CESI仿宋-GB13000"/>
          <w:color w:val="000000"/>
          <w:spacing w:val="5"/>
          <w:sz w:val="32"/>
          <w:szCs w:val="32"/>
        </w:rPr>
        <w:t>依法依规追究相关人员责任。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both"/>
        <w:textAlignment w:val="baseline"/>
        <w:rPr>
          <w:rFonts w:hint="eastAsia" w:ascii="Times New Roman" w:hAnsi="Times New Roman" w:eastAsia="仿宋_GB2312" w:cs="CESI仿宋-GB13000"/>
          <w:b w:val="0"/>
          <w:bCs w:val="0"/>
          <w:i w:val="0"/>
          <w:iCs w:val="0"/>
          <w:caps w:val="0"/>
          <w:color w:val="000000"/>
          <w:spacing w:val="0"/>
          <w:sz w:val="32"/>
          <w:szCs w:val="32"/>
          <w:shd w:val="clear" w:color="auto" w:fill="FFFFFF"/>
        </w:rPr>
      </w:pPr>
      <w:r>
        <w:rPr>
          <w:rFonts w:hint="eastAsia" w:ascii="Times New Roman" w:hAnsi="Times New Roman" w:eastAsia="仿宋_GB2312" w:cs="CESI仿宋-GB13000"/>
          <w:b/>
          <w:bCs/>
          <w:color w:val="000000"/>
          <w:sz w:val="32"/>
          <w:szCs w:val="32"/>
          <w:vertAlign w:val="baseline"/>
        </w:rPr>
        <w:t>第三十</w:t>
      </w:r>
      <w:r>
        <w:rPr>
          <w:rFonts w:hint="eastAsia" w:ascii="Times New Roman" w:hAnsi="Times New Roman" w:eastAsia="仿宋_GB2312" w:cs="CESI仿宋-GB13000"/>
          <w:b/>
          <w:bCs/>
          <w:color w:val="000000"/>
          <w:sz w:val="32"/>
          <w:szCs w:val="32"/>
          <w:vertAlign w:val="baseline"/>
          <w:lang w:eastAsia="zh-CN"/>
        </w:rPr>
        <w:t>二</w:t>
      </w:r>
      <w:r>
        <w:rPr>
          <w:rFonts w:hint="eastAsia" w:ascii="Times New Roman" w:hAnsi="Times New Roman" w:eastAsia="仿宋_GB2312" w:cs="CESI仿宋-GB13000"/>
          <w:b/>
          <w:bCs/>
          <w:color w:val="000000"/>
          <w:sz w:val="32"/>
          <w:szCs w:val="32"/>
          <w:vertAlign w:val="baseline"/>
        </w:rPr>
        <w:t>条</w:t>
      </w:r>
      <w:r>
        <w:rPr>
          <w:rFonts w:hint="eastAsia" w:ascii="Times New Roman" w:hAnsi="Times New Roman" w:eastAsia="仿宋_GB2312" w:cs="CESI仿宋-GB13000"/>
          <w:b/>
          <w:bCs/>
          <w:color w:val="000000"/>
          <w:sz w:val="32"/>
          <w:szCs w:val="32"/>
          <w:vertAlign w:val="baseline"/>
          <w:lang w:val="en-US" w:eastAsia="zh-CN"/>
        </w:rPr>
        <w:t xml:space="preserve"> </w:t>
      </w:r>
      <w:r>
        <w:rPr>
          <w:rFonts w:hint="eastAsia" w:ascii="Times New Roman" w:hAnsi="Times New Roman" w:eastAsia="仿宋_GB2312" w:cs="CESI仿宋-GB13000"/>
          <w:b w:val="0"/>
          <w:bCs w:val="0"/>
          <w:i w:val="0"/>
          <w:iCs w:val="0"/>
          <w:caps w:val="0"/>
          <w:color w:val="000000"/>
          <w:spacing w:val="0"/>
          <w:sz w:val="32"/>
          <w:szCs w:val="32"/>
          <w:shd w:val="clear" w:color="auto" w:fill="FFFFFF"/>
        </w:rPr>
        <w:t>本办法自</w:t>
      </w:r>
      <w:r>
        <w:rPr>
          <w:rFonts w:hint="eastAsia" w:ascii="Times New Roman" w:hAnsi="Times New Roman" w:eastAsia="仿宋_GB2312" w:cs="CESI仿宋-GB13000"/>
          <w:b w:val="0"/>
          <w:bCs w:val="0"/>
          <w:i w:val="0"/>
          <w:iCs w:val="0"/>
          <w:caps w:val="0"/>
          <w:color w:val="000000"/>
          <w:spacing w:val="0"/>
          <w:sz w:val="32"/>
          <w:szCs w:val="32"/>
          <w:shd w:val="clear" w:color="auto" w:fill="FFFFFF"/>
          <w:lang w:val="en-US" w:eastAsia="zh-CN"/>
        </w:rPr>
        <w:t>2025年1月1</w:t>
      </w:r>
      <w:r>
        <w:rPr>
          <w:rFonts w:hint="eastAsia" w:ascii="Times New Roman" w:hAnsi="Times New Roman" w:eastAsia="仿宋_GB2312" w:cs="CESI仿宋-GB13000"/>
          <w:b w:val="0"/>
          <w:bCs w:val="0"/>
          <w:i w:val="0"/>
          <w:iCs w:val="0"/>
          <w:caps w:val="0"/>
          <w:color w:val="000000"/>
          <w:spacing w:val="0"/>
          <w:sz w:val="32"/>
          <w:szCs w:val="32"/>
          <w:shd w:val="clear" w:color="auto" w:fill="FFFFFF"/>
        </w:rPr>
        <w:t>日施行</w:t>
      </w:r>
      <w:r>
        <w:rPr>
          <w:rFonts w:hint="eastAsia" w:ascii="Times New Roman" w:hAnsi="Times New Roman" w:eastAsia="仿宋_GB2312" w:cs="CESI仿宋-GB13000"/>
          <w:b w:val="0"/>
          <w:bCs w:val="0"/>
          <w:i w:val="0"/>
          <w:iCs w:val="0"/>
          <w:caps w:val="0"/>
          <w:color w:val="000000"/>
          <w:spacing w:val="0"/>
          <w:sz w:val="32"/>
          <w:szCs w:val="32"/>
          <w:shd w:val="clear" w:color="auto" w:fill="FFFFFF"/>
          <w:lang w:val="en-US" w:eastAsia="zh-CN"/>
        </w:rPr>
        <w:t>，有效期两年</w:t>
      </w:r>
      <w:r>
        <w:rPr>
          <w:rFonts w:hint="eastAsia" w:ascii="Times New Roman" w:hAnsi="Times New Roman" w:eastAsia="仿宋_GB2312" w:cs="CESI仿宋-GB13000"/>
          <w:b w:val="0"/>
          <w:bCs w:val="0"/>
          <w:i w:val="0"/>
          <w:iCs w:val="0"/>
          <w:caps w:val="0"/>
          <w:color w:val="000000"/>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8"/>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pPr>
      <w:r>
        <w:rPr>
          <w:rStyle w:val="8"/>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附件：1.</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《湖南省药品生产企业药品安全信用评价指标及评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1920" w:firstLineChars="600"/>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分标准（试行）》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1916" w:leftChars="760" w:right="0" w:rightChars="0" w:hanging="320" w:hangingChars="100"/>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pP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2.</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《湖南省药品批发企业（</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含</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零售连锁总部）药品安全信用评价指标及评分标准（试行）》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firstLine="1600" w:firstLineChars="500"/>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pP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3.</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《湖南省第二类和第三类医疗器械生产企业医疗器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firstLine="1920" w:firstLineChars="600"/>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械安全信用评价指标及评分标准（试行）》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firstLine="1600" w:firstLineChars="500"/>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pP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4.</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《湖南省化妆品生产企业化妆品安全信用评价指标</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firstLine="1920" w:firstLineChars="600"/>
        <w:textAlignment w:val="auto"/>
        <w:rPr>
          <w:rStyle w:val="8"/>
          <w:rFonts w:hint="eastAsia" w:ascii="Times New Roman" w:hAnsi="Times New Roman" w:eastAsia="CESI仿宋-GB13000" w:cs="CESI仿宋-GB13000"/>
          <w:b w:val="0"/>
          <w:bCs w:val="0"/>
          <w:i w:val="0"/>
          <w:iCs w:val="0"/>
          <w:caps w:val="0"/>
          <w:color w:val="000000"/>
          <w:spacing w:val="0"/>
          <w:sz w:val="30"/>
          <w:szCs w:val="30"/>
          <w:shd w:val="clear" w:color="auto"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及评分标准（试行）》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00" w:firstLineChars="200"/>
        <w:textAlignment w:val="auto"/>
        <w:rPr>
          <w:rStyle w:val="8"/>
          <w:rFonts w:hint="eastAsia" w:ascii="Times New Roman" w:hAnsi="Times New Roman" w:eastAsia="CESI仿宋-GB13000" w:cs="CESI仿宋-GB13000"/>
          <w:b w:val="0"/>
          <w:bCs w:val="0"/>
          <w:i w:val="0"/>
          <w:iCs w:val="0"/>
          <w:caps w:val="0"/>
          <w:color w:val="000000"/>
          <w:spacing w:val="0"/>
          <w:sz w:val="30"/>
          <w:szCs w:val="30"/>
          <w:shd w:val="clear" w:color="auto" w:fill="FFFFFF"/>
          <w:lang w:val="en-US" w:eastAsia="zh-CN"/>
        </w:rPr>
        <w:sectPr>
          <w:footerReference r:id="rId4" w:type="default"/>
          <w:pgSz w:w="11906" w:h="16838"/>
          <w:pgMar w:top="1587" w:right="1474" w:bottom="1474" w:left="1474" w:header="0" w:footer="907" w:gutter="0"/>
          <w:pgNumType w:fmt="numberInDash" w:start="2"/>
          <w:cols w:space="720" w:num="1"/>
          <w:rtlGutter w:val="0"/>
          <w:docGrid w:linePitch="1" w:charSpace="0"/>
        </w:sect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Times New Roman" w:hAnsi="Times New Roman" w:eastAsia="黑体" w:cs="黑体"/>
          <w:b w:val="0"/>
          <w:bCs w:val="0"/>
          <w:i w:val="0"/>
          <w:iCs w:val="0"/>
          <w:caps w:val="0"/>
          <w:color w:val="000000"/>
          <w:spacing w:val="0"/>
          <w:sz w:val="32"/>
          <w:szCs w:val="32"/>
          <w:shd w:val="clear" w:color="auto" w:fill="FFFFFF"/>
          <w:lang w:val="en-US" w:eastAsia="zh-CN"/>
        </w:rPr>
      </w:pPr>
      <w:r>
        <w:rPr>
          <w:rFonts w:hint="eastAsia" w:ascii="Times New Roman" w:hAnsi="Times New Roman" w:eastAsia="黑体" w:cs="黑体"/>
          <w:b w:val="0"/>
          <w:bCs w:val="0"/>
          <w:i w:val="0"/>
          <w:iCs w:val="0"/>
          <w:caps w:val="0"/>
          <w:color w:val="000000"/>
          <w:spacing w:val="0"/>
          <w:sz w:val="32"/>
          <w:szCs w:val="32"/>
          <w:shd w:val="clear" w:color="auto" w:fill="FFFFFF"/>
          <w:lang w:val="en-US" w:eastAsia="zh-CN"/>
        </w:rPr>
        <w:t>附件1</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Times New Roman" w:hAnsi="Times New Roman" w:eastAsia="方正小标宋_GBK" w:cs="方正小标宋_GBK"/>
          <w:b w:val="0"/>
          <w:bCs w:val="0"/>
          <w:i w:val="0"/>
          <w:iCs w:val="0"/>
          <w:caps w:val="0"/>
          <w:color w:val="000000"/>
          <w:spacing w:val="0"/>
          <w:sz w:val="44"/>
          <w:szCs w:val="44"/>
          <w:shd w:val="clear" w:color="auto"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小标宋_GBK" w:cs="方正小标宋_GBK"/>
          <w:b w:val="0"/>
          <w:bCs w:val="0"/>
          <w:i w:val="0"/>
          <w:iCs w:val="0"/>
          <w:caps w:val="0"/>
          <w:color w:val="000000"/>
          <w:spacing w:val="0"/>
          <w:sz w:val="44"/>
          <w:szCs w:val="44"/>
          <w:shd w:val="clear" w:color="auto" w:fill="FFFFFF"/>
          <w:lang w:val="en-US" w:eastAsia="zh-CN"/>
        </w:rPr>
      </w:pPr>
      <w:r>
        <w:rPr>
          <w:rFonts w:hint="eastAsia" w:ascii="Times New Roman" w:hAnsi="Times New Roman" w:eastAsia="方正小标宋_GBK" w:cs="方正小标宋_GBK"/>
          <w:b w:val="0"/>
          <w:bCs w:val="0"/>
          <w:i w:val="0"/>
          <w:iCs w:val="0"/>
          <w:caps w:val="0"/>
          <w:color w:val="000000"/>
          <w:spacing w:val="0"/>
          <w:sz w:val="44"/>
          <w:szCs w:val="44"/>
          <w:shd w:val="clear" w:color="auto" w:fill="FFFFFF"/>
          <w:lang w:val="en-US" w:eastAsia="zh-CN"/>
        </w:rPr>
        <w:t>湖南省药品生产企业药品安全信用评价指标及评分标准（试行）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小标宋_GBK" w:cs="方正小标宋_GBK"/>
          <w:b w:val="0"/>
          <w:bCs w:val="0"/>
          <w:i w:val="0"/>
          <w:iCs w:val="0"/>
          <w:caps w:val="0"/>
          <w:color w:val="000000"/>
          <w:spacing w:val="0"/>
          <w:sz w:val="44"/>
          <w:szCs w:val="44"/>
          <w:shd w:val="clear" w:color="auto" w:fill="FFFFFF"/>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28"/>
        <w:gridCol w:w="1692"/>
        <w:gridCol w:w="9020"/>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25" w:type="dxa"/>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黑体" w:cs="黑体"/>
                <w:b w:val="0"/>
                <w:bCs w:val="0"/>
                <w:i w:val="0"/>
                <w:iCs w:val="0"/>
                <w:snapToGrid w:val="0"/>
                <w:color w:val="000000"/>
                <w:kern w:val="0"/>
                <w:sz w:val="24"/>
                <w:szCs w:val="24"/>
                <w:u w:val="none"/>
                <w:lang w:val="en-US" w:eastAsia="zh-CN" w:bidi="ar"/>
              </w:rPr>
            </w:pPr>
          </w:p>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黑体" w:cs="黑体"/>
                <w:b w:val="0"/>
                <w:bCs w:val="0"/>
                <w:i w:val="0"/>
                <w:iCs w:val="0"/>
                <w:color w:val="000000"/>
                <w:sz w:val="24"/>
                <w:szCs w:val="24"/>
                <w:u w:val="none"/>
              </w:rPr>
            </w:pPr>
            <w:r>
              <w:rPr>
                <w:rFonts w:hint="eastAsia" w:ascii="Times New Roman" w:hAnsi="Times New Roman" w:eastAsia="黑体" w:cs="黑体"/>
                <w:b w:val="0"/>
                <w:bCs w:val="0"/>
                <w:i w:val="0"/>
                <w:iCs w:val="0"/>
                <w:snapToGrid w:val="0"/>
                <w:color w:val="000000"/>
                <w:kern w:val="0"/>
                <w:sz w:val="24"/>
                <w:szCs w:val="24"/>
                <w:u w:val="none"/>
                <w:lang w:val="en-US" w:eastAsia="zh-CN" w:bidi="ar"/>
              </w:rPr>
              <w:t>序号</w:t>
            </w:r>
          </w:p>
        </w:tc>
        <w:tc>
          <w:tcPr>
            <w:tcW w:w="2028" w:type="dxa"/>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黑体" w:cs="黑体"/>
                <w:b w:val="0"/>
                <w:bCs w:val="0"/>
                <w:i w:val="0"/>
                <w:iCs w:val="0"/>
                <w:color w:val="000000"/>
                <w:sz w:val="24"/>
                <w:szCs w:val="24"/>
                <w:u w:val="none"/>
              </w:rPr>
            </w:pPr>
            <w:r>
              <w:rPr>
                <w:rFonts w:hint="eastAsia" w:ascii="Times New Roman" w:hAnsi="Times New Roman" w:eastAsia="黑体" w:cs="黑体"/>
                <w:b w:val="0"/>
                <w:bCs w:val="0"/>
                <w:i w:val="0"/>
                <w:iCs w:val="0"/>
                <w:snapToGrid w:val="0"/>
                <w:color w:val="000000"/>
                <w:kern w:val="0"/>
                <w:sz w:val="24"/>
                <w:szCs w:val="24"/>
                <w:u w:val="none"/>
                <w:lang w:val="en-US" w:eastAsia="zh-CN" w:bidi="ar"/>
              </w:rPr>
              <w:t>一级指标</w:t>
            </w:r>
          </w:p>
        </w:tc>
        <w:tc>
          <w:tcPr>
            <w:tcW w:w="1692" w:type="dxa"/>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黑体" w:cs="黑体"/>
                <w:b w:val="0"/>
                <w:bCs w:val="0"/>
                <w:i w:val="0"/>
                <w:iCs w:val="0"/>
                <w:color w:val="000000"/>
                <w:sz w:val="24"/>
                <w:szCs w:val="24"/>
                <w:u w:val="none"/>
              </w:rPr>
            </w:pPr>
            <w:r>
              <w:rPr>
                <w:rFonts w:hint="eastAsia" w:ascii="Times New Roman" w:hAnsi="Times New Roman" w:eastAsia="黑体" w:cs="黑体"/>
                <w:b w:val="0"/>
                <w:bCs w:val="0"/>
                <w:i w:val="0"/>
                <w:iCs w:val="0"/>
                <w:snapToGrid w:val="0"/>
                <w:color w:val="000000"/>
                <w:kern w:val="0"/>
                <w:sz w:val="24"/>
                <w:szCs w:val="24"/>
                <w:u w:val="none"/>
                <w:lang w:val="en-US" w:eastAsia="zh-CN" w:bidi="ar"/>
              </w:rPr>
              <w:t>二级指标</w:t>
            </w:r>
          </w:p>
        </w:tc>
        <w:tc>
          <w:tcPr>
            <w:tcW w:w="9020" w:type="dxa"/>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黑体" w:cs="黑体"/>
                <w:b w:val="0"/>
                <w:bCs w:val="0"/>
                <w:i w:val="0"/>
                <w:iCs w:val="0"/>
                <w:color w:val="000000"/>
                <w:sz w:val="24"/>
                <w:szCs w:val="24"/>
                <w:u w:val="none"/>
              </w:rPr>
            </w:pPr>
            <w:r>
              <w:rPr>
                <w:rFonts w:hint="eastAsia" w:ascii="Times New Roman" w:hAnsi="Times New Roman" w:eastAsia="黑体" w:cs="黑体"/>
                <w:b w:val="0"/>
                <w:bCs w:val="0"/>
                <w:i w:val="0"/>
                <w:iCs w:val="0"/>
                <w:snapToGrid w:val="0"/>
                <w:color w:val="000000"/>
                <w:kern w:val="0"/>
                <w:sz w:val="24"/>
                <w:szCs w:val="24"/>
                <w:u w:val="none"/>
                <w:lang w:val="en-US" w:eastAsia="zh-CN" w:bidi="ar"/>
              </w:rPr>
              <w:t>评价指标</w:t>
            </w:r>
          </w:p>
        </w:tc>
        <w:tc>
          <w:tcPr>
            <w:tcW w:w="1015" w:type="dxa"/>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黑体" w:cs="黑体"/>
                <w:b w:val="0"/>
                <w:bCs w:val="0"/>
                <w:i w:val="0"/>
                <w:iCs w:val="0"/>
                <w:color w:val="000000"/>
                <w:sz w:val="24"/>
                <w:szCs w:val="24"/>
                <w:u w:val="none"/>
              </w:rPr>
            </w:pPr>
            <w:r>
              <w:rPr>
                <w:rFonts w:hint="eastAsia" w:ascii="Times New Roman" w:hAnsi="Times New Roman" w:eastAsia="黑体" w:cs="黑体"/>
                <w:b w:val="0"/>
                <w:bCs w:val="0"/>
                <w:i w:val="0"/>
                <w:iCs w:val="0"/>
                <w:snapToGrid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25" w:type="dxa"/>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1</w:t>
            </w:r>
          </w:p>
        </w:tc>
        <w:tc>
          <w:tcPr>
            <w:tcW w:w="2028"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一、遵纪守法</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（30分）</w:t>
            </w:r>
          </w:p>
        </w:tc>
        <w:tc>
          <w:tcPr>
            <w:tcW w:w="1692" w:type="dxa"/>
            <w:vMerge w:val="restart"/>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行政处罚</w:t>
            </w:r>
          </w:p>
        </w:tc>
        <w:tc>
          <w:tcPr>
            <w:tcW w:w="9020" w:type="dxa"/>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被警告的，-2分/次</w:t>
            </w:r>
          </w:p>
        </w:tc>
        <w:tc>
          <w:tcPr>
            <w:tcW w:w="1015" w:type="dxa"/>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2</w:t>
            </w:r>
          </w:p>
        </w:tc>
        <w:tc>
          <w:tcPr>
            <w:tcW w:w="2028" w:type="dxa"/>
            <w:vMerge w:val="continue"/>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vMerge w:val="continue"/>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9020" w:type="dxa"/>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被罚款、没收违法所得、没收非法财物的，-10分/次</w:t>
            </w:r>
          </w:p>
        </w:tc>
        <w:tc>
          <w:tcPr>
            <w:tcW w:w="1015" w:type="dxa"/>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25" w:type="dxa"/>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3</w:t>
            </w:r>
          </w:p>
        </w:tc>
        <w:tc>
          <w:tcPr>
            <w:tcW w:w="2028" w:type="dxa"/>
            <w:vMerge w:val="continue"/>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vMerge w:val="continue"/>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9020" w:type="dxa"/>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被处以警告、罚款、没收违法所得、没收非法财物之外其他行政处罚的，-20分/次（其中适用严重违法失信名单或者被刑事处罚的，直接评定为D级）</w:t>
            </w:r>
          </w:p>
        </w:tc>
        <w:tc>
          <w:tcPr>
            <w:tcW w:w="1015" w:type="dxa"/>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5" w:type="dxa"/>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4</w:t>
            </w:r>
          </w:p>
        </w:tc>
        <w:tc>
          <w:tcPr>
            <w:tcW w:w="2028" w:type="dxa"/>
            <w:vMerge w:val="continue"/>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vMerge w:val="restart"/>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行政处理</w:t>
            </w:r>
          </w:p>
        </w:tc>
        <w:tc>
          <w:tcPr>
            <w:tcW w:w="9020" w:type="dxa"/>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eastAsia="zh-CN"/>
              </w:rPr>
              <w:t>因违反相关法律法规受到监管部门责令限期整改的（不包括日常监管的责令改正），</w:t>
            </w:r>
            <w:r>
              <w:rPr>
                <w:rFonts w:hint="eastAsia" w:ascii="Times New Roman" w:hAnsi="Times New Roman" w:eastAsia="仿宋_GB2312" w:cs="仿宋_GB2312"/>
                <w:i w:val="0"/>
                <w:iCs w:val="0"/>
                <w:color w:val="000000"/>
                <w:sz w:val="24"/>
                <w:szCs w:val="24"/>
                <w:u w:val="none"/>
                <w:lang w:val="en-US" w:eastAsia="zh-CN"/>
              </w:rPr>
              <w:t>-2分/次</w:t>
            </w:r>
          </w:p>
        </w:tc>
        <w:tc>
          <w:tcPr>
            <w:tcW w:w="1015" w:type="dxa"/>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25" w:type="dxa"/>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5</w:t>
            </w:r>
          </w:p>
        </w:tc>
        <w:tc>
          <w:tcPr>
            <w:tcW w:w="2028" w:type="dxa"/>
            <w:vMerge w:val="continue"/>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vMerge w:val="continue"/>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9020" w:type="dxa"/>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因药品存在质量问题或其他安全隐患，企业法定代表人、主要负责人受到监管部门约谈、告诫的，-5分/次</w:t>
            </w:r>
          </w:p>
        </w:tc>
        <w:tc>
          <w:tcPr>
            <w:tcW w:w="1015" w:type="dxa"/>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6</w:t>
            </w:r>
          </w:p>
        </w:tc>
        <w:tc>
          <w:tcPr>
            <w:tcW w:w="2028" w:type="dxa"/>
            <w:vMerge w:val="continue"/>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vMerge w:val="continue"/>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9020" w:type="dxa"/>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因药品存在质量问题或其他安全隐患，受到监管部门暂停生产、销售的，-10分/次</w:t>
            </w:r>
          </w:p>
        </w:tc>
        <w:tc>
          <w:tcPr>
            <w:tcW w:w="1015" w:type="dxa"/>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5" w:type="dxa"/>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7</w:t>
            </w:r>
          </w:p>
        </w:tc>
        <w:tc>
          <w:tcPr>
            <w:tcW w:w="2028"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二、主体责任落实</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（25分）</w:t>
            </w:r>
          </w:p>
        </w:tc>
        <w:tc>
          <w:tcPr>
            <w:tcW w:w="1692" w:type="dxa"/>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许可备案报告事项管理</w:t>
            </w:r>
          </w:p>
        </w:tc>
        <w:tc>
          <w:tcPr>
            <w:tcW w:w="9020" w:type="dxa"/>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在各类许可、备案或其他报告事项办理中，经认定为提供虚假资料的，（否决项，直接评定为D级）</w:t>
            </w:r>
          </w:p>
        </w:tc>
        <w:tc>
          <w:tcPr>
            <w:tcW w:w="1015" w:type="dxa"/>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25" w:type="dxa"/>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8</w:t>
            </w:r>
          </w:p>
        </w:tc>
        <w:tc>
          <w:tcPr>
            <w:tcW w:w="2028" w:type="dxa"/>
            <w:vMerge w:val="continue"/>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vMerge w:val="restart"/>
            <w:noWrap w:val="0"/>
            <w:vAlign w:val="center"/>
          </w:tcPr>
          <w:p>
            <w:pPr>
              <w:keepNext w:val="0"/>
              <w:keepLines w:val="0"/>
              <w:pageBreakBefore w:val="0"/>
              <w:widowControl/>
              <w:tabs>
                <w:tab w:val="left" w:pos="454"/>
              </w:tabs>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lang w:eastAsia="zh-CN"/>
              </w:rPr>
            </w:pPr>
            <w:r>
              <w:rPr>
                <w:rFonts w:hint="eastAsia" w:ascii="Times New Roman" w:hAnsi="Times New Roman" w:eastAsia="仿宋_GB2312" w:cs="仿宋_GB2312"/>
                <w:i w:val="0"/>
                <w:iCs w:val="0"/>
                <w:snapToGrid w:val="0"/>
                <w:color w:val="000000"/>
                <w:kern w:val="0"/>
                <w:sz w:val="24"/>
                <w:szCs w:val="24"/>
                <w:u w:val="none"/>
                <w:lang w:val="en-US" w:eastAsia="zh-CN" w:bidi="ar"/>
              </w:rPr>
              <w:t>信息报告</w:t>
            </w:r>
          </w:p>
        </w:tc>
        <w:tc>
          <w:tcPr>
            <w:tcW w:w="9020" w:type="dxa"/>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未及时上报药品生产质量年度报告的，-5分/次</w:t>
            </w:r>
          </w:p>
        </w:tc>
        <w:tc>
          <w:tcPr>
            <w:tcW w:w="1015" w:type="dxa"/>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5" w:type="dxa"/>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9</w:t>
            </w:r>
          </w:p>
        </w:tc>
        <w:tc>
          <w:tcPr>
            <w:tcW w:w="2028" w:type="dxa"/>
            <w:vMerge w:val="continue"/>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vMerge w:val="continue"/>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9020" w:type="dxa"/>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其他法律法规及文件规定应报未报的情形，-2分/次</w:t>
            </w:r>
          </w:p>
        </w:tc>
        <w:tc>
          <w:tcPr>
            <w:tcW w:w="1015" w:type="dxa"/>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10</w:t>
            </w:r>
          </w:p>
        </w:tc>
        <w:tc>
          <w:tcPr>
            <w:tcW w:w="202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二、主体责任落实</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（25分）</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风险管控</w:t>
            </w: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对已识别的风险未采取有效的风险控制措施，造成严重影响的，-7分/次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11</w:t>
            </w:r>
          </w:p>
        </w:tc>
        <w:tc>
          <w:tcPr>
            <w:tcW w:w="2028"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质量事故</w:t>
            </w: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发生药品质量安全事故，未造成人员死亡的，-10分/次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12</w:t>
            </w:r>
          </w:p>
        </w:tc>
        <w:tc>
          <w:tcPr>
            <w:tcW w:w="2028"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质量事件</w:t>
            </w: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发生药品质量安全事件，造成人员死亡的，（否决项，直接定性为D类）</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13</w:t>
            </w:r>
          </w:p>
        </w:tc>
        <w:tc>
          <w:tcPr>
            <w:tcW w:w="2028"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质量抽检</w:t>
            </w: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国抽、省抽等监督抽检中，存在产品不合格情况的，-5分/批次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14</w:t>
            </w:r>
          </w:p>
        </w:tc>
        <w:tc>
          <w:tcPr>
            <w:tcW w:w="2028"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药品召回</w:t>
            </w: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被各级药品监督管理部门责令召回药品的，-8分/次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15</w:t>
            </w:r>
          </w:p>
        </w:tc>
        <w:tc>
          <w:tcPr>
            <w:tcW w:w="2028"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药物警戒</w:t>
            </w: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药品上市许可持有人存在瞒报、漏报药品不良反应情况的；对疑似药品不良反应死亡病例、聚集性药品不良事件等未进行质量关联度分析并报告的，-5分/次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16</w:t>
            </w:r>
          </w:p>
        </w:tc>
        <w:tc>
          <w:tcPr>
            <w:tcW w:w="202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其他情形</w:t>
            </w: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存在其他上市药品质量问题的情形，-5分/次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17</w:t>
            </w:r>
          </w:p>
        </w:tc>
        <w:tc>
          <w:tcPr>
            <w:tcW w:w="20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三、监督管理</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（25分）</w:t>
            </w:r>
          </w:p>
        </w:tc>
        <w:tc>
          <w:tcPr>
            <w:tcW w:w="16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监督检查</w:t>
            </w: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在各级药品监督管理部门组织的各类检查中存在严重缺陷的，-10分/条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18</w:t>
            </w:r>
          </w:p>
        </w:tc>
        <w:tc>
          <w:tcPr>
            <w:tcW w:w="20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在各级各类监督检查中，存在主要缺陷的，-1分/条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19</w:t>
            </w:r>
          </w:p>
        </w:tc>
        <w:tc>
          <w:tcPr>
            <w:tcW w:w="20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在药品监督管理部门组织的各类检查中，其检查结论为不通过的，-10分/次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20</w:t>
            </w:r>
          </w:p>
        </w:tc>
        <w:tc>
          <w:tcPr>
            <w:tcW w:w="20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spacing w:val="-6"/>
                <w:kern w:val="0"/>
                <w:sz w:val="24"/>
                <w:szCs w:val="24"/>
                <w:u w:val="none"/>
                <w:lang w:val="en-US" w:eastAsia="zh-CN" w:bidi="ar"/>
              </w:rPr>
              <w:t>在各级药品监督管理部门检查中被发现上次检查存在缺陷整改不到位情况的，-5分/次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21</w:t>
            </w:r>
          </w:p>
        </w:tc>
        <w:tc>
          <w:tcPr>
            <w:tcW w:w="20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其他情形</w:t>
            </w: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监督检查发现的其他影响药品质量安全问题的情形，-5分/次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22</w:t>
            </w:r>
          </w:p>
        </w:tc>
        <w:tc>
          <w:tcPr>
            <w:tcW w:w="202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四、社会责任</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（10分）</w:t>
            </w:r>
          </w:p>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投诉举报</w:t>
            </w: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存在与产品质量的投诉举报被查实立案的，-3分/次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23</w:t>
            </w:r>
          </w:p>
        </w:tc>
        <w:tc>
          <w:tcPr>
            <w:tcW w:w="2028"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社会舆情</w:t>
            </w: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因产品质量原因引发社会舆情，被媒体曝光，造成社会不良影响的，-5分/次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24</w:t>
            </w:r>
          </w:p>
        </w:tc>
        <w:tc>
          <w:tcPr>
            <w:tcW w:w="2028"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公共信用</w:t>
            </w: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企业被其他行政管理部门列入严重违法失信名单的，-10分/次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25</w:t>
            </w:r>
          </w:p>
        </w:tc>
        <w:tc>
          <w:tcPr>
            <w:tcW w:w="202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其他情形</w:t>
            </w: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存在其他造成社会不良影响的情形，被省级以上媒体曝光的，-5分/次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26</w:t>
            </w:r>
          </w:p>
        </w:tc>
        <w:tc>
          <w:tcPr>
            <w:tcW w:w="20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五、正向激励</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（10分）</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信息化建设</w:t>
            </w: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企业主动开展智能化生产建设并建成投入运行，数据真实、及时、完整的，+5分/年</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27</w:t>
            </w:r>
          </w:p>
        </w:tc>
        <w:tc>
          <w:tcPr>
            <w:tcW w:w="20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新药创制</w:t>
            </w: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取得国家创新药或改良型新药注册批件的，+3分/个</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28</w:t>
            </w:r>
          </w:p>
        </w:tc>
        <w:tc>
          <w:tcPr>
            <w:tcW w:w="20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列入国家重大新药创制项目的，+2分/个</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29</w:t>
            </w:r>
          </w:p>
        </w:tc>
        <w:tc>
          <w:tcPr>
            <w:tcW w:w="20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荣誉奖励</w:t>
            </w:r>
          </w:p>
        </w:tc>
        <w:tc>
          <w:tcPr>
            <w:tcW w:w="9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企业取得省级及以上人民政府或国家部委颁发的荣誉奖励的，如工程技术研究中心，国家、省两级颁布的重点实验室，(国家级、省级、市级分别+6、+4、+2分/个)</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1458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备注：1.各项二级指标的加减总分超出其相应的一级指标权重分值的，加减总分以其所属一级指标分值为上限；</w:t>
            </w:r>
            <w:r>
              <w:rPr>
                <w:rFonts w:hint="eastAsia" w:ascii="Times New Roman" w:hAnsi="Times New Roman" w:eastAsia="仿宋_GB2312" w:cs="仿宋_GB2312"/>
                <w:i w:val="0"/>
                <w:iCs w:val="0"/>
                <w:snapToGrid w:val="0"/>
                <w:color w:val="000000"/>
                <w:kern w:val="0"/>
                <w:sz w:val="24"/>
                <w:szCs w:val="24"/>
                <w:u w:val="none"/>
                <w:lang w:val="en-US" w:eastAsia="zh-CN" w:bidi="ar"/>
              </w:rPr>
              <w:br w:type="textWrapping"/>
            </w:r>
            <w:r>
              <w:rPr>
                <w:rFonts w:hint="eastAsia" w:ascii="Times New Roman" w:hAnsi="Times New Roman" w:eastAsia="仿宋_GB2312" w:cs="仿宋_GB2312"/>
                <w:i w:val="0"/>
                <w:iCs w:val="0"/>
                <w:snapToGrid w:val="0"/>
                <w:color w:val="000000"/>
                <w:kern w:val="0"/>
                <w:sz w:val="24"/>
                <w:szCs w:val="24"/>
                <w:u w:val="none"/>
                <w:lang w:val="en-US" w:eastAsia="zh-CN" w:bidi="ar"/>
              </w:rPr>
              <w:t xml:space="preserve">      2.各项指标下，同一事项存在多个扣分项的，取最高扣分项扣分；</w:t>
            </w:r>
            <w:r>
              <w:rPr>
                <w:rFonts w:hint="eastAsia" w:ascii="Times New Roman" w:hAnsi="Times New Roman" w:eastAsia="仿宋_GB2312" w:cs="仿宋_GB2312"/>
                <w:i w:val="0"/>
                <w:iCs w:val="0"/>
                <w:snapToGrid w:val="0"/>
                <w:color w:val="000000"/>
                <w:kern w:val="0"/>
                <w:sz w:val="24"/>
                <w:szCs w:val="24"/>
                <w:u w:val="none"/>
                <w:lang w:val="en-US" w:eastAsia="zh-CN" w:bidi="ar"/>
              </w:rPr>
              <w:br w:type="textWrapping"/>
            </w:r>
            <w:r>
              <w:rPr>
                <w:rFonts w:hint="eastAsia" w:ascii="Times New Roman" w:hAnsi="Times New Roman" w:eastAsia="仿宋_GB2312" w:cs="仿宋_GB2312"/>
                <w:i w:val="0"/>
                <w:iCs w:val="0"/>
                <w:snapToGrid w:val="0"/>
                <w:color w:val="000000"/>
                <w:kern w:val="0"/>
                <w:sz w:val="24"/>
                <w:szCs w:val="24"/>
                <w:u w:val="none"/>
                <w:lang w:val="en-US" w:eastAsia="zh-CN" w:bidi="ar"/>
              </w:rPr>
              <w:t xml:space="preserve">      3.正向激励指标项下，相应的荣誉奖励以及批件等需提供相关证明材料；</w:t>
            </w:r>
            <w:r>
              <w:rPr>
                <w:rFonts w:hint="eastAsia" w:ascii="Times New Roman" w:hAnsi="Times New Roman" w:eastAsia="仿宋_GB2312" w:cs="仿宋_GB2312"/>
                <w:i w:val="0"/>
                <w:iCs w:val="0"/>
                <w:snapToGrid w:val="0"/>
                <w:color w:val="000000"/>
                <w:kern w:val="0"/>
                <w:sz w:val="24"/>
                <w:szCs w:val="24"/>
                <w:u w:val="none"/>
                <w:lang w:val="en-US" w:eastAsia="zh-CN" w:bidi="ar"/>
              </w:rPr>
              <w:br w:type="textWrapping"/>
            </w:r>
            <w:r>
              <w:rPr>
                <w:rFonts w:hint="eastAsia" w:ascii="Times New Roman" w:hAnsi="Times New Roman" w:eastAsia="仿宋_GB2312" w:cs="仿宋_GB2312"/>
                <w:i w:val="0"/>
                <w:iCs w:val="0"/>
                <w:snapToGrid w:val="0"/>
                <w:color w:val="000000"/>
                <w:kern w:val="0"/>
                <w:sz w:val="24"/>
                <w:szCs w:val="24"/>
                <w:u w:val="none"/>
                <w:lang w:val="en-US" w:eastAsia="zh-CN" w:bidi="ar"/>
              </w:rPr>
              <w:t xml:space="preserve">      </w:t>
            </w:r>
            <w:r>
              <w:rPr>
                <w:rFonts w:hint="eastAsia" w:ascii="Times New Roman" w:hAnsi="Times New Roman" w:eastAsia="仿宋_GB2312" w:cs="仿宋_GB2312"/>
                <w:i w:val="0"/>
                <w:iCs w:val="0"/>
                <w:snapToGrid w:val="0"/>
                <w:color w:val="000000"/>
                <w:spacing w:val="-6"/>
                <w:kern w:val="0"/>
                <w:sz w:val="24"/>
                <w:szCs w:val="24"/>
                <w:u w:val="none"/>
                <w:lang w:val="en-US" w:eastAsia="zh-CN" w:bidi="ar"/>
              </w:rPr>
              <w:t>4.符合《湖南省药品安全信用管理办法（试行）》第十七条至第二十条情形，经审核同意进行信用修复的，按原扣分值50%予以扣分</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Times New Roman" w:hAnsi="Times New Roman" w:eastAsia="方正小标宋_GBK" w:cs="方正小标宋_GBK"/>
          <w:b w:val="0"/>
          <w:bCs w:val="0"/>
          <w:i w:val="0"/>
          <w:iCs w:val="0"/>
          <w:caps w:val="0"/>
          <w:color w:val="000000"/>
          <w:spacing w:val="0"/>
          <w:sz w:val="44"/>
          <w:szCs w:val="44"/>
          <w:shd w:val="clear" w:color="auto" w:fill="FFFFFF"/>
          <w:lang w:val="en-US" w:eastAsia="zh-CN"/>
        </w:rPr>
      </w:pPr>
    </w:p>
    <w:p>
      <w:pPr>
        <w:rPr>
          <w:rFonts w:ascii="Times New Roman" w:hAnsi="Times New Roman"/>
          <w:color w:val="000000"/>
        </w:rPr>
        <w:sectPr>
          <w:pgSz w:w="16783" w:h="11850" w:orient="landscape"/>
          <w:pgMar w:top="1417" w:right="1417" w:bottom="1417" w:left="1417" w:header="720" w:footer="720" w:gutter="0"/>
          <w:lnNumType w:countBy="0" w:distance="360"/>
          <w:pgNumType w:fmt="numberInDash"/>
          <w:cols w:space="720" w:num="1"/>
          <w:rtlGutter w:val="0"/>
          <w:docGrid w:type="lines" w:linePitch="312" w:charSpace="0"/>
        </w:sect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Times New Roman" w:hAnsi="Times New Roman" w:eastAsia="黑体" w:cs="黑体"/>
          <w:b w:val="0"/>
          <w:bCs w:val="0"/>
          <w:i w:val="0"/>
          <w:iCs w:val="0"/>
          <w:caps w:val="0"/>
          <w:color w:val="000000"/>
          <w:spacing w:val="0"/>
          <w:sz w:val="32"/>
          <w:szCs w:val="32"/>
          <w:shd w:val="clear" w:color="auto" w:fill="FFFFFF"/>
          <w:lang w:val="en-US" w:eastAsia="zh-CN"/>
        </w:rPr>
      </w:pPr>
      <w:r>
        <w:rPr>
          <w:rFonts w:hint="eastAsia" w:ascii="Times New Roman" w:hAnsi="Times New Roman" w:eastAsia="黑体" w:cs="黑体"/>
          <w:b w:val="0"/>
          <w:bCs w:val="0"/>
          <w:i w:val="0"/>
          <w:iCs w:val="0"/>
          <w:caps w:val="0"/>
          <w:color w:val="000000"/>
          <w:spacing w:val="0"/>
          <w:sz w:val="32"/>
          <w:szCs w:val="32"/>
          <w:shd w:val="clear" w:color="auto" w:fill="FFFFFF"/>
          <w:lang w:val="en-US" w:eastAsia="zh-CN"/>
        </w:rPr>
        <w:t>附件2</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rightChars="0"/>
        <w:textAlignment w:val="auto"/>
        <w:rPr>
          <w:rFonts w:hint="eastAsia" w:ascii="Times New Roman" w:hAnsi="Times New Roman" w:eastAsia="黑体" w:cs="黑体"/>
          <w:b w:val="0"/>
          <w:bCs w:val="0"/>
          <w:i w:val="0"/>
          <w:iCs w:val="0"/>
          <w:caps w:val="0"/>
          <w:color w:val="000000"/>
          <w:spacing w:val="0"/>
          <w:sz w:val="32"/>
          <w:szCs w:val="32"/>
          <w:shd w:val="clear" w:color="auto"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小标宋_GBK" w:cs="方正小标宋_GBK"/>
          <w:b w:val="0"/>
          <w:bCs w:val="0"/>
          <w:i w:val="0"/>
          <w:iCs w:val="0"/>
          <w:caps w:val="0"/>
          <w:color w:val="000000"/>
          <w:spacing w:val="-6"/>
          <w:w w:val="97"/>
          <w:sz w:val="44"/>
          <w:szCs w:val="44"/>
          <w:shd w:val="clear" w:color="auto" w:fill="FFFFFF"/>
          <w:lang w:val="en-US" w:eastAsia="zh-CN"/>
        </w:rPr>
      </w:pPr>
      <w:r>
        <w:rPr>
          <w:rFonts w:hint="eastAsia" w:ascii="Times New Roman" w:hAnsi="Times New Roman" w:eastAsia="方正小标宋_GBK" w:cs="方正小标宋_GBK"/>
          <w:b w:val="0"/>
          <w:bCs w:val="0"/>
          <w:i w:val="0"/>
          <w:iCs w:val="0"/>
          <w:caps w:val="0"/>
          <w:color w:val="000000"/>
          <w:spacing w:val="-6"/>
          <w:w w:val="97"/>
          <w:sz w:val="44"/>
          <w:szCs w:val="44"/>
          <w:shd w:val="clear" w:color="auto" w:fill="FFFFFF"/>
          <w:lang w:val="en-US" w:eastAsia="zh-CN"/>
        </w:rPr>
        <w:t>湖南省药品批发企业（含零售连锁总部）药品安全信用评价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小标宋_GBK" w:cs="方正小标宋_GBK"/>
          <w:b w:val="0"/>
          <w:bCs w:val="0"/>
          <w:i w:val="0"/>
          <w:iCs w:val="0"/>
          <w:caps w:val="0"/>
          <w:color w:val="000000"/>
          <w:spacing w:val="-6"/>
          <w:w w:val="97"/>
          <w:sz w:val="44"/>
          <w:szCs w:val="44"/>
          <w:shd w:val="clear" w:color="auto" w:fill="FFFFFF"/>
          <w:lang w:val="en-US" w:eastAsia="zh-CN"/>
        </w:rPr>
      </w:pPr>
      <w:r>
        <w:rPr>
          <w:rFonts w:hint="eastAsia" w:ascii="Times New Roman" w:hAnsi="Times New Roman" w:eastAsia="方正小标宋_GBK" w:cs="方正小标宋_GBK"/>
          <w:b w:val="0"/>
          <w:bCs w:val="0"/>
          <w:i w:val="0"/>
          <w:iCs w:val="0"/>
          <w:caps w:val="0"/>
          <w:color w:val="000000"/>
          <w:spacing w:val="-6"/>
          <w:w w:val="97"/>
          <w:sz w:val="44"/>
          <w:szCs w:val="44"/>
          <w:shd w:val="clear" w:color="auto" w:fill="FFFFFF"/>
          <w:lang w:val="en-US" w:eastAsia="zh-CN"/>
        </w:rPr>
        <w:t>指标及评分标准（试行）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小标宋_GBK" w:cs="方正小标宋_GBK"/>
          <w:b w:val="0"/>
          <w:bCs w:val="0"/>
          <w:i w:val="0"/>
          <w:iCs w:val="0"/>
          <w:caps w:val="0"/>
          <w:color w:val="000000"/>
          <w:spacing w:val="-6"/>
          <w:w w:val="97"/>
          <w:sz w:val="44"/>
          <w:szCs w:val="44"/>
          <w:shd w:val="clear" w:color="auto" w:fill="FFFFFF"/>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025"/>
        <w:gridCol w:w="1738"/>
        <w:gridCol w:w="8987"/>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810"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黑体" w:cs="黑体"/>
                <w:b w:val="0"/>
                <w:bCs w:val="0"/>
                <w:i w:val="0"/>
                <w:iCs w:val="0"/>
                <w:color w:val="000000"/>
                <w:sz w:val="24"/>
                <w:szCs w:val="24"/>
                <w:u w:val="none"/>
              </w:rPr>
            </w:pPr>
            <w:r>
              <w:rPr>
                <w:rFonts w:hint="eastAsia" w:ascii="Times New Roman" w:hAnsi="Times New Roman" w:eastAsia="黑体" w:cs="黑体"/>
                <w:b w:val="0"/>
                <w:bCs w:val="0"/>
                <w:i w:val="0"/>
                <w:iCs w:val="0"/>
                <w:snapToGrid w:val="0"/>
                <w:color w:val="000000"/>
                <w:kern w:val="0"/>
                <w:sz w:val="24"/>
                <w:szCs w:val="24"/>
                <w:u w:val="none"/>
                <w:lang w:val="en-US" w:eastAsia="zh-CN" w:bidi="ar"/>
              </w:rPr>
              <w:t>序号</w:t>
            </w:r>
          </w:p>
        </w:tc>
        <w:tc>
          <w:tcPr>
            <w:tcW w:w="2025"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黑体" w:cs="黑体"/>
                <w:b w:val="0"/>
                <w:bCs w:val="0"/>
                <w:i w:val="0"/>
                <w:iCs w:val="0"/>
                <w:color w:val="000000"/>
                <w:sz w:val="24"/>
                <w:szCs w:val="24"/>
                <w:u w:val="none"/>
              </w:rPr>
            </w:pPr>
            <w:r>
              <w:rPr>
                <w:rFonts w:hint="eastAsia" w:ascii="Times New Roman" w:hAnsi="Times New Roman" w:eastAsia="黑体" w:cs="黑体"/>
                <w:b w:val="0"/>
                <w:bCs w:val="0"/>
                <w:i w:val="0"/>
                <w:iCs w:val="0"/>
                <w:snapToGrid w:val="0"/>
                <w:color w:val="000000"/>
                <w:kern w:val="0"/>
                <w:sz w:val="24"/>
                <w:szCs w:val="24"/>
                <w:u w:val="none"/>
                <w:lang w:val="en-US" w:eastAsia="zh-CN" w:bidi="ar"/>
              </w:rPr>
              <w:t>一级指标</w:t>
            </w:r>
          </w:p>
        </w:tc>
        <w:tc>
          <w:tcPr>
            <w:tcW w:w="1738"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黑体" w:cs="黑体"/>
                <w:b w:val="0"/>
                <w:bCs w:val="0"/>
                <w:i w:val="0"/>
                <w:iCs w:val="0"/>
                <w:color w:val="000000"/>
                <w:sz w:val="24"/>
                <w:szCs w:val="24"/>
                <w:u w:val="none"/>
              </w:rPr>
            </w:pPr>
            <w:r>
              <w:rPr>
                <w:rFonts w:hint="eastAsia" w:ascii="Times New Roman" w:hAnsi="Times New Roman" w:eastAsia="黑体" w:cs="黑体"/>
                <w:b w:val="0"/>
                <w:bCs w:val="0"/>
                <w:i w:val="0"/>
                <w:iCs w:val="0"/>
                <w:snapToGrid w:val="0"/>
                <w:color w:val="000000"/>
                <w:kern w:val="0"/>
                <w:sz w:val="24"/>
                <w:szCs w:val="24"/>
                <w:u w:val="none"/>
                <w:lang w:val="en-US" w:eastAsia="zh-CN" w:bidi="ar"/>
              </w:rPr>
              <w:t>二级指标</w:t>
            </w:r>
          </w:p>
        </w:tc>
        <w:tc>
          <w:tcPr>
            <w:tcW w:w="8987"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黑体" w:cs="黑体"/>
                <w:b w:val="0"/>
                <w:bCs w:val="0"/>
                <w:i w:val="0"/>
                <w:iCs w:val="0"/>
                <w:color w:val="000000"/>
                <w:sz w:val="24"/>
                <w:szCs w:val="24"/>
                <w:u w:val="none"/>
              </w:rPr>
            </w:pPr>
            <w:r>
              <w:rPr>
                <w:rFonts w:hint="eastAsia" w:ascii="Times New Roman" w:hAnsi="Times New Roman" w:eastAsia="黑体" w:cs="黑体"/>
                <w:b w:val="0"/>
                <w:bCs w:val="0"/>
                <w:i w:val="0"/>
                <w:iCs w:val="0"/>
                <w:snapToGrid w:val="0"/>
                <w:color w:val="000000"/>
                <w:kern w:val="0"/>
                <w:sz w:val="24"/>
                <w:szCs w:val="24"/>
                <w:u w:val="none"/>
                <w:lang w:val="en-US" w:eastAsia="zh-CN" w:bidi="ar"/>
              </w:rPr>
              <w:t>评价标准</w:t>
            </w:r>
          </w:p>
        </w:tc>
        <w:tc>
          <w:tcPr>
            <w:tcW w:w="1231"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黑体" w:cs="黑体"/>
                <w:b w:val="0"/>
                <w:bCs w:val="0"/>
                <w:i w:val="0"/>
                <w:iCs w:val="0"/>
                <w:color w:val="000000"/>
                <w:sz w:val="24"/>
                <w:szCs w:val="24"/>
                <w:u w:val="none"/>
              </w:rPr>
            </w:pPr>
            <w:r>
              <w:rPr>
                <w:rFonts w:hint="eastAsia" w:ascii="Times New Roman" w:hAnsi="Times New Roman" w:eastAsia="黑体" w:cs="黑体"/>
                <w:b w:val="0"/>
                <w:bCs w:val="0"/>
                <w:i w:val="0"/>
                <w:iCs w:val="0"/>
                <w:snapToGrid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0"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color w:val="000000"/>
                <w:sz w:val="24"/>
                <w:szCs w:val="24"/>
                <w:u w:val="none"/>
              </w:rPr>
            </w:pP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t>1</w:t>
            </w:r>
          </w:p>
        </w:tc>
        <w:tc>
          <w:tcPr>
            <w:tcW w:w="2025" w:type="dxa"/>
            <w:vMerge w:val="restart"/>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一、遵纪守法</w:t>
            </w:r>
          </w:p>
          <w:p>
            <w:pPr>
              <w:keepNext w:val="0"/>
              <w:keepLines w:val="0"/>
              <w:pageBreakBefore w:val="0"/>
              <w:widowControl/>
              <w:numPr>
                <w:ilvl w:val="0"/>
                <w:numId w:val="0"/>
              </w:numPr>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（30分）</w:t>
            </w:r>
          </w:p>
        </w:tc>
        <w:tc>
          <w:tcPr>
            <w:tcW w:w="1738"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行政处罚</w:t>
            </w:r>
          </w:p>
        </w:tc>
        <w:tc>
          <w:tcPr>
            <w:tcW w:w="8987" w:type="dxa"/>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被警告的，-5分/次</w:t>
            </w:r>
          </w:p>
        </w:tc>
        <w:tc>
          <w:tcPr>
            <w:tcW w:w="1231" w:type="dxa"/>
            <w:vMerge w:val="restart"/>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10"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color w:val="000000"/>
                <w:sz w:val="24"/>
                <w:szCs w:val="24"/>
                <w:u w:val="none"/>
              </w:rPr>
            </w:pP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t>2</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38"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8987" w:type="dxa"/>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被罚款、没收违法所得、没收非法财物的，-10分/次</w:t>
            </w:r>
          </w:p>
        </w:tc>
        <w:tc>
          <w:tcPr>
            <w:tcW w:w="1231"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0"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color w:val="000000"/>
                <w:sz w:val="24"/>
                <w:szCs w:val="24"/>
                <w:u w:val="none"/>
              </w:rPr>
            </w:pP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t>3</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38"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8987" w:type="dxa"/>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被处以其他较重行政处罚的，-20分/次（其中适用严重违法失信名单或者被刑事处罚的，直接评定为D级）</w:t>
            </w:r>
          </w:p>
        </w:tc>
        <w:tc>
          <w:tcPr>
            <w:tcW w:w="1231"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0"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color w:val="000000"/>
                <w:sz w:val="24"/>
                <w:szCs w:val="24"/>
                <w:u w:val="none"/>
              </w:rPr>
            </w:pP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t>4</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38"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行政处理</w:t>
            </w:r>
          </w:p>
        </w:tc>
        <w:tc>
          <w:tcPr>
            <w:tcW w:w="8987" w:type="dxa"/>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sz w:val="24"/>
                <w:szCs w:val="24"/>
                <w:u w:val="none"/>
                <w:lang w:eastAsia="zh-CN"/>
              </w:rPr>
              <w:t>因违反相关法律法规受到监管部门责令限期整改的，-5分/次</w:t>
            </w:r>
          </w:p>
        </w:tc>
        <w:tc>
          <w:tcPr>
            <w:tcW w:w="1231" w:type="dxa"/>
            <w:noWrap w:val="0"/>
            <w:vAlign w:val="center"/>
          </w:tcPr>
          <w:p>
            <w:pPr>
              <w:keepNext w:val="0"/>
              <w:keepLines w:val="0"/>
              <w:pageBreakBefore w:val="0"/>
              <w:widowControl/>
              <w:wordWrap/>
              <w:overflowPunct/>
              <w:topLinePunct w:val="0"/>
              <w:bidi w:val="0"/>
              <w:spacing w:line="30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10"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color w:val="000000"/>
                <w:sz w:val="24"/>
                <w:szCs w:val="24"/>
                <w:u w:val="none"/>
              </w:rPr>
            </w:pP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t>5</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38"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8987"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自取得《药品经营许可证》半年以上未实际开展药品经营活动的，-10分/次</w:t>
            </w:r>
          </w:p>
        </w:tc>
        <w:tc>
          <w:tcPr>
            <w:tcW w:w="1231" w:type="dxa"/>
            <w:noWrap w:val="0"/>
            <w:vAlign w:val="center"/>
          </w:tcPr>
          <w:p>
            <w:pPr>
              <w:keepNext w:val="0"/>
              <w:keepLines w:val="0"/>
              <w:pageBreakBefore w:val="0"/>
              <w:widowControl/>
              <w:wordWrap/>
              <w:overflowPunct/>
              <w:topLinePunct w:val="0"/>
              <w:bidi w:val="0"/>
              <w:spacing w:line="30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10"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pP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t>6</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38" w:type="dxa"/>
            <w:vMerge w:val="continue"/>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87" w:type="dxa"/>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不具备药品经营条件（含质量管理体系、质量管理相关人员、设施设备等）的企业开展药品经营活动的，-10分/次</w:t>
            </w:r>
          </w:p>
        </w:tc>
        <w:tc>
          <w:tcPr>
            <w:tcW w:w="1231" w:type="dxa"/>
            <w:noWrap w:val="0"/>
            <w:vAlign w:val="center"/>
          </w:tcPr>
          <w:p>
            <w:pPr>
              <w:keepNext w:val="0"/>
              <w:keepLines w:val="0"/>
              <w:pageBreakBefore w:val="0"/>
              <w:widowControl/>
              <w:wordWrap/>
              <w:overflowPunct/>
              <w:topLinePunct w:val="0"/>
              <w:bidi w:val="0"/>
              <w:spacing w:line="30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10"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pP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t>7</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38" w:type="dxa"/>
            <w:vMerge w:val="continue"/>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87" w:type="dxa"/>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因药品存在质量问题或其他安全隐患，企业法定代表人、主要负责人受到监管部门约谈、告诫的，-15分/次</w:t>
            </w:r>
          </w:p>
        </w:tc>
        <w:tc>
          <w:tcPr>
            <w:tcW w:w="1231" w:type="dxa"/>
            <w:noWrap w:val="0"/>
            <w:vAlign w:val="center"/>
          </w:tcPr>
          <w:p>
            <w:pPr>
              <w:keepNext w:val="0"/>
              <w:keepLines w:val="0"/>
              <w:pageBreakBefore w:val="0"/>
              <w:widowControl/>
              <w:wordWrap/>
              <w:overflowPunct/>
              <w:topLinePunct w:val="0"/>
              <w:bidi w:val="0"/>
              <w:spacing w:line="30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pP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t>8</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38" w:type="dxa"/>
            <w:vMerge w:val="continue"/>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87" w:type="dxa"/>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因药品存在质量问题或其他安全隐患，受到监管部门暂停生产、销售的，-20分/次</w:t>
            </w:r>
          </w:p>
        </w:tc>
        <w:tc>
          <w:tcPr>
            <w:tcW w:w="1231" w:type="dxa"/>
            <w:noWrap w:val="0"/>
            <w:vAlign w:val="center"/>
          </w:tcPr>
          <w:p>
            <w:pPr>
              <w:keepNext w:val="0"/>
              <w:keepLines w:val="0"/>
              <w:pageBreakBefore w:val="0"/>
              <w:widowControl/>
              <w:wordWrap/>
              <w:overflowPunct/>
              <w:topLinePunct w:val="0"/>
              <w:bidi w:val="0"/>
              <w:spacing w:line="30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10"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pP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t>9</w:t>
            </w:r>
          </w:p>
        </w:tc>
        <w:tc>
          <w:tcPr>
            <w:tcW w:w="2025" w:type="dxa"/>
            <w:vMerge w:val="restart"/>
            <w:noWrap w:val="0"/>
            <w:vAlign w:val="center"/>
          </w:tcPr>
          <w:p>
            <w:pPr>
              <w:keepNext w:val="0"/>
              <w:keepLines w:val="0"/>
              <w:pageBreakBefore w:val="0"/>
              <w:widowControl/>
              <w:numPr>
                <w:ilvl w:val="0"/>
                <w:numId w:val="0"/>
              </w:numPr>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二、主体责任落实</w:t>
            </w:r>
          </w:p>
          <w:p>
            <w:pPr>
              <w:keepNext w:val="0"/>
              <w:keepLines w:val="0"/>
              <w:pageBreakBefore w:val="0"/>
              <w:widowControl/>
              <w:numPr>
                <w:ilvl w:val="0"/>
                <w:numId w:val="0"/>
              </w:numPr>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（25分）</w:t>
            </w:r>
          </w:p>
        </w:tc>
        <w:tc>
          <w:tcPr>
            <w:tcW w:w="1738"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许可备案</w:t>
            </w:r>
          </w:p>
        </w:tc>
        <w:tc>
          <w:tcPr>
            <w:tcW w:w="8987"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在各类许可、备案或其他报告事项中，经认定为提供虚假资料的，－10分／次</w:t>
            </w:r>
          </w:p>
        </w:tc>
        <w:tc>
          <w:tcPr>
            <w:tcW w:w="1231" w:type="dxa"/>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810"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pP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t>10</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pPr>
          </w:p>
        </w:tc>
        <w:tc>
          <w:tcPr>
            <w:tcW w:w="1738"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pPr>
          </w:p>
        </w:tc>
        <w:tc>
          <w:tcPr>
            <w:tcW w:w="8987"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未按规定及时办理药品许可变更事项和登记事项的，-2分/次，不超过５分</w:t>
            </w:r>
          </w:p>
        </w:tc>
        <w:tc>
          <w:tcPr>
            <w:tcW w:w="1231" w:type="dxa"/>
            <w:noWrap w:val="0"/>
            <w:vAlign w:val="center"/>
          </w:tcPr>
          <w:p>
            <w:pPr>
              <w:keepNext w:val="0"/>
              <w:keepLines w:val="0"/>
              <w:pageBreakBefore w:val="0"/>
              <w:widowControl/>
              <w:wordWrap/>
              <w:overflowPunct/>
              <w:topLinePunct w:val="0"/>
              <w:bidi w:val="0"/>
              <w:spacing w:line="300" w:lineRule="exact"/>
              <w:rPr>
                <w:rFonts w:hint="eastAsia" w:ascii="Times New Roman" w:hAnsi="Times New Roman" w:eastAsia="仿宋_GB2312" w:cs="仿宋_GB2312"/>
                <w:b w:val="0"/>
                <w:bCs w:val="0"/>
                <w:i w:val="0"/>
                <w:iCs w:val="0"/>
                <w:snapToGrid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810"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color w:val="000000"/>
                <w:sz w:val="24"/>
                <w:szCs w:val="24"/>
                <w:u w:val="none"/>
                <w:lang w:val="en-US"/>
              </w:rPr>
            </w:pP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t>11</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38"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药品追溯</w:t>
            </w:r>
          </w:p>
        </w:tc>
        <w:tc>
          <w:tcPr>
            <w:tcW w:w="8987"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药品采购入库、销售出库追溯扫码率95%以上不扣分；85%-95%的，-5分；低于85%的，-10分；未开展扫码追溯工作的，-15分</w:t>
            </w:r>
          </w:p>
        </w:tc>
        <w:tc>
          <w:tcPr>
            <w:tcW w:w="1231" w:type="dxa"/>
            <w:noWrap w:val="0"/>
            <w:vAlign w:val="center"/>
          </w:tcPr>
          <w:p>
            <w:pPr>
              <w:keepNext w:val="0"/>
              <w:keepLines w:val="0"/>
              <w:pageBreakBefore w:val="0"/>
              <w:widowControl/>
              <w:wordWrap/>
              <w:overflowPunct/>
              <w:topLinePunct w:val="0"/>
              <w:bidi w:val="0"/>
              <w:spacing w:line="30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10"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color w:val="000000"/>
                <w:sz w:val="24"/>
                <w:szCs w:val="24"/>
                <w:u w:val="none"/>
                <w:lang w:val="en-US"/>
              </w:rPr>
            </w:pP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t>12</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38"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信息报告</w:t>
            </w:r>
          </w:p>
        </w:tc>
        <w:tc>
          <w:tcPr>
            <w:tcW w:w="8987"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对应申报许可、备案或其他需要报告的事项而未及时申报的，-2分/次</w:t>
            </w:r>
          </w:p>
        </w:tc>
        <w:tc>
          <w:tcPr>
            <w:tcW w:w="1231" w:type="dxa"/>
            <w:noWrap w:val="0"/>
            <w:vAlign w:val="center"/>
          </w:tcPr>
          <w:p>
            <w:pPr>
              <w:keepNext w:val="0"/>
              <w:keepLines w:val="0"/>
              <w:pageBreakBefore w:val="0"/>
              <w:widowControl/>
              <w:wordWrap/>
              <w:overflowPunct/>
              <w:topLinePunct w:val="0"/>
              <w:bidi w:val="0"/>
              <w:spacing w:line="30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10"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color w:val="000000"/>
                <w:sz w:val="24"/>
                <w:szCs w:val="24"/>
                <w:u w:val="none"/>
                <w:lang w:val="en-US"/>
              </w:rPr>
            </w:pP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t>13</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38"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8987"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spacing w:val="-6"/>
                <w:kern w:val="0"/>
                <w:sz w:val="24"/>
                <w:szCs w:val="24"/>
                <w:u w:val="none"/>
                <w:lang w:val="en-US" w:eastAsia="zh-CN" w:bidi="ar"/>
              </w:rPr>
              <w:t>存在漏报或瞒报信用有关信息或其他法律法规及文件规定应报未报的情形，-3分/次</w:t>
            </w:r>
          </w:p>
        </w:tc>
        <w:tc>
          <w:tcPr>
            <w:tcW w:w="1231" w:type="dxa"/>
            <w:noWrap w:val="0"/>
            <w:vAlign w:val="center"/>
          </w:tcPr>
          <w:p>
            <w:pPr>
              <w:keepNext w:val="0"/>
              <w:keepLines w:val="0"/>
              <w:pageBreakBefore w:val="0"/>
              <w:widowControl/>
              <w:wordWrap/>
              <w:overflowPunct/>
              <w:topLinePunct w:val="0"/>
              <w:bidi w:val="0"/>
              <w:spacing w:line="30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810"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color w:val="000000"/>
                <w:sz w:val="24"/>
                <w:szCs w:val="24"/>
                <w:u w:val="none"/>
                <w:lang w:val="en-US" w:eastAsia="zh-CN"/>
              </w:rPr>
            </w:pPr>
            <w:r>
              <w:rPr>
                <w:rFonts w:hint="eastAsia" w:ascii="Times New Roman" w:hAnsi="Times New Roman" w:eastAsia="仿宋_GB2312" w:cs="仿宋_GB2312"/>
                <w:b w:val="0"/>
                <w:bCs w:val="0"/>
                <w:i w:val="0"/>
                <w:iCs w:val="0"/>
                <w:color w:val="000000"/>
                <w:sz w:val="24"/>
                <w:szCs w:val="24"/>
                <w:u w:val="none"/>
                <w:lang w:val="en-US" w:eastAsia="zh-CN"/>
              </w:rPr>
              <w:t>14</w:t>
            </w:r>
          </w:p>
        </w:tc>
        <w:tc>
          <w:tcPr>
            <w:tcW w:w="2025" w:type="dxa"/>
            <w:vMerge w:val="restart"/>
            <w:noWrap w:val="0"/>
            <w:vAlign w:val="center"/>
          </w:tcPr>
          <w:p>
            <w:pPr>
              <w:keepNext w:val="0"/>
              <w:keepLines w:val="0"/>
              <w:pageBreakBefore w:val="0"/>
              <w:widowControl/>
              <w:numPr>
                <w:ilvl w:val="0"/>
                <w:numId w:val="0"/>
              </w:numPr>
              <w:wordWrap/>
              <w:overflowPunct/>
              <w:topLinePunct w:val="0"/>
              <w:bidi w:val="0"/>
              <w:spacing w:line="300" w:lineRule="exact"/>
              <w:jc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三、监督管理</w:t>
            </w:r>
          </w:p>
          <w:p>
            <w:pPr>
              <w:keepNext w:val="0"/>
              <w:keepLines w:val="0"/>
              <w:pageBreakBefore w:val="0"/>
              <w:widowControl/>
              <w:numPr>
                <w:ilvl w:val="0"/>
                <w:numId w:val="0"/>
              </w:numPr>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（25分）</w:t>
            </w:r>
          </w:p>
        </w:tc>
        <w:tc>
          <w:tcPr>
            <w:tcW w:w="1738"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监督检查</w:t>
            </w:r>
          </w:p>
        </w:tc>
        <w:tc>
          <w:tcPr>
            <w:tcW w:w="8987"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药品批发、零售连锁企业检查存在一般缺陷项在5项以上20项以内的，-1分/次</w:t>
            </w:r>
          </w:p>
        </w:tc>
        <w:tc>
          <w:tcPr>
            <w:tcW w:w="1231" w:type="dxa"/>
            <w:noWrap w:val="0"/>
            <w:vAlign w:val="center"/>
          </w:tcPr>
          <w:p>
            <w:pPr>
              <w:keepNext w:val="0"/>
              <w:keepLines w:val="0"/>
              <w:pageBreakBefore w:val="0"/>
              <w:widowControl/>
              <w:wordWrap/>
              <w:overflowPunct/>
              <w:topLinePunct w:val="0"/>
              <w:bidi w:val="0"/>
              <w:spacing w:line="300" w:lineRule="exact"/>
              <w:jc w:val="both"/>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810"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color w:val="000000"/>
                <w:sz w:val="24"/>
                <w:szCs w:val="24"/>
                <w:u w:val="none"/>
                <w:lang w:val="en-US" w:eastAsia="zh-CN"/>
              </w:rPr>
            </w:pPr>
            <w:r>
              <w:rPr>
                <w:rFonts w:hint="eastAsia" w:ascii="Times New Roman" w:hAnsi="Times New Roman" w:eastAsia="仿宋_GB2312" w:cs="仿宋_GB2312"/>
                <w:b w:val="0"/>
                <w:bCs w:val="0"/>
                <w:i w:val="0"/>
                <w:iCs w:val="0"/>
                <w:color w:val="000000"/>
                <w:sz w:val="24"/>
                <w:szCs w:val="24"/>
                <w:u w:val="none"/>
                <w:lang w:val="en-US" w:eastAsia="zh-CN"/>
              </w:rPr>
              <w:t>15</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38"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8987"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药品批发、零售连锁企业检查存在一般缺陷项在20项以上30项以内的，-2分/次</w:t>
            </w:r>
          </w:p>
        </w:tc>
        <w:tc>
          <w:tcPr>
            <w:tcW w:w="1231" w:type="dxa"/>
            <w:noWrap w:val="0"/>
            <w:vAlign w:val="center"/>
          </w:tcPr>
          <w:p>
            <w:pPr>
              <w:keepNext w:val="0"/>
              <w:keepLines w:val="0"/>
              <w:pageBreakBefore w:val="0"/>
              <w:widowControl/>
              <w:wordWrap/>
              <w:overflowPunct/>
              <w:topLinePunct w:val="0"/>
              <w:bidi w:val="0"/>
              <w:spacing w:line="300" w:lineRule="exact"/>
              <w:jc w:val="both"/>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810" w:type="dxa"/>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val="0"/>
                <w:bCs w:val="0"/>
                <w:i w:val="0"/>
                <w:iCs w:val="0"/>
                <w:color w:val="000000"/>
                <w:sz w:val="24"/>
                <w:szCs w:val="24"/>
                <w:u w:val="none"/>
                <w:lang w:val="en-US" w:eastAsia="zh-CN"/>
              </w:rPr>
            </w:pPr>
            <w:r>
              <w:rPr>
                <w:rFonts w:hint="eastAsia" w:ascii="Times New Roman" w:hAnsi="Times New Roman" w:eastAsia="仿宋_GB2312" w:cs="仿宋_GB2312"/>
                <w:b w:val="0"/>
                <w:bCs w:val="0"/>
                <w:i w:val="0"/>
                <w:iCs w:val="0"/>
                <w:color w:val="000000"/>
                <w:sz w:val="24"/>
                <w:szCs w:val="24"/>
                <w:u w:val="none"/>
                <w:lang w:val="en-US" w:eastAsia="zh-CN"/>
              </w:rPr>
              <w:t>16</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38"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8987"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药品批发、零售连锁企业检查存在主要缺陷项在5至10项以内，且一般缺陷项在10至30项以内的，-３分/次</w:t>
            </w:r>
          </w:p>
        </w:tc>
        <w:tc>
          <w:tcPr>
            <w:tcW w:w="1231" w:type="dxa"/>
            <w:noWrap w:val="0"/>
            <w:vAlign w:val="center"/>
          </w:tcPr>
          <w:p>
            <w:pPr>
              <w:keepNext w:val="0"/>
              <w:keepLines w:val="0"/>
              <w:pageBreakBefore w:val="0"/>
              <w:widowControl/>
              <w:wordWrap/>
              <w:overflowPunct/>
              <w:topLinePunct w:val="0"/>
              <w:bidi w:val="0"/>
              <w:spacing w:line="300" w:lineRule="exact"/>
              <w:jc w:val="both"/>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810" w:type="dxa"/>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val="0"/>
                <w:bCs w:val="0"/>
                <w:i w:val="0"/>
                <w:iCs w:val="0"/>
                <w:color w:val="000000"/>
                <w:sz w:val="24"/>
                <w:szCs w:val="24"/>
                <w:u w:val="none"/>
                <w:lang w:val="en-US" w:eastAsia="zh-CN"/>
              </w:rPr>
            </w:pPr>
            <w:r>
              <w:rPr>
                <w:rFonts w:hint="eastAsia" w:ascii="Times New Roman" w:hAnsi="Times New Roman" w:eastAsia="仿宋_GB2312" w:cs="仿宋_GB2312"/>
                <w:b w:val="0"/>
                <w:bCs w:val="0"/>
                <w:i w:val="0"/>
                <w:iCs w:val="0"/>
                <w:color w:val="000000"/>
                <w:sz w:val="24"/>
                <w:szCs w:val="24"/>
                <w:u w:val="none"/>
                <w:lang w:val="en-US" w:eastAsia="zh-CN"/>
              </w:rPr>
              <w:t>17</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38"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8987"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药品批发、零售连锁企业检查存在主要缺陷项在10项以上的</w:t>
            </w:r>
          </w:p>
        </w:tc>
        <w:tc>
          <w:tcPr>
            <w:tcW w:w="1231"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直接评定为D级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810" w:type="dxa"/>
            <w:noWrap w:val="0"/>
            <w:vAlign w:val="center"/>
          </w:tcPr>
          <w:p>
            <w:pPr>
              <w:keepNext w:val="0"/>
              <w:keepLines w:val="0"/>
              <w:pageBreakBefore w:val="0"/>
              <w:widowControl/>
              <w:wordWrap/>
              <w:overflowPunct/>
              <w:topLinePunct w:val="0"/>
              <w:bidi w:val="0"/>
              <w:spacing w:line="300" w:lineRule="exact"/>
              <w:jc w:val="center"/>
              <w:rPr>
                <w:rFonts w:hint="default" w:ascii="Times New Roman" w:hAnsi="Times New Roman" w:eastAsia="仿宋_GB2312" w:cs="仿宋_GB2312"/>
                <w:b w:val="0"/>
                <w:bCs w:val="0"/>
                <w:i w:val="0"/>
                <w:iCs w:val="0"/>
                <w:color w:val="000000"/>
                <w:sz w:val="24"/>
                <w:szCs w:val="24"/>
                <w:u w:val="none"/>
                <w:lang w:val="en-US" w:eastAsia="zh-CN"/>
              </w:rPr>
            </w:pPr>
            <w:r>
              <w:rPr>
                <w:rFonts w:hint="eastAsia" w:ascii="Times New Roman" w:hAnsi="Times New Roman" w:eastAsia="仿宋_GB2312" w:cs="仿宋_GB2312"/>
                <w:b w:val="0"/>
                <w:bCs w:val="0"/>
                <w:i w:val="0"/>
                <w:iCs w:val="0"/>
                <w:color w:val="000000"/>
                <w:sz w:val="24"/>
                <w:szCs w:val="24"/>
                <w:u w:val="none"/>
                <w:lang w:val="en-US" w:eastAsia="zh-CN"/>
              </w:rPr>
              <w:t>18</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38"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8987"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药品批发、零售连锁企业检查存在严重缺陷项在1项以上的</w:t>
            </w:r>
          </w:p>
        </w:tc>
        <w:tc>
          <w:tcPr>
            <w:tcW w:w="1231"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810" w:type="dxa"/>
            <w:noWrap w:val="0"/>
            <w:vAlign w:val="center"/>
          </w:tcPr>
          <w:p>
            <w:pPr>
              <w:keepNext w:val="0"/>
              <w:keepLines w:val="0"/>
              <w:pageBreakBefore w:val="0"/>
              <w:widowControl/>
              <w:wordWrap/>
              <w:overflowPunct/>
              <w:topLinePunct w:val="0"/>
              <w:bidi w:val="0"/>
              <w:spacing w:line="300" w:lineRule="exact"/>
              <w:jc w:val="center"/>
              <w:rPr>
                <w:rFonts w:hint="default" w:ascii="Times New Roman" w:hAnsi="Times New Roman" w:eastAsia="仿宋_GB2312" w:cs="仿宋_GB2312"/>
                <w:b w:val="0"/>
                <w:bCs w:val="0"/>
                <w:i w:val="0"/>
                <w:iCs w:val="0"/>
                <w:color w:val="000000"/>
                <w:sz w:val="24"/>
                <w:szCs w:val="24"/>
                <w:u w:val="none"/>
                <w:lang w:val="en-US" w:eastAsia="zh-CN"/>
              </w:rPr>
            </w:pPr>
            <w:r>
              <w:rPr>
                <w:rFonts w:hint="eastAsia" w:ascii="Times New Roman" w:hAnsi="Times New Roman" w:eastAsia="仿宋_GB2312" w:cs="仿宋_GB2312"/>
                <w:b w:val="0"/>
                <w:bCs w:val="0"/>
                <w:i w:val="0"/>
                <w:iCs w:val="0"/>
                <w:color w:val="000000"/>
                <w:sz w:val="24"/>
                <w:szCs w:val="24"/>
                <w:u w:val="none"/>
                <w:lang w:val="en-US" w:eastAsia="zh-CN"/>
              </w:rPr>
              <w:t>19</w:t>
            </w:r>
          </w:p>
        </w:tc>
        <w:tc>
          <w:tcPr>
            <w:tcW w:w="2025" w:type="dxa"/>
            <w:vMerge w:val="continue"/>
            <w:noWrap w:val="0"/>
            <w:vAlign w:val="center"/>
          </w:tcPr>
          <w:p>
            <w:pPr>
              <w:keepNext w:val="0"/>
              <w:keepLines w:val="0"/>
              <w:pageBreakBefore w:val="0"/>
              <w:widowControl/>
              <w:numPr>
                <w:ilvl w:val="0"/>
                <w:numId w:val="0"/>
              </w:numPr>
              <w:wordWrap/>
              <w:overflowPunct/>
              <w:topLinePunct w:val="0"/>
              <w:bidi w:val="0"/>
              <w:spacing w:line="300" w:lineRule="exact"/>
              <w:ind w:leftChars="0"/>
              <w:jc w:val="center"/>
              <w:rPr>
                <w:rFonts w:hint="eastAsia" w:ascii="Times New Roman" w:hAnsi="Times New Roman" w:eastAsia="仿宋_GB2312" w:cs="仿宋_GB2312"/>
                <w:b/>
                <w:bCs/>
                <w:i w:val="0"/>
                <w:iCs w:val="0"/>
                <w:color w:val="000000"/>
                <w:sz w:val="24"/>
                <w:szCs w:val="24"/>
                <w:u w:val="none"/>
              </w:rPr>
            </w:pPr>
          </w:p>
        </w:tc>
        <w:tc>
          <w:tcPr>
            <w:tcW w:w="1738" w:type="dxa"/>
            <w:vMerge w:val="continue"/>
            <w:noWrap w:val="0"/>
            <w:vAlign w:val="center"/>
          </w:tcPr>
          <w:p>
            <w:pPr>
              <w:keepNext w:val="0"/>
              <w:keepLines w:val="0"/>
              <w:pageBreakBefore w:val="0"/>
              <w:widowControl/>
              <w:wordWrap/>
              <w:overflowPunct/>
              <w:topLinePunct w:val="0"/>
              <w:bidi w:val="0"/>
              <w:spacing w:line="300" w:lineRule="exact"/>
              <w:jc w:val="both"/>
              <w:rPr>
                <w:rFonts w:hint="eastAsia" w:ascii="Times New Roman" w:hAnsi="Times New Roman" w:eastAsia="仿宋_GB2312" w:cs="仿宋_GB2312"/>
                <w:i w:val="0"/>
                <w:iCs w:val="0"/>
                <w:color w:val="000000"/>
                <w:sz w:val="24"/>
                <w:szCs w:val="24"/>
                <w:u w:val="none"/>
              </w:rPr>
            </w:pPr>
          </w:p>
        </w:tc>
        <w:tc>
          <w:tcPr>
            <w:tcW w:w="8987"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监督检查综合评定结论为不符合要求的</w:t>
            </w:r>
          </w:p>
        </w:tc>
        <w:tc>
          <w:tcPr>
            <w:tcW w:w="1231" w:type="dxa"/>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直接评定为D级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0"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color w:val="000000"/>
                <w:sz w:val="24"/>
                <w:szCs w:val="24"/>
                <w:u w:val="none"/>
                <w:lang w:val="en-US" w:eastAsia="zh-CN"/>
              </w:rPr>
            </w:pPr>
            <w:r>
              <w:rPr>
                <w:rFonts w:hint="eastAsia" w:ascii="Times New Roman" w:hAnsi="Times New Roman" w:eastAsia="仿宋_GB2312" w:cs="仿宋_GB2312"/>
                <w:b w:val="0"/>
                <w:bCs w:val="0"/>
                <w:i w:val="0"/>
                <w:iCs w:val="0"/>
                <w:color w:val="000000"/>
                <w:sz w:val="24"/>
                <w:szCs w:val="24"/>
                <w:u w:val="none"/>
                <w:lang w:val="en-US" w:eastAsia="zh-CN"/>
              </w:rPr>
              <w:t>20</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38"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8987"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药品零售连锁企业直营门店、加盟店未按七统一管理，每发现1家-10分，扣完为止</w:t>
            </w:r>
          </w:p>
        </w:tc>
        <w:tc>
          <w:tcPr>
            <w:tcW w:w="1231" w:type="dxa"/>
            <w:noWrap w:val="0"/>
            <w:vAlign w:val="center"/>
          </w:tcPr>
          <w:p>
            <w:pPr>
              <w:keepNext w:val="0"/>
              <w:keepLines w:val="0"/>
              <w:pageBreakBefore w:val="0"/>
              <w:widowControl/>
              <w:wordWrap/>
              <w:overflowPunct/>
              <w:topLinePunct w:val="0"/>
              <w:bidi w:val="0"/>
              <w:spacing w:line="300" w:lineRule="exact"/>
              <w:rPr>
                <w:rFonts w:hint="eastAsia" w:ascii="Times New Roman" w:hAnsi="Times New Roman" w:eastAsia="仿宋_GB2312" w:cs="仿宋_GB2312"/>
                <w:i w:val="0"/>
                <w:iCs w:val="0"/>
                <w:color w:val="000000"/>
                <w:sz w:val="24"/>
                <w:szCs w:val="24"/>
                <w:u w:val="none"/>
              </w:rPr>
            </w:pPr>
          </w:p>
        </w:tc>
      </w:tr>
    </w:tbl>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025"/>
        <w:gridCol w:w="1725"/>
        <w:gridCol w:w="8985"/>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27"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黑体" w:cs="黑体"/>
                <w:b w:val="0"/>
                <w:bCs w:val="0"/>
                <w:i w:val="0"/>
                <w:iCs w:val="0"/>
                <w:color w:val="000000"/>
                <w:kern w:val="2"/>
                <w:sz w:val="24"/>
                <w:szCs w:val="24"/>
                <w:u w:val="none"/>
                <w:lang w:val="en-US" w:eastAsia="zh-CN" w:bidi="ar-SA"/>
              </w:rPr>
            </w:pPr>
            <w:r>
              <w:rPr>
                <w:rFonts w:hint="eastAsia" w:ascii="Times New Roman" w:hAnsi="Times New Roman" w:eastAsia="黑体" w:cs="黑体"/>
                <w:b w:val="0"/>
                <w:bCs w:val="0"/>
                <w:i w:val="0"/>
                <w:iCs w:val="0"/>
                <w:snapToGrid w:val="0"/>
                <w:color w:val="000000"/>
                <w:kern w:val="0"/>
                <w:sz w:val="24"/>
                <w:szCs w:val="24"/>
                <w:u w:val="none"/>
                <w:lang w:val="en-US" w:eastAsia="zh-CN" w:bidi="ar"/>
              </w:rPr>
              <w:t>序号</w:t>
            </w:r>
          </w:p>
        </w:tc>
        <w:tc>
          <w:tcPr>
            <w:tcW w:w="2025"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黑体" w:cs="黑体"/>
                <w:b w:val="0"/>
                <w:bCs w:val="0"/>
                <w:i w:val="0"/>
                <w:iCs w:val="0"/>
                <w:color w:val="000000"/>
                <w:kern w:val="2"/>
                <w:sz w:val="24"/>
                <w:szCs w:val="24"/>
                <w:u w:val="none"/>
                <w:lang w:val="en-US" w:eastAsia="zh-CN" w:bidi="ar-SA"/>
              </w:rPr>
            </w:pPr>
            <w:r>
              <w:rPr>
                <w:rFonts w:hint="eastAsia" w:ascii="Times New Roman" w:hAnsi="Times New Roman" w:eastAsia="黑体" w:cs="黑体"/>
                <w:b w:val="0"/>
                <w:bCs w:val="0"/>
                <w:i w:val="0"/>
                <w:iCs w:val="0"/>
                <w:snapToGrid w:val="0"/>
                <w:color w:val="000000"/>
                <w:kern w:val="0"/>
                <w:sz w:val="24"/>
                <w:szCs w:val="24"/>
                <w:u w:val="none"/>
                <w:lang w:val="en-US" w:eastAsia="zh-CN" w:bidi="ar"/>
              </w:rPr>
              <w:t>一级指标</w:t>
            </w:r>
          </w:p>
        </w:tc>
        <w:tc>
          <w:tcPr>
            <w:tcW w:w="1725"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黑体" w:cs="黑体"/>
                <w:b w:val="0"/>
                <w:bCs w:val="0"/>
                <w:i w:val="0"/>
                <w:iCs w:val="0"/>
                <w:color w:val="000000"/>
                <w:kern w:val="2"/>
                <w:sz w:val="24"/>
                <w:szCs w:val="24"/>
                <w:u w:val="none"/>
                <w:lang w:val="en-US" w:eastAsia="zh-CN" w:bidi="ar-SA"/>
              </w:rPr>
            </w:pPr>
            <w:r>
              <w:rPr>
                <w:rFonts w:hint="eastAsia" w:ascii="Times New Roman" w:hAnsi="Times New Roman" w:eastAsia="黑体" w:cs="黑体"/>
                <w:b w:val="0"/>
                <w:bCs w:val="0"/>
                <w:i w:val="0"/>
                <w:iCs w:val="0"/>
                <w:snapToGrid w:val="0"/>
                <w:color w:val="000000"/>
                <w:kern w:val="0"/>
                <w:sz w:val="24"/>
                <w:szCs w:val="24"/>
                <w:u w:val="none"/>
                <w:lang w:val="en-US" w:eastAsia="zh-CN" w:bidi="ar"/>
              </w:rPr>
              <w:t>二级指标</w:t>
            </w:r>
          </w:p>
        </w:tc>
        <w:tc>
          <w:tcPr>
            <w:tcW w:w="8985"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黑体" w:cs="黑体"/>
                <w:b w:val="0"/>
                <w:bCs w:val="0"/>
                <w:i w:val="0"/>
                <w:iCs w:val="0"/>
                <w:color w:val="000000"/>
                <w:kern w:val="2"/>
                <w:sz w:val="24"/>
                <w:szCs w:val="24"/>
                <w:u w:val="none"/>
                <w:lang w:val="en-US" w:eastAsia="zh-CN" w:bidi="ar-SA"/>
              </w:rPr>
            </w:pPr>
            <w:r>
              <w:rPr>
                <w:rFonts w:hint="eastAsia" w:ascii="Times New Roman" w:hAnsi="Times New Roman" w:eastAsia="黑体" w:cs="黑体"/>
                <w:b w:val="0"/>
                <w:bCs w:val="0"/>
                <w:i w:val="0"/>
                <w:iCs w:val="0"/>
                <w:snapToGrid w:val="0"/>
                <w:color w:val="000000"/>
                <w:kern w:val="0"/>
                <w:sz w:val="24"/>
                <w:szCs w:val="24"/>
                <w:u w:val="none"/>
                <w:lang w:val="en-US" w:eastAsia="zh-CN" w:bidi="ar"/>
              </w:rPr>
              <w:t>评价标准</w:t>
            </w:r>
          </w:p>
        </w:tc>
        <w:tc>
          <w:tcPr>
            <w:tcW w:w="1261"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黑体" w:cs="黑体"/>
                <w:b w:val="0"/>
                <w:bCs w:val="0"/>
                <w:i w:val="0"/>
                <w:iCs w:val="0"/>
                <w:color w:val="000000"/>
                <w:kern w:val="2"/>
                <w:sz w:val="24"/>
                <w:szCs w:val="24"/>
                <w:u w:val="none"/>
                <w:lang w:val="en-US" w:eastAsia="zh-CN" w:bidi="ar-SA"/>
              </w:rPr>
            </w:pPr>
            <w:r>
              <w:rPr>
                <w:rFonts w:hint="eastAsia" w:ascii="Times New Roman" w:hAnsi="Times New Roman" w:eastAsia="黑体" w:cs="黑体"/>
                <w:b w:val="0"/>
                <w:bCs w:val="0"/>
                <w:i w:val="0"/>
                <w:iCs w:val="0"/>
                <w:snapToGrid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27"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color w:val="000000"/>
                <w:sz w:val="24"/>
                <w:szCs w:val="24"/>
                <w:u w:val="none"/>
                <w:lang w:val="en-US" w:eastAsia="zh-CN"/>
              </w:rPr>
            </w:pPr>
            <w:r>
              <w:rPr>
                <w:rFonts w:hint="eastAsia" w:ascii="Times New Roman" w:hAnsi="Times New Roman" w:eastAsia="仿宋_GB2312" w:cs="仿宋_GB2312"/>
                <w:b w:val="0"/>
                <w:bCs w:val="0"/>
                <w:i w:val="0"/>
                <w:iCs w:val="0"/>
                <w:color w:val="000000"/>
                <w:sz w:val="24"/>
                <w:szCs w:val="24"/>
                <w:u w:val="none"/>
                <w:lang w:val="en-US" w:eastAsia="zh-CN"/>
              </w:rPr>
              <w:t>21</w:t>
            </w:r>
          </w:p>
        </w:tc>
        <w:tc>
          <w:tcPr>
            <w:tcW w:w="2025" w:type="dxa"/>
            <w:vMerge w:val="restart"/>
            <w:noWrap w:val="0"/>
            <w:vAlign w:val="center"/>
          </w:tcPr>
          <w:p>
            <w:pPr>
              <w:keepNext w:val="0"/>
              <w:keepLines w:val="0"/>
              <w:pageBreakBefore w:val="0"/>
              <w:widowControl/>
              <w:numPr>
                <w:ilvl w:val="0"/>
                <w:numId w:val="0"/>
              </w:numPr>
              <w:wordWrap/>
              <w:overflowPunct/>
              <w:topLinePunct w:val="0"/>
              <w:bidi w:val="0"/>
              <w:spacing w:line="300" w:lineRule="exact"/>
              <w:jc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三、监督管理</w:t>
            </w:r>
          </w:p>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（25分）</w:t>
            </w:r>
          </w:p>
        </w:tc>
        <w:tc>
          <w:tcPr>
            <w:tcW w:w="1725"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配合监管</w:t>
            </w:r>
          </w:p>
        </w:tc>
        <w:tc>
          <w:tcPr>
            <w:tcW w:w="8985"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许可检查、常规检查、有因检查和其他检查中发现的问题，企业未在规定时间内按要求完成整改的，-10分/次</w:t>
            </w:r>
          </w:p>
        </w:tc>
        <w:tc>
          <w:tcPr>
            <w:tcW w:w="1261" w:type="dxa"/>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7"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color w:val="000000"/>
                <w:sz w:val="24"/>
                <w:szCs w:val="24"/>
                <w:u w:val="none"/>
                <w:lang w:val="en-US" w:eastAsia="zh-CN"/>
              </w:rPr>
            </w:pPr>
            <w:r>
              <w:rPr>
                <w:rFonts w:hint="eastAsia" w:ascii="Times New Roman" w:hAnsi="Times New Roman" w:eastAsia="仿宋_GB2312" w:cs="仿宋_GB2312"/>
                <w:b w:val="0"/>
                <w:bCs w:val="0"/>
                <w:i w:val="0"/>
                <w:iCs w:val="0"/>
                <w:color w:val="000000"/>
                <w:sz w:val="24"/>
                <w:szCs w:val="24"/>
                <w:u w:val="none"/>
                <w:lang w:val="en-US" w:eastAsia="zh-CN"/>
              </w:rPr>
              <w:t>22</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8985"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阻碍负责药品监督管理工作人员依法执行职务的，或拒绝、逃避监督检查的</w:t>
            </w:r>
          </w:p>
        </w:tc>
        <w:tc>
          <w:tcPr>
            <w:tcW w:w="1261"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直接评定为D级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27"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color w:val="000000"/>
                <w:sz w:val="24"/>
                <w:szCs w:val="24"/>
                <w:u w:val="none"/>
                <w:lang w:val="en-US" w:eastAsia="zh-CN"/>
              </w:rPr>
            </w:pPr>
            <w:r>
              <w:rPr>
                <w:rFonts w:hint="eastAsia" w:ascii="Times New Roman" w:hAnsi="Times New Roman" w:eastAsia="仿宋_GB2312" w:cs="仿宋_GB2312"/>
                <w:b w:val="0"/>
                <w:bCs w:val="0"/>
                <w:i w:val="0"/>
                <w:iCs w:val="0"/>
                <w:color w:val="000000"/>
                <w:sz w:val="24"/>
                <w:szCs w:val="24"/>
                <w:u w:val="none"/>
                <w:lang w:val="en-US" w:eastAsia="zh-CN"/>
              </w:rPr>
              <w:t>23</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8985"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伪造、销毁、隐匿证据的或者隐藏、转移、变卖、损毁依法查封、扣押物品的</w:t>
            </w:r>
          </w:p>
        </w:tc>
        <w:tc>
          <w:tcPr>
            <w:tcW w:w="1261"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7" w:type="dxa"/>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val="0"/>
                <w:bCs w:val="0"/>
                <w:i w:val="0"/>
                <w:iCs w:val="0"/>
                <w:color w:val="000000"/>
                <w:sz w:val="24"/>
                <w:szCs w:val="24"/>
                <w:u w:val="none"/>
                <w:lang w:val="en-US" w:eastAsia="zh-CN"/>
              </w:rPr>
            </w:pPr>
            <w:r>
              <w:rPr>
                <w:rFonts w:hint="eastAsia" w:ascii="Times New Roman" w:hAnsi="Times New Roman" w:eastAsia="仿宋_GB2312" w:cs="仿宋_GB2312"/>
                <w:b w:val="0"/>
                <w:bCs w:val="0"/>
                <w:i w:val="0"/>
                <w:iCs w:val="0"/>
                <w:color w:val="000000"/>
                <w:sz w:val="24"/>
                <w:szCs w:val="24"/>
                <w:u w:val="none"/>
                <w:lang w:val="en-US" w:eastAsia="zh-CN"/>
              </w:rPr>
              <w:t>24</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25" w:type="dxa"/>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质量抽检</w:t>
            </w:r>
          </w:p>
        </w:tc>
        <w:tc>
          <w:tcPr>
            <w:tcW w:w="8985"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spacing w:val="-11"/>
                <w:kern w:val="0"/>
                <w:sz w:val="24"/>
                <w:szCs w:val="24"/>
                <w:u w:val="none"/>
                <w:lang w:val="en-US" w:eastAsia="zh-CN" w:bidi="ar"/>
              </w:rPr>
              <w:t>产品质量抽检不合格（存在主观过错）的（以复检结果为准），-2分/批次，不超过10分</w:t>
            </w:r>
          </w:p>
        </w:tc>
        <w:tc>
          <w:tcPr>
            <w:tcW w:w="1261" w:type="dxa"/>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27"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color w:val="000000"/>
                <w:sz w:val="24"/>
                <w:szCs w:val="24"/>
                <w:u w:val="none"/>
                <w:lang w:val="en-US" w:eastAsia="zh-CN"/>
              </w:rPr>
            </w:pPr>
            <w:r>
              <w:rPr>
                <w:rFonts w:hint="eastAsia" w:ascii="Times New Roman" w:hAnsi="Times New Roman" w:eastAsia="仿宋_GB2312" w:cs="仿宋_GB2312"/>
                <w:b w:val="0"/>
                <w:bCs w:val="0"/>
                <w:i w:val="0"/>
                <w:iCs w:val="0"/>
                <w:color w:val="000000"/>
                <w:sz w:val="24"/>
                <w:szCs w:val="24"/>
                <w:u w:val="none"/>
                <w:lang w:val="en-US" w:eastAsia="zh-CN"/>
              </w:rPr>
              <w:t>25</w:t>
            </w:r>
          </w:p>
        </w:tc>
        <w:tc>
          <w:tcPr>
            <w:tcW w:w="2025" w:type="dxa"/>
            <w:vMerge w:val="restart"/>
            <w:noWrap w:val="0"/>
            <w:vAlign w:val="center"/>
          </w:tcPr>
          <w:p>
            <w:pPr>
              <w:keepNext w:val="0"/>
              <w:keepLines w:val="0"/>
              <w:pageBreakBefore w:val="0"/>
              <w:widowControl/>
              <w:numPr>
                <w:ilvl w:val="0"/>
                <w:numId w:val="0"/>
              </w:numPr>
              <w:suppressLineNumbers w:val="0"/>
              <w:wordWrap/>
              <w:overflowPunct/>
              <w:topLinePunct w:val="0"/>
              <w:bidi w:val="0"/>
              <w:spacing w:line="300" w:lineRule="exact"/>
              <w:ind w:leftChars="0"/>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四、社会责任</w:t>
            </w:r>
          </w:p>
          <w:p>
            <w:pPr>
              <w:keepNext w:val="0"/>
              <w:keepLines w:val="0"/>
              <w:pageBreakBefore w:val="0"/>
              <w:widowControl/>
              <w:numPr>
                <w:ilvl w:val="0"/>
                <w:numId w:val="0"/>
              </w:numPr>
              <w:suppressLineNumbers w:val="0"/>
              <w:wordWrap/>
              <w:overflowPunct/>
              <w:topLinePunct w:val="0"/>
              <w:bidi w:val="0"/>
              <w:spacing w:line="300" w:lineRule="exact"/>
              <w:ind w:leftChars="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（10分）</w:t>
            </w:r>
          </w:p>
        </w:tc>
        <w:tc>
          <w:tcPr>
            <w:tcW w:w="1725"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投诉举报</w:t>
            </w:r>
          </w:p>
        </w:tc>
        <w:tc>
          <w:tcPr>
            <w:tcW w:w="8985"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存在与产品质量的投诉举报被查实，且企业未履行查验责任的，-3分/次</w:t>
            </w:r>
          </w:p>
        </w:tc>
        <w:tc>
          <w:tcPr>
            <w:tcW w:w="1261" w:type="dxa"/>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val="0"/>
                <w:bCs w:val="0"/>
                <w:i w:val="0"/>
                <w:iCs w:val="0"/>
                <w:color w:val="000000"/>
                <w:sz w:val="24"/>
                <w:szCs w:val="24"/>
                <w:u w:val="none"/>
                <w:lang w:val="en-US" w:eastAsia="zh-CN"/>
              </w:rPr>
            </w:pPr>
            <w:r>
              <w:rPr>
                <w:rFonts w:hint="eastAsia" w:ascii="Times New Roman" w:hAnsi="Times New Roman" w:eastAsia="仿宋_GB2312" w:cs="仿宋_GB2312"/>
                <w:b w:val="0"/>
                <w:bCs w:val="0"/>
                <w:i w:val="0"/>
                <w:iCs w:val="0"/>
                <w:color w:val="000000"/>
                <w:sz w:val="24"/>
                <w:szCs w:val="24"/>
                <w:u w:val="none"/>
                <w:lang w:val="en-US" w:eastAsia="zh-CN"/>
              </w:rPr>
              <w:t>26</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25"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社会舆情</w:t>
            </w:r>
          </w:p>
        </w:tc>
        <w:tc>
          <w:tcPr>
            <w:tcW w:w="8985"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spacing w:val="-6"/>
                <w:kern w:val="0"/>
                <w:sz w:val="24"/>
                <w:szCs w:val="24"/>
                <w:u w:val="none"/>
                <w:lang w:val="en-US" w:eastAsia="zh-CN" w:bidi="ar"/>
              </w:rPr>
              <w:t>因产品质量原因引发社会舆情，被省级以上媒体曝光，造成社会不良影响的，-5分/次</w:t>
            </w:r>
          </w:p>
        </w:tc>
        <w:tc>
          <w:tcPr>
            <w:tcW w:w="1261" w:type="dxa"/>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7"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color w:val="000000"/>
                <w:sz w:val="24"/>
                <w:szCs w:val="24"/>
                <w:u w:val="none"/>
                <w:lang w:val="en-US" w:eastAsia="zh-CN"/>
              </w:rPr>
            </w:pPr>
            <w:r>
              <w:rPr>
                <w:rFonts w:hint="eastAsia" w:ascii="Times New Roman" w:hAnsi="Times New Roman" w:eastAsia="仿宋_GB2312" w:cs="仿宋_GB2312"/>
                <w:b w:val="0"/>
                <w:bCs w:val="0"/>
                <w:i w:val="0"/>
                <w:iCs w:val="0"/>
                <w:color w:val="000000"/>
                <w:sz w:val="24"/>
                <w:szCs w:val="24"/>
                <w:u w:val="none"/>
                <w:lang w:val="en-US" w:eastAsia="zh-CN"/>
              </w:rPr>
              <w:t>27</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25"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公共信用</w:t>
            </w:r>
          </w:p>
        </w:tc>
        <w:tc>
          <w:tcPr>
            <w:tcW w:w="8985"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企业被其他行政管理部门列入严重违法失信名单的，-10分/次</w:t>
            </w:r>
          </w:p>
        </w:tc>
        <w:tc>
          <w:tcPr>
            <w:tcW w:w="1261" w:type="dxa"/>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27"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仿宋_GB2312"/>
                <w:b w:val="0"/>
                <w:bCs w:val="0"/>
                <w:i w:val="0"/>
                <w:iCs w:val="0"/>
                <w:color w:val="000000"/>
                <w:sz w:val="24"/>
                <w:szCs w:val="24"/>
                <w:u w:val="none"/>
                <w:lang w:val="en-US"/>
              </w:rPr>
            </w:pP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t>28</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25"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其他情形</w:t>
            </w:r>
          </w:p>
        </w:tc>
        <w:tc>
          <w:tcPr>
            <w:tcW w:w="8985"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存在其他造成社会不良影响的情形，被省级以上媒体曝光的，-5分/次</w:t>
            </w:r>
          </w:p>
        </w:tc>
        <w:tc>
          <w:tcPr>
            <w:tcW w:w="1261" w:type="dxa"/>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27"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仿宋_GB2312"/>
                <w:b w:val="0"/>
                <w:bCs w:val="0"/>
                <w:i w:val="0"/>
                <w:iCs w:val="0"/>
                <w:color w:val="000000"/>
                <w:sz w:val="24"/>
                <w:szCs w:val="24"/>
                <w:u w:val="none"/>
                <w:lang w:val="en-US" w:eastAsia="zh-CN"/>
              </w:rPr>
            </w:pPr>
            <w:r>
              <w:rPr>
                <w:rFonts w:hint="eastAsia" w:ascii="Times New Roman" w:hAnsi="Times New Roman" w:eastAsia="仿宋_GB2312" w:cs="仿宋_GB2312"/>
                <w:b w:val="0"/>
                <w:bCs w:val="0"/>
                <w:i w:val="0"/>
                <w:iCs w:val="0"/>
                <w:color w:val="000000"/>
                <w:sz w:val="24"/>
                <w:szCs w:val="24"/>
                <w:u w:val="none"/>
                <w:lang w:val="en-US" w:eastAsia="zh-CN"/>
              </w:rPr>
              <w:t>29</w:t>
            </w:r>
          </w:p>
        </w:tc>
        <w:tc>
          <w:tcPr>
            <w:tcW w:w="2025" w:type="dxa"/>
            <w:vMerge w:val="restart"/>
            <w:noWrap w:val="0"/>
            <w:vAlign w:val="center"/>
          </w:tcPr>
          <w:p>
            <w:pPr>
              <w:keepNext w:val="0"/>
              <w:keepLines w:val="0"/>
              <w:pageBreakBefore w:val="0"/>
              <w:widowControl/>
              <w:numPr>
                <w:ilvl w:val="0"/>
                <w:numId w:val="0"/>
              </w:numPr>
              <w:suppressLineNumbers w:val="0"/>
              <w:wordWrap/>
              <w:overflowPunct/>
              <w:topLinePunct w:val="0"/>
              <w:bidi w:val="0"/>
              <w:spacing w:line="300" w:lineRule="exact"/>
              <w:ind w:leftChars="0"/>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五、正向激励</w:t>
            </w:r>
          </w:p>
          <w:p>
            <w:pPr>
              <w:keepNext w:val="0"/>
              <w:keepLines w:val="0"/>
              <w:pageBreakBefore w:val="0"/>
              <w:widowControl/>
              <w:numPr>
                <w:ilvl w:val="0"/>
                <w:numId w:val="0"/>
              </w:numPr>
              <w:suppressLineNumbers w:val="0"/>
              <w:wordWrap/>
              <w:overflowPunct/>
              <w:topLinePunct w:val="0"/>
              <w:bidi w:val="0"/>
              <w:spacing w:line="300" w:lineRule="exact"/>
              <w:ind w:leftChars="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（10分）</w:t>
            </w:r>
          </w:p>
        </w:tc>
        <w:tc>
          <w:tcPr>
            <w:tcW w:w="1725" w:type="dxa"/>
            <w:vMerge w:val="restart"/>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表彰奖励</w:t>
            </w:r>
          </w:p>
        </w:tc>
        <w:tc>
          <w:tcPr>
            <w:tcW w:w="8985"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企业在药品质量安全方面发挥典型示范带动作用获政府部门表彰的，其中国家级＋5分、省级＋3分（同一事项获不同级别政府表彰的，取级别最高表彰进行加分）</w:t>
            </w:r>
          </w:p>
        </w:tc>
        <w:tc>
          <w:tcPr>
            <w:tcW w:w="1261" w:type="dxa"/>
            <w:noWrap w:val="0"/>
            <w:vAlign w:val="center"/>
          </w:tcPr>
          <w:p>
            <w:pPr>
              <w:keepNext w:val="0"/>
              <w:keepLines w:val="0"/>
              <w:pageBreakBefore w:val="0"/>
              <w:widowControl/>
              <w:wordWrap/>
              <w:overflowPunct/>
              <w:topLinePunct w:val="0"/>
              <w:bidi w:val="0"/>
              <w:spacing w:line="30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27"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color w:val="000000"/>
                <w:sz w:val="24"/>
                <w:szCs w:val="24"/>
                <w:u w:val="none"/>
                <w:lang w:val="en-US" w:eastAsia="zh-CN"/>
              </w:rPr>
            </w:pPr>
            <w:r>
              <w:rPr>
                <w:rFonts w:hint="eastAsia" w:ascii="Times New Roman" w:hAnsi="Times New Roman" w:eastAsia="仿宋_GB2312" w:cs="仿宋_GB2312"/>
                <w:b w:val="0"/>
                <w:bCs w:val="0"/>
                <w:i w:val="0"/>
                <w:iCs w:val="0"/>
                <w:color w:val="000000"/>
                <w:sz w:val="24"/>
                <w:szCs w:val="24"/>
                <w:u w:val="none"/>
                <w:lang w:val="en-US" w:eastAsia="zh-CN"/>
              </w:rPr>
              <w:t>30</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8985"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企业因药品质量安全情况获得行业协会表彰的，国家级＋3分、省级＋2分（同一事项获不同级别行业协会表彰的，取级别最高表彰进行加分）</w:t>
            </w:r>
          </w:p>
        </w:tc>
        <w:tc>
          <w:tcPr>
            <w:tcW w:w="1261" w:type="dxa"/>
            <w:noWrap w:val="0"/>
            <w:vAlign w:val="center"/>
          </w:tcPr>
          <w:p>
            <w:pPr>
              <w:keepNext w:val="0"/>
              <w:keepLines w:val="0"/>
              <w:pageBreakBefore w:val="0"/>
              <w:widowControl/>
              <w:wordWrap/>
              <w:overflowPunct/>
              <w:topLinePunct w:val="0"/>
              <w:bidi w:val="0"/>
              <w:spacing w:line="30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27"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仿宋_GB2312"/>
                <w:b w:val="0"/>
                <w:bCs w:val="0"/>
                <w:i w:val="0"/>
                <w:iCs w:val="0"/>
                <w:color w:val="000000"/>
                <w:sz w:val="24"/>
                <w:szCs w:val="24"/>
                <w:u w:val="none"/>
                <w:lang w:val="en-US" w:eastAsia="zh-CN"/>
              </w:rPr>
            </w:pPr>
            <w:r>
              <w:rPr>
                <w:rFonts w:hint="eastAsia" w:ascii="Times New Roman" w:hAnsi="Times New Roman" w:eastAsia="仿宋_GB2312" w:cs="仿宋_GB2312"/>
                <w:b w:val="0"/>
                <w:bCs w:val="0"/>
                <w:i w:val="0"/>
                <w:iCs w:val="0"/>
                <w:color w:val="000000"/>
                <w:sz w:val="24"/>
                <w:szCs w:val="24"/>
                <w:u w:val="none"/>
                <w:lang w:val="en-US" w:eastAsia="zh-CN"/>
              </w:rPr>
              <w:t>31</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25" w:type="dxa"/>
            <w:vMerge w:val="restart"/>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eastAsia="zh-CN"/>
              </w:rPr>
            </w:pPr>
            <w:r>
              <w:rPr>
                <w:rFonts w:hint="eastAsia" w:ascii="Times New Roman" w:hAnsi="Times New Roman" w:eastAsia="仿宋_GB2312" w:cs="仿宋_GB2312"/>
                <w:i w:val="0"/>
                <w:iCs w:val="0"/>
                <w:color w:val="000000"/>
                <w:sz w:val="24"/>
                <w:szCs w:val="24"/>
                <w:u w:val="none"/>
                <w:lang w:eastAsia="zh-CN"/>
              </w:rPr>
              <w:t>其他情形</w:t>
            </w:r>
          </w:p>
        </w:tc>
        <w:tc>
          <w:tcPr>
            <w:tcW w:w="8985"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企业在国家局或者省局组织的药品飞行检查中，无严重缺陷项、主要缺陷项，且一般缺陷项少于3项的，＋3分</w:t>
            </w:r>
          </w:p>
        </w:tc>
        <w:tc>
          <w:tcPr>
            <w:tcW w:w="1261" w:type="dxa"/>
            <w:noWrap w:val="0"/>
            <w:vAlign w:val="center"/>
          </w:tcPr>
          <w:p>
            <w:pPr>
              <w:keepNext w:val="0"/>
              <w:keepLines w:val="0"/>
              <w:pageBreakBefore w:val="0"/>
              <w:widowControl/>
              <w:wordWrap/>
              <w:overflowPunct/>
              <w:topLinePunct w:val="0"/>
              <w:bidi w:val="0"/>
              <w:spacing w:line="30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7" w:type="dxa"/>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val="0"/>
                <w:bCs w:val="0"/>
                <w:i w:val="0"/>
                <w:iCs w:val="0"/>
                <w:color w:val="000000"/>
                <w:sz w:val="24"/>
                <w:szCs w:val="24"/>
                <w:u w:val="none"/>
                <w:lang w:val="en-US" w:eastAsia="zh-CN"/>
              </w:rPr>
            </w:pPr>
            <w:r>
              <w:rPr>
                <w:rFonts w:hint="eastAsia" w:ascii="Times New Roman" w:hAnsi="Times New Roman" w:eastAsia="仿宋_GB2312" w:cs="仿宋_GB2312"/>
                <w:b w:val="0"/>
                <w:bCs w:val="0"/>
                <w:i w:val="0"/>
                <w:iCs w:val="0"/>
                <w:color w:val="000000"/>
                <w:sz w:val="24"/>
                <w:szCs w:val="24"/>
                <w:u w:val="none"/>
                <w:lang w:val="en-US" w:eastAsia="zh-CN"/>
              </w:rPr>
              <w:t>32</w:t>
            </w:r>
          </w:p>
        </w:tc>
        <w:tc>
          <w:tcPr>
            <w:tcW w:w="20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b/>
                <w:bCs/>
                <w:i w:val="0"/>
                <w:iCs w:val="0"/>
                <w:color w:val="000000"/>
                <w:sz w:val="24"/>
                <w:szCs w:val="24"/>
                <w:u w:val="none"/>
              </w:rPr>
            </w:pPr>
          </w:p>
        </w:tc>
        <w:tc>
          <w:tcPr>
            <w:tcW w:w="1725" w:type="dxa"/>
            <w:vMerge w:val="continue"/>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8985" w:type="dxa"/>
            <w:noWrap w:val="0"/>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企业上年度信用等级评定为A级的，＋1分</w:t>
            </w:r>
          </w:p>
        </w:tc>
        <w:tc>
          <w:tcPr>
            <w:tcW w:w="1261" w:type="dxa"/>
            <w:noWrap w:val="0"/>
            <w:vAlign w:val="center"/>
          </w:tcPr>
          <w:p>
            <w:pPr>
              <w:keepNext w:val="0"/>
              <w:keepLines w:val="0"/>
              <w:pageBreakBefore w:val="0"/>
              <w:widowControl/>
              <w:wordWrap/>
              <w:overflowPunct/>
              <w:topLinePunct w:val="0"/>
              <w:bidi w:val="0"/>
              <w:spacing w:line="30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4823" w:type="dxa"/>
            <w:gridSpan w:val="5"/>
            <w:noWrap w:val="0"/>
            <w:vAlign w:val="center"/>
          </w:tcPr>
          <w:p>
            <w:pPr>
              <w:keepNext w:val="0"/>
              <w:keepLines w:val="0"/>
              <w:pageBreakBefore w:val="0"/>
              <w:widowControl/>
              <w:suppressLineNumbers w:val="0"/>
              <w:wordWrap/>
              <w:overflowPunct/>
              <w:topLinePunct w:val="0"/>
              <w:bidi w:val="0"/>
              <w:spacing w:line="300" w:lineRule="exact"/>
              <w:jc w:val="left"/>
              <w:textAlignment w:val="cente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pP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t>备注：1.各项二级指标的加减总分超出其相应的一级指标权重分值的，加减总分以其所属一级指标分值为上限；</w:t>
            </w:r>
          </w:p>
          <w:p>
            <w:pPr>
              <w:keepNext w:val="0"/>
              <w:keepLines w:val="0"/>
              <w:pageBreakBefore w:val="0"/>
              <w:widowControl/>
              <w:suppressLineNumbers w:val="0"/>
              <w:wordWrap/>
              <w:overflowPunct/>
              <w:topLinePunct w:val="0"/>
              <w:bidi w:val="0"/>
              <w:spacing w:line="300" w:lineRule="exact"/>
              <w:ind w:firstLine="720" w:firstLineChars="300"/>
              <w:jc w:val="left"/>
              <w:textAlignment w:val="cente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pP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t>2.各项指标下，同一事项存在多个扣分项的，取最高扣分项扣分；</w:t>
            </w:r>
          </w:p>
          <w:p>
            <w:pPr>
              <w:keepNext w:val="0"/>
              <w:keepLines w:val="0"/>
              <w:pageBreakBefore w:val="0"/>
              <w:widowControl/>
              <w:suppressLineNumbers w:val="0"/>
              <w:wordWrap/>
              <w:overflowPunct/>
              <w:topLinePunct w:val="0"/>
              <w:bidi w:val="0"/>
              <w:spacing w:line="300" w:lineRule="exact"/>
              <w:ind w:firstLine="720" w:firstLineChars="300"/>
              <w:jc w:val="left"/>
              <w:textAlignment w:val="center"/>
              <w:rPr>
                <w:rFonts w:hint="eastAsia" w:ascii="Times New Roman" w:hAnsi="Times New Roman" w:eastAsia="仿宋_GB2312" w:cs="仿宋_GB2312"/>
                <w:b w:val="0"/>
                <w:bCs w:val="0"/>
                <w:i w:val="0"/>
                <w:iCs w:val="0"/>
                <w:color w:val="000000"/>
                <w:sz w:val="24"/>
                <w:szCs w:val="24"/>
                <w:u w:val="none"/>
              </w:rPr>
            </w:pP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t>3.正向激励指标项下，相应的荣誉奖励以及批件等需提供相关证明材料；</w:t>
            </w: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br w:type="textWrapping"/>
            </w:r>
            <w:r>
              <w:rPr>
                <w:rFonts w:hint="eastAsia" w:ascii="Times New Roman" w:hAnsi="Times New Roman" w:eastAsia="仿宋_GB2312" w:cs="仿宋_GB2312"/>
                <w:b w:val="0"/>
                <w:bCs w:val="0"/>
                <w:i w:val="0"/>
                <w:iCs w:val="0"/>
                <w:snapToGrid w:val="0"/>
                <w:color w:val="000000"/>
                <w:kern w:val="0"/>
                <w:sz w:val="24"/>
                <w:szCs w:val="24"/>
                <w:u w:val="none"/>
                <w:lang w:val="en-US" w:eastAsia="zh-CN" w:bidi="ar"/>
              </w:rPr>
              <w:t xml:space="preserve">      4.符合《湖南省药品安全信用管理办法（试行）》第十七条至第二十条情形，经审核同意进行信用修复的，按原扣分值50%予以扣分</w:t>
            </w:r>
          </w:p>
        </w:tc>
      </w:tr>
    </w:tbl>
    <w:p>
      <w:pPr>
        <w:rPr>
          <w:rFonts w:ascii="Times New Roman" w:hAnsi="Times New Roman"/>
          <w:color w:val="000000"/>
        </w:rPr>
        <w:sectPr>
          <w:pgSz w:w="16783" w:h="11850" w:orient="landscape"/>
          <w:pgMar w:top="1417" w:right="1417" w:bottom="1417" w:left="1417" w:header="720" w:footer="720" w:gutter="0"/>
          <w:lnNumType w:countBy="0" w:distance="360"/>
          <w:pgNumType w:fmt="numberInDash"/>
          <w:cols w:space="720" w:num="1"/>
          <w:rtlGutter w:val="0"/>
          <w:docGrid w:type="lines" w:linePitch="312" w:charSpace="0"/>
        </w:sect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default" w:ascii="Times New Roman" w:hAnsi="Times New Roman" w:eastAsia="黑体" w:cs="黑体"/>
          <w:b w:val="0"/>
          <w:bCs w:val="0"/>
          <w:i w:val="0"/>
          <w:iCs w:val="0"/>
          <w:caps w:val="0"/>
          <w:color w:val="000000"/>
          <w:spacing w:val="0"/>
          <w:sz w:val="32"/>
          <w:szCs w:val="32"/>
          <w:shd w:val="clear" w:color="auto" w:fill="FFFFFF"/>
          <w:lang w:val="en-US" w:eastAsia="zh-CN"/>
        </w:rPr>
      </w:pPr>
      <w:r>
        <w:rPr>
          <w:rFonts w:hint="eastAsia" w:ascii="Times New Roman" w:hAnsi="Times New Roman" w:eastAsia="黑体" w:cs="黑体"/>
          <w:b w:val="0"/>
          <w:bCs w:val="0"/>
          <w:i w:val="0"/>
          <w:iCs w:val="0"/>
          <w:caps w:val="0"/>
          <w:color w:val="000000"/>
          <w:spacing w:val="0"/>
          <w:sz w:val="32"/>
          <w:szCs w:val="32"/>
          <w:shd w:val="clear" w:color="auto" w:fill="FFFFFF"/>
          <w:lang w:val="en-US" w:eastAsia="zh-CN"/>
        </w:rPr>
        <w:t>附件3</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rightChars="0"/>
        <w:textAlignment w:val="auto"/>
        <w:rPr>
          <w:rFonts w:hint="eastAsia" w:ascii="Times New Roman" w:hAnsi="Times New Roman" w:eastAsia="黑体" w:cs="黑体"/>
          <w:b w:val="0"/>
          <w:bCs w:val="0"/>
          <w:i w:val="0"/>
          <w:iCs w:val="0"/>
          <w:caps w:val="0"/>
          <w:color w:val="000000"/>
          <w:spacing w:val="0"/>
          <w:sz w:val="32"/>
          <w:szCs w:val="32"/>
          <w:shd w:val="clear" w:color="auto"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小标宋_GBK" w:cs="方正小标宋_GBK"/>
          <w:b w:val="0"/>
          <w:bCs w:val="0"/>
          <w:i w:val="0"/>
          <w:iCs w:val="0"/>
          <w:caps w:val="0"/>
          <w:color w:val="000000"/>
          <w:spacing w:val="-6"/>
          <w:w w:val="97"/>
          <w:sz w:val="44"/>
          <w:szCs w:val="44"/>
          <w:shd w:val="clear" w:color="auto" w:fill="FFFFFF"/>
          <w:lang w:val="en-US" w:eastAsia="zh-CN"/>
        </w:rPr>
      </w:pPr>
      <w:r>
        <w:rPr>
          <w:rFonts w:hint="eastAsia" w:ascii="Times New Roman" w:hAnsi="Times New Roman" w:eastAsia="方正小标宋_GBK" w:cs="方正小标宋_GBK"/>
          <w:b w:val="0"/>
          <w:bCs w:val="0"/>
          <w:i w:val="0"/>
          <w:iCs w:val="0"/>
          <w:caps w:val="0"/>
          <w:color w:val="000000"/>
          <w:spacing w:val="-6"/>
          <w:w w:val="97"/>
          <w:sz w:val="44"/>
          <w:szCs w:val="44"/>
          <w:shd w:val="clear" w:color="auto" w:fill="FFFFFF"/>
          <w:lang w:val="en-US" w:eastAsia="zh-CN"/>
        </w:rPr>
        <w:t>湖南省第二类和第三类医疗器械生产企业医疗器械安全信用评价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小标宋_GBK" w:cs="方正小标宋_GBK"/>
          <w:b w:val="0"/>
          <w:bCs w:val="0"/>
          <w:i w:val="0"/>
          <w:iCs w:val="0"/>
          <w:caps w:val="0"/>
          <w:color w:val="000000"/>
          <w:spacing w:val="-6"/>
          <w:w w:val="97"/>
          <w:sz w:val="44"/>
          <w:szCs w:val="44"/>
          <w:shd w:val="clear" w:color="auto" w:fill="FFFFFF"/>
          <w:lang w:val="en-US" w:eastAsia="zh-CN"/>
        </w:rPr>
      </w:pPr>
      <w:r>
        <w:rPr>
          <w:rFonts w:hint="eastAsia" w:ascii="Times New Roman" w:hAnsi="Times New Roman" w:eastAsia="方正小标宋_GBK" w:cs="方正小标宋_GBK"/>
          <w:b w:val="0"/>
          <w:bCs w:val="0"/>
          <w:i w:val="0"/>
          <w:iCs w:val="0"/>
          <w:caps w:val="0"/>
          <w:color w:val="000000"/>
          <w:spacing w:val="-6"/>
          <w:w w:val="97"/>
          <w:sz w:val="44"/>
          <w:szCs w:val="44"/>
          <w:shd w:val="clear" w:color="auto" w:fill="FFFFFF"/>
          <w:lang w:val="en-US" w:eastAsia="zh-CN"/>
        </w:rPr>
        <w:t>指标及评分标准（试行）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小标宋_GBK" w:cs="方正小标宋_GBK"/>
          <w:b w:val="0"/>
          <w:bCs w:val="0"/>
          <w:i w:val="0"/>
          <w:iCs w:val="0"/>
          <w:caps w:val="0"/>
          <w:color w:val="000000"/>
          <w:spacing w:val="-6"/>
          <w:w w:val="97"/>
          <w:sz w:val="44"/>
          <w:szCs w:val="44"/>
          <w:shd w:val="clear" w:color="auto" w:fill="FFFFFF"/>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4"/>
        <w:gridCol w:w="2040"/>
        <w:gridCol w:w="1710"/>
        <w:gridCol w:w="8970"/>
        <w:gridCol w:w="12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blHeader/>
          <w:jc w:val="center"/>
        </w:trPr>
        <w:tc>
          <w:tcPr>
            <w:tcW w:w="814" w:type="dxa"/>
            <w:tcBorders>
              <w:bottom w:val="single" w:color="auto"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黑体" w:cs="黑体"/>
                <w:i w:val="0"/>
                <w:iCs w:val="0"/>
                <w:snapToGrid w:val="0"/>
                <w:color w:val="000000"/>
                <w:kern w:val="0"/>
                <w:sz w:val="24"/>
                <w:szCs w:val="24"/>
                <w:u w:val="none"/>
                <w:lang w:val="en-US" w:eastAsia="zh-CN" w:bidi="ar"/>
              </w:rPr>
            </w:pPr>
            <w:r>
              <w:rPr>
                <w:rFonts w:hint="eastAsia" w:ascii="Times New Roman" w:hAnsi="Times New Roman" w:eastAsia="黑体" w:cs="黑体"/>
                <w:i w:val="0"/>
                <w:iCs w:val="0"/>
                <w:snapToGrid w:val="0"/>
                <w:color w:val="000000"/>
                <w:kern w:val="0"/>
                <w:sz w:val="24"/>
                <w:szCs w:val="24"/>
                <w:u w:val="none"/>
                <w:lang w:val="en-US" w:eastAsia="zh-CN" w:bidi="ar"/>
              </w:rPr>
              <w:t>序号</w:t>
            </w:r>
          </w:p>
        </w:tc>
        <w:tc>
          <w:tcPr>
            <w:tcW w:w="2040"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黑体" w:cs="黑体"/>
                <w:i w:val="0"/>
                <w:iCs w:val="0"/>
                <w:snapToGrid w:val="0"/>
                <w:color w:val="000000"/>
                <w:kern w:val="0"/>
                <w:sz w:val="24"/>
                <w:szCs w:val="24"/>
                <w:u w:val="none"/>
                <w:lang w:val="en-US" w:eastAsia="zh-CN" w:bidi="ar"/>
              </w:rPr>
            </w:pPr>
            <w:r>
              <w:rPr>
                <w:rFonts w:hint="eastAsia" w:ascii="Times New Roman" w:hAnsi="Times New Roman" w:eastAsia="黑体" w:cs="黑体"/>
                <w:i w:val="0"/>
                <w:iCs w:val="0"/>
                <w:snapToGrid w:val="0"/>
                <w:color w:val="000000"/>
                <w:kern w:val="0"/>
                <w:sz w:val="24"/>
                <w:szCs w:val="24"/>
                <w:u w:val="none"/>
                <w:lang w:val="en-US" w:eastAsia="zh-CN" w:bidi="ar"/>
              </w:rPr>
              <w:t>一级指标</w:t>
            </w:r>
          </w:p>
        </w:tc>
        <w:tc>
          <w:tcPr>
            <w:tcW w:w="1710"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黑体" w:cs="黑体"/>
                <w:i w:val="0"/>
                <w:iCs w:val="0"/>
                <w:snapToGrid w:val="0"/>
                <w:color w:val="000000"/>
                <w:kern w:val="0"/>
                <w:sz w:val="24"/>
                <w:szCs w:val="24"/>
                <w:u w:val="none"/>
                <w:lang w:val="en-US" w:eastAsia="zh-CN" w:bidi="ar"/>
              </w:rPr>
            </w:pPr>
            <w:r>
              <w:rPr>
                <w:rFonts w:hint="eastAsia" w:ascii="Times New Roman" w:hAnsi="Times New Roman" w:eastAsia="黑体" w:cs="黑体"/>
                <w:i w:val="0"/>
                <w:iCs w:val="0"/>
                <w:snapToGrid w:val="0"/>
                <w:color w:val="000000"/>
                <w:kern w:val="0"/>
                <w:sz w:val="24"/>
                <w:szCs w:val="24"/>
                <w:u w:val="none"/>
                <w:lang w:val="en-US" w:eastAsia="zh-CN" w:bidi="ar"/>
              </w:rPr>
              <w:t>二级指标</w:t>
            </w:r>
          </w:p>
        </w:tc>
        <w:tc>
          <w:tcPr>
            <w:tcW w:w="8970"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黑体" w:cs="黑体"/>
                <w:i w:val="0"/>
                <w:iCs w:val="0"/>
                <w:snapToGrid w:val="0"/>
                <w:color w:val="000000"/>
                <w:kern w:val="0"/>
                <w:sz w:val="24"/>
                <w:szCs w:val="24"/>
                <w:u w:val="none"/>
                <w:lang w:val="en-US" w:eastAsia="zh-CN" w:bidi="ar"/>
              </w:rPr>
            </w:pPr>
            <w:r>
              <w:rPr>
                <w:rFonts w:hint="eastAsia" w:ascii="Times New Roman" w:hAnsi="Times New Roman" w:eastAsia="黑体" w:cs="黑体"/>
                <w:i w:val="0"/>
                <w:iCs w:val="0"/>
                <w:snapToGrid w:val="0"/>
                <w:color w:val="000000"/>
                <w:kern w:val="0"/>
                <w:sz w:val="24"/>
                <w:szCs w:val="24"/>
                <w:u w:val="none"/>
                <w:lang w:val="en-US" w:eastAsia="zh-CN" w:bidi="ar"/>
              </w:rPr>
              <w:t>评价指标</w:t>
            </w:r>
          </w:p>
        </w:tc>
        <w:tc>
          <w:tcPr>
            <w:tcW w:w="1232" w:type="dxa"/>
            <w:tcBorders>
              <w:left w:val="single" w:color="000000"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黑体" w:cs="黑体"/>
                <w:i w:val="0"/>
                <w:iCs w:val="0"/>
                <w:snapToGrid w:val="0"/>
                <w:color w:val="000000"/>
                <w:kern w:val="0"/>
                <w:sz w:val="24"/>
                <w:szCs w:val="24"/>
                <w:u w:val="none"/>
                <w:lang w:val="en-US" w:eastAsia="zh-CN" w:bidi="ar"/>
              </w:rPr>
            </w:pPr>
            <w:r>
              <w:rPr>
                <w:rFonts w:hint="eastAsia" w:ascii="Times New Roman" w:hAnsi="Times New Roman" w:eastAsia="黑体" w:cs="黑体"/>
                <w:i w:val="0"/>
                <w:iCs w:val="0"/>
                <w:snapToGrid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14" w:type="dxa"/>
            <w:tcBorders>
              <w:top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1</w:t>
            </w:r>
          </w:p>
        </w:tc>
        <w:tc>
          <w:tcPr>
            <w:tcW w:w="2040"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一、遵纪守法</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（30分）</w:t>
            </w:r>
          </w:p>
        </w:tc>
        <w:tc>
          <w:tcPr>
            <w:tcW w:w="1710"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color w:val="000000"/>
                <w:sz w:val="24"/>
                <w:szCs w:val="24"/>
                <w:u w:val="none"/>
                <w:lang w:eastAsia="zh-CN"/>
              </w:rPr>
              <w:t>行政处罚</w:t>
            </w:r>
          </w:p>
        </w:tc>
        <w:tc>
          <w:tcPr>
            <w:tcW w:w="897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未履行法定义务，被警告的，-5分/次</w:t>
            </w:r>
          </w:p>
        </w:tc>
        <w:tc>
          <w:tcPr>
            <w:tcW w:w="1232" w:type="dxa"/>
            <w:tcBorders>
              <w:top w:val="single" w:color="auto"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snapToGrid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1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2</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未履行法定义务，被行政处罚（警告除外）的，-10分/次</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snapToGrid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exact"/>
          <w:jc w:val="center"/>
        </w:trPr>
        <w:tc>
          <w:tcPr>
            <w:tcW w:w="81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color w:val="000000"/>
                <w:sz w:val="24"/>
                <w:szCs w:val="24"/>
                <w:u w:val="none"/>
                <w:lang w:val="en-US" w:eastAsia="zh-CN"/>
              </w:rPr>
              <w:t>3</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1710"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未履行法定义务，被行政处罚且有情节严重情形的（重大案件），不属于《办法》第十五条规定情形的，-20分/次</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snapToGrid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81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4</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1710"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未履行法定义务，被处以其他较重行政处罚的，属于《办法》第十五条规定情形的，直接评定为D级，且2年内不得调整其信用等级</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snapToGrid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1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5</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行政处理</w:t>
            </w:r>
          </w:p>
        </w:tc>
        <w:tc>
          <w:tcPr>
            <w:tcW w:w="8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受到监管部门责令限期整改的，-5分/次</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1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6</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p>
        </w:tc>
        <w:tc>
          <w:tcPr>
            <w:tcW w:w="8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受到监管部门告诫、责任约谈的，-10分/次</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exact"/>
          <w:jc w:val="center"/>
        </w:trPr>
        <w:tc>
          <w:tcPr>
            <w:tcW w:w="81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sz w:val="24"/>
                <w:szCs w:val="24"/>
                <w:u w:val="none"/>
                <w:lang w:val="en-US" w:eastAsia="zh-CN"/>
              </w:rPr>
              <w:t>7</w:t>
            </w:r>
          </w:p>
        </w:tc>
        <w:tc>
          <w:tcPr>
            <w:tcW w:w="2040"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897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因质量管理体系不能有效运行或产品存在质量问题被监管部门责令暂停生产、销售的，-10分/次</w:t>
            </w:r>
          </w:p>
        </w:tc>
        <w:tc>
          <w:tcPr>
            <w:tcW w:w="1232" w:type="dxa"/>
            <w:tcBorders>
              <w:top w:val="single" w:color="000000" w:sz="4" w:space="0"/>
              <w:left w:val="single" w:color="000000" w:sz="4" w:space="0"/>
              <w:bottom w:val="single" w:color="auto"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14"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8</w:t>
            </w:r>
          </w:p>
        </w:tc>
        <w:tc>
          <w:tcPr>
            <w:tcW w:w="20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numPr>
                <w:ilvl w:val="0"/>
                <w:numId w:val="0"/>
              </w:numPr>
              <w:suppressLineNumbers w:val="0"/>
              <w:wordWrap/>
              <w:overflowPunct/>
              <w:topLinePunct w:val="0"/>
              <w:bidi w:val="0"/>
              <w:spacing w:line="28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二、主体责任落实</w:t>
            </w:r>
          </w:p>
          <w:p>
            <w:pPr>
              <w:keepNext w:val="0"/>
              <w:keepLines w:val="0"/>
              <w:pageBreakBefore w:val="0"/>
              <w:widowControl/>
              <w:numPr>
                <w:ilvl w:val="0"/>
                <w:numId w:val="0"/>
              </w:numPr>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（25分）</w:t>
            </w:r>
          </w:p>
        </w:tc>
        <w:tc>
          <w:tcPr>
            <w:tcW w:w="17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报告事项</w:t>
            </w:r>
          </w:p>
        </w:tc>
        <w:tc>
          <w:tcPr>
            <w:tcW w:w="8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未及时上报年度质量管理体系自查报告的，-5分/次</w:t>
            </w:r>
          </w:p>
        </w:tc>
        <w:tc>
          <w:tcPr>
            <w:tcW w:w="1232" w:type="dxa"/>
            <w:tcBorders>
              <w:top w:val="single" w:color="auto" w:sz="4" w:space="0"/>
              <w:left w:val="single" w:color="auto" w:sz="4" w:space="0"/>
              <w:bottom w:val="single" w:color="auto"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exact"/>
          <w:jc w:val="center"/>
        </w:trPr>
        <w:tc>
          <w:tcPr>
            <w:tcW w:w="814" w:type="dxa"/>
            <w:tcBorders>
              <w:top w:val="single" w:color="000000"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9</w:t>
            </w:r>
          </w:p>
        </w:tc>
        <w:tc>
          <w:tcPr>
            <w:tcW w:w="20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897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根据有关法律法规，需要向监管部门报告而未报告的，-2分/次</w:t>
            </w:r>
          </w:p>
        </w:tc>
        <w:tc>
          <w:tcPr>
            <w:tcW w:w="1232" w:type="dxa"/>
            <w:tcBorders>
              <w:top w:val="single" w:color="auto"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14"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10</w:t>
            </w:r>
          </w:p>
        </w:tc>
        <w:tc>
          <w:tcPr>
            <w:tcW w:w="20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wordWrap/>
              <w:overflowPunct/>
              <w:topLinePunct w:val="0"/>
              <w:bidi w:val="0"/>
              <w:spacing w:line="280" w:lineRule="exact"/>
              <w:ind w:leftChars="0"/>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二、主体责任落实</w:t>
            </w:r>
          </w:p>
          <w:p>
            <w:pPr>
              <w:keepNext w:val="0"/>
              <w:keepLines w:val="0"/>
              <w:pageBreakBefore w:val="0"/>
              <w:widowControl/>
              <w:numPr>
                <w:ilvl w:val="0"/>
                <w:numId w:val="0"/>
              </w:numPr>
              <w:suppressLineNumbers w:val="0"/>
              <w:wordWrap/>
              <w:overflowPunct/>
              <w:topLinePunct w:val="0"/>
              <w:bidi w:val="0"/>
              <w:spacing w:line="280" w:lineRule="exact"/>
              <w:ind w:leftChars="0"/>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（25分）</w:t>
            </w:r>
          </w:p>
        </w:tc>
        <w:tc>
          <w:tcPr>
            <w:tcW w:w="17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产品风险管控</w:t>
            </w:r>
          </w:p>
        </w:tc>
        <w:tc>
          <w:tcPr>
            <w:tcW w:w="8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产品不合格或存在缺陷未履行医疗器械召回义务被责令召回的，-5分/次</w:t>
            </w:r>
          </w:p>
        </w:tc>
        <w:tc>
          <w:tcPr>
            <w:tcW w:w="1232" w:type="dxa"/>
            <w:tcBorders>
              <w:top w:val="single" w:color="000000" w:sz="4" w:space="0"/>
              <w:left w:val="single" w:color="auto"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14" w:type="dxa"/>
            <w:tcBorders>
              <w:top w:val="single" w:color="auto"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11</w:t>
            </w:r>
          </w:p>
        </w:tc>
        <w:tc>
          <w:tcPr>
            <w:tcW w:w="204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897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未按法规要求实施医疗器械唯一标识（UDI）工作的，-1分/次</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14"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12</w:t>
            </w:r>
          </w:p>
        </w:tc>
        <w:tc>
          <w:tcPr>
            <w:tcW w:w="204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restart"/>
            <w:tcBorders>
              <w:top w:val="single" w:color="auto" w:sz="4" w:space="0"/>
              <w:left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不良事件监测</w:t>
            </w:r>
          </w:p>
        </w:tc>
        <w:tc>
          <w:tcPr>
            <w:tcW w:w="89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未按要求撰写定期风险评价报告的，-2分/例</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14"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13</w:t>
            </w:r>
          </w:p>
        </w:tc>
        <w:tc>
          <w:tcPr>
            <w:tcW w:w="204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left w:val="single" w:color="000000"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89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发生不良事件后，未按要求采取风险控制措施的，-5分/次</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exact"/>
          <w:jc w:val="center"/>
        </w:trPr>
        <w:tc>
          <w:tcPr>
            <w:tcW w:w="814"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14</w:t>
            </w:r>
          </w:p>
        </w:tc>
        <w:tc>
          <w:tcPr>
            <w:tcW w:w="204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left w:val="single" w:color="000000"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89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发生不良事件后，采取的控制措施不足以有效防范风险的，被监管部门采取发布警示信息、暂停生产销售和使用、责令召回、要求其修改说明书和标签、组织开展再评价、开展监督检查等措施的，-5分/次</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14"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15</w:t>
            </w:r>
          </w:p>
        </w:tc>
        <w:tc>
          <w:tcPr>
            <w:tcW w:w="20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1710"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企业未按规定报告群发性或死亡医疗器械不良事件的，-10分/例</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14"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16</w:t>
            </w:r>
          </w:p>
        </w:tc>
        <w:tc>
          <w:tcPr>
            <w:tcW w:w="20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三、监督管理</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（25分）</w:t>
            </w:r>
          </w:p>
        </w:tc>
        <w:tc>
          <w:tcPr>
            <w:tcW w:w="17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配合监管</w:t>
            </w:r>
          </w:p>
        </w:tc>
        <w:tc>
          <w:tcPr>
            <w:tcW w:w="89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不配合检查、抽检、调查等监督抽检的，-10分/次</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14"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17</w:t>
            </w:r>
          </w:p>
        </w:tc>
        <w:tc>
          <w:tcPr>
            <w:tcW w:w="204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89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未按要求参加药品监管部门组织的会议、培训等活动的，-1分/次（上限5分）</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14"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18</w:t>
            </w:r>
          </w:p>
        </w:tc>
        <w:tc>
          <w:tcPr>
            <w:tcW w:w="204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监督检查</w:t>
            </w:r>
          </w:p>
        </w:tc>
        <w:tc>
          <w:tcPr>
            <w:tcW w:w="89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许可检查结论为“不通过”的，-5分/次</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exact"/>
          <w:jc w:val="center"/>
        </w:trPr>
        <w:tc>
          <w:tcPr>
            <w:tcW w:w="814"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19</w:t>
            </w:r>
          </w:p>
        </w:tc>
        <w:tc>
          <w:tcPr>
            <w:tcW w:w="204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89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监督检查发现企业存在关键项不符合或未存在关键项不符合但一般项不符合数量≥10条的，-2分/次</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14"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20</w:t>
            </w:r>
          </w:p>
        </w:tc>
        <w:tc>
          <w:tcPr>
            <w:tcW w:w="204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89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发现企业未在规定时间内按要求完成整改的，-5分/次</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14" w:type="dxa"/>
            <w:tcBorders>
              <w:top w:val="single" w:color="000000"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21</w:t>
            </w:r>
          </w:p>
        </w:tc>
        <w:tc>
          <w:tcPr>
            <w:tcW w:w="20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风险处置</w:t>
            </w:r>
          </w:p>
        </w:tc>
        <w:tc>
          <w:tcPr>
            <w:tcW w:w="8970"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发现产品可能存在质量问题或其他缺陷的，但未采取风险控制措施的，-5分/次</w:t>
            </w:r>
          </w:p>
        </w:tc>
        <w:tc>
          <w:tcPr>
            <w:tcW w:w="1232" w:type="dxa"/>
            <w:tcBorders>
              <w:top w:val="single" w:color="000000" w:sz="4" w:space="0"/>
              <w:left w:val="single" w:color="000000" w:sz="4" w:space="0"/>
              <w:bottom w:val="single" w:color="auto"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14"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22</w:t>
            </w:r>
          </w:p>
        </w:tc>
        <w:tc>
          <w:tcPr>
            <w:tcW w:w="20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四、社会责任</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（10分）</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投诉举报</w:t>
            </w:r>
          </w:p>
        </w:tc>
        <w:tc>
          <w:tcPr>
            <w:tcW w:w="8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存在与产品质量的投诉举报被查实的，-3分/次</w:t>
            </w:r>
          </w:p>
        </w:tc>
        <w:tc>
          <w:tcPr>
            <w:tcW w:w="1232" w:type="dxa"/>
            <w:tcBorders>
              <w:top w:val="single" w:color="auto" w:sz="4" w:space="0"/>
              <w:left w:val="single" w:color="auto" w:sz="4" w:space="0"/>
              <w:bottom w:val="single" w:color="auto"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14" w:type="dxa"/>
            <w:tcBorders>
              <w:top w:val="single" w:color="auto" w:sz="4" w:space="0"/>
              <w:bottom w:val="single" w:color="auto"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23</w:t>
            </w:r>
          </w:p>
        </w:tc>
        <w:tc>
          <w:tcPr>
            <w:tcW w:w="20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社会舆情</w:t>
            </w:r>
          </w:p>
        </w:tc>
        <w:tc>
          <w:tcPr>
            <w:tcW w:w="8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spacing w:val="-6"/>
                <w:kern w:val="0"/>
                <w:sz w:val="24"/>
                <w:szCs w:val="24"/>
                <w:u w:val="none"/>
                <w:lang w:val="en-US" w:eastAsia="zh-CN" w:bidi="ar"/>
              </w:rPr>
              <w:t>因产品质量原因引发社会舆情，被省级以上媒体曝光，造成社会不良影响的，-5分/次</w:t>
            </w:r>
          </w:p>
        </w:tc>
        <w:tc>
          <w:tcPr>
            <w:tcW w:w="1232" w:type="dxa"/>
            <w:tcBorders>
              <w:top w:val="single" w:color="auto" w:sz="4" w:space="0"/>
              <w:left w:val="single" w:color="auto" w:sz="4" w:space="0"/>
              <w:bottom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14" w:type="dxa"/>
            <w:tcBorders>
              <w:top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24</w:t>
            </w:r>
          </w:p>
        </w:tc>
        <w:tc>
          <w:tcPr>
            <w:tcW w:w="204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企业公共信用</w:t>
            </w:r>
          </w:p>
        </w:tc>
        <w:tc>
          <w:tcPr>
            <w:tcW w:w="897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企业被其他行政管理部门列入严重违法失信名单的，-10分/次</w:t>
            </w:r>
          </w:p>
        </w:tc>
        <w:tc>
          <w:tcPr>
            <w:tcW w:w="1232" w:type="dxa"/>
            <w:tcBorders>
              <w:top w:val="single" w:color="000000" w:sz="4" w:space="0"/>
              <w:left w:val="single" w:color="auto"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14" w:type="dxa"/>
            <w:tcBorders>
              <w:top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25</w:t>
            </w:r>
          </w:p>
        </w:tc>
        <w:tc>
          <w:tcPr>
            <w:tcW w:w="20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其他情形</w:t>
            </w:r>
          </w:p>
        </w:tc>
        <w:tc>
          <w:tcPr>
            <w:tcW w:w="8970"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存在其他造成社会不良影响的情形，被省级以上媒体曝光的，-5分/次</w:t>
            </w:r>
          </w:p>
        </w:tc>
        <w:tc>
          <w:tcPr>
            <w:tcW w:w="1232" w:type="dxa"/>
            <w:tcBorders>
              <w:top w:val="single" w:color="000000" w:sz="4" w:space="0"/>
              <w:left w:val="single" w:color="auto"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14" w:type="dxa"/>
            <w:tcBorders>
              <w:top w:val="single" w:color="auto"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26</w:t>
            </w:r>
          </w:p>
        </w:tc>
        <w:tc>
          <w:tcPr>
            <w:tcW w:w="20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五、正向激励</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（10分）</w:t>
            </w:r>
          </w:p>
        </w:tc>
        <w:tc>
          <w:tcPr>
            <w:tcW w:w="171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企业自律</w:t>
            </w:r>
          </w:p>
        </w:tc>
        <w:tc>
          <w:tcPr>
            <w:tcW w:w="897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spacing w:val="0"/>
                <w:kern w:val="0"/>
                <w:sz w:val="24"/>
                <w:szCs w:val="24"/>
                <w:u w:val="none"/>
                <w:lang w:val="en-US" w:eastAsia="zh-CN" w:bidi="ar"/>
              </w:rPr>
              <w:t>检验实验室取得中国合格评定国家认可委员会（CNAS）认证，认证证书在有效期内的，+3分</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14"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27</w:t>
            </w:r>
          </w:p>
        </w:tc>
        <w:tc>
          <w:tcPr>
            <w:tcW w:w="204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89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spacing w:val="-11"/>
                <w:kern w:val="0"/>
                <w:sz w:val="24"/>
                <w:szCs w:val="24"/>
                <w:u w:val="none"/>
                <w:lang w:val="en-US" w:eastAsia="zh-CN" w:bidi="ar"/>
              </w:rPr>
              <w:t>质量体系通过第三方机构的ISO13485/YYT0287认证，获得认证证书并在有效期内的，+2分</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14"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28</w:t>
            </w:r>
          </w:p>
        </w:tc>
        <w:tc>
          <w:tcPr>
            <w:tcW w:w="204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89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主动开展医疗器械再评价的，+2分</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14"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29</w:t>
            </w:r>
          </w:p>
        </w:tc>
        <w:tc>
          <w:tcPr>
            <w:tcW w:w="204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89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许可检查结论为“通过”的（不含整改后复查），+5分</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14"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30</w:t>
            </w:r>
          </w:p>
        </w:tc>
        <w:tc>
          <w:tcPr>
            <w:tcW w:w="204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89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监督检查未发现企业存在关键项不符合且一般项不符合数量≤5条的，+3分</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14"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31</w:t>
            </w:r>
          </w:p>
        </w:tc>
        <w:tc>
          <w:tcPr>
            <w:tcW w:w="204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89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信用评价当年内有产品质量抽检合格报告的，+1分/批（上限5分）</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exact"/>
          <w:jc w:val="center"/>
        </w:trPr>
        <w:tc>
          <w:tcPr>
            <w:tcW w:w="814" w:type="dxa"/>
            <w:tcBorders>
              <w:top w:val="single" w:color="000000"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32</w:t>
            </w:r>
          </w:p>
        </w:tc>
        <w:tc>
          <w:tcPr>
            <w:tcW w:w="204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荣誉奖励</w:t>
            </w:r>
          </w:p>
        </w:tc>
        <w:tc>
          <w:tcPr>
            <w:tcW w:w="8970"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企业取得省级及以上人民政府或国家部委颁发的荣誉奖励的，国家级、省级分别+6分、+4分/个</w:t>
            </w:r>
          </w:p>
        </w:tc>
        <w:tc>
          <w:tcPr>
            <w:tcW w:w="1232" w:type="dxa"/>
            <w:tcBorders>
              <w:top w:val="single" w:color="000000" w:sz="4" w:space="0"/>
              <w:left w:val="single" w:color="000000" w:sz="4" w:space="0"/>
              <w:bottom w:val="single" w:color="auto"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14" w:type="dxa"/>
            <w:tcBorders>
              <w:top w:val="single" w:color="auto"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33</w:t>
            </w:r>
          </w:p>
        </w:tc>
        <w:tc>
          <w:tcPr>
            <w:tcW w:w="204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p>
        </w:tc>
        <w:tc>
          <w:tcPr>
            <w:tcW w:w="171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行业引领</w:t>
            </w:r>
          </w:p>
        </w:tc>
        <w:tc>
          <w:tcPr>
            <w:tcW w:w="897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现行有效的国家标准或国家行业标准标明的参与起草单位的，+3/件</w:t>
            </w:r>
          </w:p>
        </w:tc>
        <w:tc>
          <w:tcPr>
            <w:tcW w:w="1232" w:type="dxa"/>
            <w:tcBorders>
              <w:top w:val="single" w:color="auto"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14"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34</w:t>
            </w:r>
          </w:p>
        </w:tc>
        <w:tc>
          <w:tcPr>
            <w:tcW w:w="204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89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spacing w:val="-6"/>
                <w:kern w:val="0"/>
                <w:sz w:val="24"/>
                <w:szCs w:val="24"/>
                <w:u w:val="none"/>
                <w:lang w:val="en-US" w:eastAsia="zh-CN" w:bidi="ar"/>
              </w:rPr>
              <w:t>省级及以上企业技术中心、工程技术中心、工程研究中心或重点实验室等的，+3分/件</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14" w:type="dxa"/>
            <w:tcBorders>
              <w:top w:val="single" w:color="000000"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35</w:t>
            </w:r>
          </w:p>
        </w:tc>
        <w:tc>
          <w:tcPr>
            <w:tcW w:w="204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8970"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参与省级及以上重点研发项目、列入省级及以上医疗器械相关“揭榜挂帅”项目、列入湖南省生物医药产业链重点企业、重点品种的，+3分/件</w:t>
            </w:r>
          </w:p>
        </w:tc>
        <w:tc>
          <w:tcPr>
            <w:tcW w:w="1232" w:type="dxa"/>
            <w:tcBorders>
              <w:top w:val="single" w:color="000000" w:sz="4" w:space="0"/>
              <w:left w:val="single" w:color="000000" w:sz="4" w:space="0"/>
              <w:bottom w:val="single" w:color="auto"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14" w:type="dxa"/>
            <w:tcBorders>
              <w:top w:val="single" w:color="auto"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36</w:t>
            </w:r>
          </w:p>
        </w:tc>
        <w:tc>
          <w:tcPr>
            <w:tcW w:w="204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897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取得第三类医疗器械创新产品认定的，+10分</w:t>
            </w:r>
          </w:p>
        </w:tc>
        <w:tc>
          <w:tcPr>
            <w:tcW w:w="1232" w:type="dxa"/>
            <w:tcBorders>
              <w:top w:val="single" w:color="auto"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14"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37</w:t>
            </w:r>
          </w:p>
        </w:tc>
        <w:tc>
          <w:tcPr>
            <w:tcW w:w="204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89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取得第二类医疗器械创新产品认定的，+5分</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14" w:type="dxa"/>
            <w:tcBorders>
              <w:top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8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38</w:t>
            </w:r>
          </w:p>
        </w:tc>
        <w:tc>
          <w:tcPr>
            <w:tcW w:w="20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17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80" w:lineRule="exact"/>
              <w:jc w:val="center"/>
              <w:rPr>
                <w:rFonts w:hint="eastAsia" w:ascii="Times New Roman" w:hAnsi="Times New Roman" w:eastAsia="仿宋_GB2312" w:cs="仿宋_GB2312"/>
                <w:i w:val="0"/>
                <w:iCs w:val="0"/>
                <w:color w:val="000000"/>
                <w:sz w:val="24"/>
                <w:szCs w:val="24"/>
                <w:u w:val="none"/>
              </w:rPr>
            </w:pPr>
          </w:p>
        </w:tc>
        <w:tc>
          <w:tcPr>
            <w:tcW w:w="897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8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信用评价当年内取得第三类医疗器械注册证的，+2分/个</w:t>
            </w:r>
          </w:p>
        </w:tc>
        <w:tc>
          <w:tcPr>
            <w:tcW w:w="123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wordWrap/>
              <w:overflowPunct/>
              <w:topLinePunct w:val="0"/>
              <w:bidi w:val="0"/>
              <w:spacing w:line="280" w:lineRule="exac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3" w:hRule="exact"/>
          <w:jc w:val="center"/>
        </w:trPr>
        <w:tc>
          <w:tcPr>
            <w:tcW w:w="14766" w:type="dxa"/>
            <w:gridSpan w:val="5"/>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备注：1.各项二级指标的加减总分超出其相应的一级指标权重分值的，加减总分以其所属一级指标分值为上限；</w:t>
            </w:r>
          </w:p>
          <w:p>
            <w:pPr>
              <w:keepNext w:val="0"/>
              <w:keepLines w:val="0"/>
              <w:pageBreakBefore w:val="0"/>
              <w:widowControl/>
              <w:kinsoku/>
              <w:wordWrap/>
              <w:overflowPunct/>
              <w:topLinePunct w:val="0"/>
              <w:autoSpaceDE/>
              <w:autoSpaceDN/>
              <w:bidi w:val="0"/>
              <w:adjustRightInd/>
              <w:snapToGrid/>
              <w:spacing w:line="320" w:lineRule="exact"/>
              <w:ind w:firstLine="720" w:firstLineChars="300"/>
              <w:textAlignment w:val="auto"/>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2.各项指标下，同一事项存在多个扣分项的，取最高扣分项扣分；</w:t>
            </w:r>
          </w:p>
          <w:p>
            <w:pPr>
              <w:keepNext w:val="0"/>
              <w:keepLines w:val="0"/>
              <w:pageBreakBefore w:val="0"/>
              <w:widowControl/>
              <w:kinsoku/>
              <w:wordWrap/>
              <w:overflowPunct/>
              <w:topLinePunct w:val="0"/>
              <w:autoSpaceDE/>
              <w:autoSpaceDN/>
              <w:bidi w:val="0"/>
              <w:adjustRightInd/>
              <w:snapToGrid/>
              <w:spacing w:line="320" w:lineRule="exact"/>
              <w:ind w:left="0" w:leftChars="0" w:firstLine="698" w:firstLineChars="291"/>
              <w:textAlignment w:val="auto"/>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3.正向激励指标项下，相应的荣誉奖励以及批件等需提供相关证明材料；</w:t>
            </w:r>
          </w:p>
          <w:p>
            <w:pPr>
              <w:keepNext w:val="0"/>
              <w:keepLines w:val="0"/>
              <w:pageBreakBefore w:val="0"/>
              <w:widowControl/>
              <w:kinsoku/>
              <w:wordWrap/>
              <w:overflowPunct/>
              <w:topLinePunct w:val="0"/>
              <w:autoSpaceDE/>
              <w:autoSpaceDN/>
              <w:bidi w:val="0"/>
              <w:adjustRightInd/>
              <w:snapToGrid/>
              <w:spacing w:line="320" w:lineRule="exact"/>
              <w:ind w:firstLine="684" w:firstLineChars="300"/>
              <w:textAlignment w:val="auto"/>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spacing w:val="-6"/>
                <w:kern w:val="0"/>
                <w:sz w:val="24"/>
                <w:szCs w:val="24"/>
                <w:u w:val="none"/>
                <w:lang w:val="en-US" w:eastAsia="zh-CN" w:bidi="ar"/>
              </w:rPr>
              <w:t>4.符合《湖南省药品安全信用管理办法（试行）》第十七条至第二十条情形，经审核同意进行信用修复的，按原扣分值50%予以扣分</w:t>
            </w:r>
          </w:p>
        </w:tc>
      </w:tr>
    </w:tbl>
    <w:p>
      <w:pPr>
        <w:rPr>
          <w:rFonts w:ascii="Times New Roman" w:hAnsi="Times New Roman"/>
          <w:color w:val="000000"/>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default" w:ascii="Times New Roman" w:hAnsi="Times New Roman" w:eastAsia="黑体" w:cs="黑体"/>
          <w:b w:val="0"/>
          <w:bCs w:val="0"/>
          <w:i w:val="0"/>
          <w:iCs w:val="0"/>
          <w:caps w:val="0"/>
          <w:color w:val="000000"/>
          <w:spacing w:val="0"/>
          <w:sz w:val="32"/>
          <w:szCs w:val="32"/>
          <w:shd w:val="clear" w:color="auto" w:fill="FFFFFF"/>
          <w:lang w:val="en-US" w:eastAsia="zh-CN"/>
        </w:rPr>
      </w:pPr>
      <w:r>
        <w:rPr>
          <w:rFonts w:hint="eastAsia" w:ascii="Times New Roman" w:hAnsi="Times New Roman" w:eastAsia="黑体" w:cs="黑体"/>
          <w:b w:val="0"/>
          <w:bCs w:val="0"/>
          <w:i w:val="0"/>
          <w:iCs w:val="0"/>
          <w:caps w:val="0"/>
          <w:color w:val="000000"/>
          <w:spacing w:val="0"/>
          <w:sz w:val="32"/>
          <w:szCs w:val="32"/>
          <w:shd w:val="clear" w:color="auto" w:fill="FFFFFF"/>
          <w:lang w:val="en-US" w:eastAsia="zh-CN"/>
        </w:rPr>
        <w:t>附件4</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Times New Roman" w:hAnsi="Times New Roman" w:eastAsia="方正小标宋_GBK" w:cs="方正小标宋_GBK"/>
          <w:b w:val="0"/>
          <w:bCs w:val="0"/>
          <w:i w:val="0"/>
          <w:iCs w:val="0"/>
          <w:caps w:val="0"/>
          <w:color w:val="000000"/>
          <w:spacing w:val="-6"/>
          <w:sz w:val="44"/>
          <w:szCs w:val="44"/>
          <w:shd w:val="clear" w:color="auto"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小标宋_GBK" w:cs="方正小标宋_GBK"/>
          <w:b w:val="0"/>
          <w:bCs w:val="0"/>
          <w:i w:val="0"/>
          <w:iCs w:val="0"/>
          <w:caps w:val="0"/>
          <w:color w:val="000000"/>
          <w:spacing w:val="-6"/>
          <w:w w:val="97"/>
          <w:sz w:val="44"/>
          <w:szCs w:val="44"/>
          <w:shd w:val="clear" w:color="auto" w:fill="FFFFFF"/>
          <w:lang w:val="en-US" w:eastAsia="zh-CN"/>
        </w:rPr>
      </w:pPr>
      <w:r>
        <w:rPr>
          <w:rFonts w:hint="eastAsia" w:ascii="Times New Roman" w:hAnsi="Times New Roman" w:eastAsia="方正小标宋_GBK" w:cs="方正小标宋_GBK"/>
          <w:b w:val="0"/>
          <w:bCs w:val="0"/>
          <w:i w:val="0"/>
          <w:iCs w:val="0"/>
          <w:caps w:val="0"/>
          <w:color w:val="000000"/>
          <w:spacing w:val="-6"/>
          <w:w w:val="97"/>
          <w:sz w:val="44"/>
          <w:szCs w:val="44"/>
          <w:shd w:val="clear" w:color="auto" w:fill="FFFFFF"/>
          <w:lang w:val="en-US" w:eastAsia="zh-CN"/>
        </w:rPr>
        <w:t>湖南省化妆品生产企业化妆品安全信用评价指标及评分标准（试行）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imes New Roman" w:hAnsi="Times New Roman" w:eastAsia="方正小标宋_GBK" w:cs="方正小标宋_GBK"/>
          <w:b w:val="0"/>
          <w:bCs w:val="0"/>
          <w:i w:val="0"/>
          <w:iCs w:val="0"/>
          <w:caps w:val="0"/>
          <w:color w:val="000000"/>
          <w:spacing w:val="-6"/>
          <w:w w:val="97"/>
          <w:sz w:val="44"/>
          <w:szCs w:val="44"/>
          <w:shd w:val="clear" w:color="auto" w:fill="FFFFFF"/>
          <w:lang w:val="en-US" w:eastAsia="zh-CN"/>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0"/>
        <w:gridCol w:w="2040"/>
        <w:gridCol w:w="1723"/>
        <w:gridCol w:w="8927"/>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exact"/>
          <w:tblHeader/>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snapToGrid w:val="0"/>
                <w:color w:val="000000"/>
                <w:kern w:val="0"/>
                <w:sz w:val="24"/>
                <w:szCs w:val="24"/>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snapToGrid w:val="0"/>
                <w:color w:val="000000"/>
                <w:kern w:val="0"/>
                <w:sz w:val="24"/>
                <w:szCs w:val="24"/>
                <w:u w:val="none"/>
                <w:lang w:val="en-US" w:eastAsia="zh-CN" w:bidi="ar"/>
              </w:rPr>
              <w:t>一级指标</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snapToGrid w:val="0"/>
                <w:color w:val="000000"/>
                <w:kern w:val="0"/>
                <w:sz w:val="24"/>
                <w:szCs w:val="24"/>
                <w:u w:val="none"/>
                <w:lang w:val="en-US" w:eastAsia="zh-CN" w:bidi="ar"/>
              </w:rPr>
              <w:t>二级指标</w:t>
            </w: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snapToGrid w:val="0"/>
                <w:color w:val="000000"/>
                <w:kern w:val="0"/>
                <w:sz w:val="24"/>
                <w:szCs w:val="24"/>
                <w:u w:val="none"/>
                <w:lang w:val="en-US" w:eastAsia="zh-CN" w:bidi="ar"/>
              </w:rPr>
              <w:t>评价指标</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1</w:t>
            </w:r>
          </w:p>
        </w:tc>
        <w:tc>
          <w:tcPr>
            <w:tcW w:w="204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一、遵纪守法</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（30分）</w:t>
            </w:r>
          </w:p>
        </w:tc>
        <w:tc>
          <w:tcPr>
            <w:tcW w:w="1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 xml:space="preserve">行政处罚  </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（20分）</w:t>
            </w: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受到负责药品监督管理部门的行政处罚一次，未被责令停产停业，且不属于《化妆品监督管理条例》第五十九条和第六十条情形的，-10分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2</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1723"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受到负责药品监督管理部门的行政处罚累计两次，未被责令停产停业，或行政处罚一次，但属于《化妆品监督管理条例》第六十条情形的，-20分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3</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1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受到负责药品监督管理部门的行政处罚累计三次或以上；或被责令停产停业；或违法行为属于《化妆品监督管理条例》第五十九条情形；或受到负责药品监督管理部门的行政处罚累计两次，且均属于《化妆品监督管理条例》第六十条情形；或因化妆品违法行为受到行政处罚后1年内又实施同一性质的违法行为的</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直接评定为D级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4</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172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 xml:space="preserve">行政处理  </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（10分）</w:t>
            </w: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snapToGrid w:val="0"/>
                <w:color w:val="000000"/>
                <w:kern w:val="0"/>
                <w:sz w:val="24"/>
                <w:szCs w:val="24"/>
                <w:u w:val="none"/>
                <w:lang w:val="en-US" w:eastAsia="zh-CN" w:bidi="ar"/>
              </w:rPr>
              <w:t>企业法定代表人或者主要负责人未按要求参加药品监督管理部门组织的责任约谈的，-10分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default"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5</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1723"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当年度备案产品被监管部门取消比例大于当年度备案产品总数10%的，-10分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6</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172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当年度首次备案的产品被药品监督管理部门出具责令改正意见比例大于年度备案产品总数30%的，-5分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7</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1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刑事处罚</w:t>
            </w: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造成重大及以上化妆品安全突发事件，或因违反《化妆品监督管理条例》等法律法规受到刑事处罚的</w:t>
            </w:r>
          </w:p>
        </w:tc>
        <w:tc>
          <w:tcPr>
            <w:tcW w:w="12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直接评定为D级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exact"/>
          <w:jc w:val="center"/>
        </w:trPr>
        <w:tc>
          <w:tcPr>
            <w:tcW w:w="8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8</w:t>
            </w:r>
          </w:p>
        </w:tc>
        <w:tc>
          <w:tcPr>
            <w:tcW w:w="2040"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1723"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892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因违反化妆品质量安全法律、法规受到刑事处罚后2年内又实施化妆品质量安全违法行为的</w:t>
            </w:r>
          </w:p>
        </w:tc>
        <w:tc>
          <w:tcPr>
            <w:tcW w:w="1278"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jc w:val="center"/>
        </w:trPr>
        <w:tc>
          <w:tcPr>
            <w:tcW w:w="86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9</w:t>
            </w:r>
          </w:p>
        </w:tc>
        <w:tc>
          <w:tcPr>
            <w:tcW w:w="2040"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二、主体责任落实</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（25分）</w:t>
            </w:r>
          </w:p>
        </w:tc>
        <w:tc>
          <w:tcPr>
            <w:tcW w:w="172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教育培训</w:t>
            </w:r>
          </w:p>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（15分）</w:t>
            </w:r>
          </w:p>
        </w:tc>
        <w:tc>
          <w:tcPr>
            <w:tcW w:w="892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企业法定代表人或者主要负责人、质量安全负责人等未按要求参加药品监督管理部门组织的教育培训、重要会议等，-5分/次</w:t>
            </w:r>
          </w:p>
        </w:tc>
        <w:tc>
          <w:tcPr>
            <w:tcW w:w="1278"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10</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1723"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 xml:space="preserve">自查报告  </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（15分）</w:t>
            </w:r>
          </w:p>
        </w:tc>
        <w:tc>
          <w:tcPr>
            <w:tcW w:w="892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未按要求及时开展自查并留存自查资料文件的，-10分</w:t>
            </w:r>
          </w:p>
        </w:tc>
        <w:tc>
          <w:tcPr>
            <w:tcW w:w="127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11</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1723"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spacing w:val="-6"/>
                <w:kern w:val="0"/>
                <w:sz w:val="24"/>
                <w:szCs w:val="24"/>
                <w:u w:val="none"/>
                <w:lang w:val="en-US" w:eastAsia="zh-CN" w:bidi="ar"/>
              </w:rPr>
              <w:t>未按要求向省药品监督管理部门报告依法应当报告的停产、自查和整改情况的，-5分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12</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172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未按要求及时提交普通化妆品年度报告的，-5分，责令改正逾期未改的，再-5分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13</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172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 xml:space="preserve">风险控制   </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（10分）</w:t>
            </w: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对已识别的风险未及时采取有效的风险控制措施，造成严重影响的，-10分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14</w:t>
            </w:r>
          </w:p>
        </w:tc>
        <w:tc>
          <w:tcPr>
            <w:tcW w:w="204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172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因产品质量缺陷或其他问题被责令召回而未召回，-5分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15</w:t>
            </w:r>
          </w:p>
        </w:tc>
        <w:tc>
          <w:tcPr>
            <w:tcW w:w="204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三、监督管理</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（25分）</w:t>
            </w:r>
          </w:p>
        </w:tc>
        <w:tc>
          <w:tcPr>
            <w:tcW w:w="172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监督检查</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（25）</w:t>
            </w: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日常监督检查结果判定为“生产质量管理体系存在严重缺陷”的，-15分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16</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1723"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日常监督检查结果判定为“生产质量管理体系存在缺陷”：关键项目瑕疵数与其他重点项目不符合规定数总和大于3项（含）或重点项目不符合规定数、重点项目瑕疵数、一般项目不符合规定数总和大于8项（含）的，-10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exact"/>
          <w:jc w:val="center"/>
        </w:trPr>
        <w:tc>
          <w:tcPr>
            <w:tcW w:w="8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17</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1723"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2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无重点项目不符合规定且无重点项目瑕疵且一般项目不符合规定数小于3项（含）不扣分；其它的-5分</w:t>
            </w:r>
          </w:p>
        </w:tc>
        <w:tc>
          <w:tcPr>
            <w:tcW w:w="127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exac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18</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1723"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生产许可延续后现场核查结果为“整改后复查”的，-10分；未按要求在规定时间内完成缺陷整改或整改不符合要求的，再-10分</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19</w:t>
            </w:r>
          </w:p>
        </w:tc>
        <w:tc>
          <w:tcPr>
            <w:tcW w:w="204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恶意行为</w:t>
            </w: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监督检查中发现被检查对象拒绝、逃避、阻碍检查或者伪造、销毁、隐匿证据等，被药品监管部门约谈或移送治安管理部门的</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直接评定为D级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20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四、社会责任</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（10分）</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投诉举报</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（3分）</w:t>
            </w: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存在与产品质量安全的投诉举报被查实的，-3分/次</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21</w:t>
            </w:r>
          </w:p>
        </w:tc>
        <w:tc>
          <w:tcPr>
            <w:tcW w:w="204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四、社会责任</w:t>
            </w:r>
          </w:p>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（10分）</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社会舆情</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（5分）</w:t>
            </w: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因产品质量安全原因引发社会舆情，被省级以上媒体曝光，造成社会不良影响的， -5分/次</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22</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企业公共信用（10分）</w:t>
            </w: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企业被其他行政管理部门列入严重违法失信名单的，-10分/次</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23</w:t>
            </w:r>
          </w:p>
        </w:tc>
        <w:tc>
          <w:tcPr>
            <w:tcW w:w="204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其他情形</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（5分）</w:t>
            </w: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存在其他造成社会不良影响的情形，被省级以上媒体曝光的，-5分/次</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24</w:t>
            </w:r>
          </w:p>
        </w:tc>
        <w:tc>
          <w:tcPr>
            <w:tcW w:w="204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b/>
                <w:bCs/>
                <w:i w:val="0"/>
                <w:iCs w:val="0"/>
                <w:snapToGrid w:val="0"/>
                <w:color w:val="000000"/>
                <w:kern w:val="0"/>
                <w:sz w:val="24"/>
                <w:szCs w:val="24"/>
                <w:u w:val="none"/>
                <w:lang w:val="en-US" w:eastAsia="zh-CN" w:bidi="ar"/>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五、正向激励</w:t>
            </w:r>
          </w:p>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b/>
                <w:bCs/>
                <w:i w:val="0"/>
                <w:iCs w:val="0"/>
                <w:snapToGrid w:val="0"/>
                <w:color w:val="000000"/>
                <w:kern w:val="0"/>
                <w:sz w:val="24"/>
                <w:szCs w:val="24"/>
                <w:u w:val="none"/>
                <w:lang w:val="en-US" w:eastAsia="zh-CN" w:bidi="ar"/>
              </w:rPr>
              <w:t>（10分）</w:t>
            </w:r>
          </w:p>
        </w:tc>
        <w:tc>
          <w:tcPr>
            <w:tcW w:w="172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激励表彰</w:t>
            </w: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主动采取自律措施有效保障产品质量安全情况，获得国家级、省（部）级行政管理部门表彰的，分别+4、+3分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25</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172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科技成果获得国家级、省（部）级科技行政管理部门表彰的，分别+4、+3分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26</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172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资质创新</w:t>
            </w: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获省级以上企业技术中心、工程技术中心或重点实验室的，+5分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27</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1723"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取得CNAS实验室认可的，+3分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28</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172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取得化妆品新原料注册或备案（安全监测期内当年度不存在安全问题），每个品种分别+4、+2分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29</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172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行业引领</w:t>
            </w:r>
          </w:p>
        </w:tc>
        <w:tc>
          <w:tcPr>
            <w:tcW w:w="892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现行有效的国家标准或国家行业标准标明的参与起草单位的，+4分</w:t>
            </w:r>
          </w:p>
        </w:tc>
        <w:tc>
          <w:tcPr>
            <w:tcW w:w="127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30</w:t>
            </w:r>
          </w:p>
        </w:tc>
        <w:tc>
          <w:tcPr>
            <w:tcW w:w="2040" w:type="dxa"/>
            <w:vMerge w:val="continue"/>
            <w:tcBorders>
              <w:left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c>
          <w:tcPr>
            <w:tcW w:w="1723"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p>
        </w:tc>
        <w:tc>
          <w:tcPr>
            <w:tcW w:w="8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建立独立的产品生产全流程信息化可追溯体系的，+3分</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exac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31</w:t>
            </w:r>
          </w:p>
        </w:tc>
        <w:tc>
          <w:tcPr>
            <w:tcW w:w="204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wordWrap/>
              <w:overflowPunct/>
              <w:topLinePunct w:val="0"/>
              <w:bidi w:val="0"/>
              <w:spacing w:line="300" w:lineRule="exact"/>
              <w:ind w:leftChars="0"/>
              <w:jc w:val="center"/>
              <w:rPr>
                <w:rFonts w:hint="eastAsia" w:ascii="Times New Roman" w:hAnsi="Times New Roman" w:eastAsia="仿宋_GB2312" w:cs="仿宋_GB2312"/>
                <w:i w:val="0"/>
                <w:iCs w:val="0"/>
                <w:color w:val="000000"/>
                <w:sz w:val="24"/>
                <w:szCs w:val="24"/>
                <w:u w:val="none"/>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税收情况</w:t>
            </w:r>
          </w:p>
        </w:tc>
        <w:tc>
          <w:tcPr>
            <w:tcW w:w="8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实缴税收1000万元（含）以上、500万元（含）以上至1000万元（不含）以下、100万元（含）至500万元（不含）以下，分别+3、+2、+1分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bidi w:val="0"/>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jc w:val="center"/>
        </w:trPr>
        <w:tc>
          <w:tcPr>
            <w:tcW w:w="1482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00" w:lineRule="exact"/>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备注：1.各项二级指标的加减总分超出其相应的一级指标权重分值的，加减总分以其所属一级指标分值为上限；</w:t>
            </w:r>
          </w:p>
          <w:p>
            <w:pPr>
              <w:keepNext w:val="0"/>
              <w:keepLines w:val="0"/>
              <w:pageBreakBefore w:val="0"/>
              <w:widowControl/>
              <w:suppressLineNumbers w:val="0"/>
              <w:wordWrap/>
              <w:overflowPunct/>
              <w:topLinePunct w:val="0"/>
              <w:bidi w:val="0"/>
              <w:spacing w:line="300" w:lineRule="exact"/>
              <w:ind w:firstLine="720" w:firstLineChars="300"/>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2.各项指标下，同一事项存在多个扣分项的，取最高扣分项扣分；</w:t>
            </w:r>
          </w:p>
          <w:p>
            <w:pPr>
              <w:keepNext w:val="0"/>
              <w:keepLines w:val="0"/>
              <w:pageBreakBefore w:val="0"/>
              <w:widowControl/>
              <w:suppressLineNumbers w:val="0"/>
              <w:wordWrap/>
              <w:overflowPunct/>
              <w:topLinePunct w:val="0"/>
              <w:bidi w:val="0"/>
              <w:spacing w:line="300" w:lineRule="exact"/>
              <w:ind w:firstLine="720" w:firstLineChars="300"/>
              <w:jc w:val="left"/>
              <w:textAlignment w:val="center"/>
              <w:rPr>
                <w:rFonts w:hint="eastAsia" w:ascii="Times New Roman" w:hAnsi="Times New Roman" w:eastAsia="仿宋_GB2312" w:cs="仿宋_GB2312"/>
                <w:i w:val="0"/>
                <w:iCs w:val="0"/>
                <w:snapToGrid w:val="0"/>
                <w:color w:val="000000"/>
                <w:kern w:val="0"/>
                <w:sz w:val="24"/>
                <w:szCs w:val="24"/>
                <w:u w:val="none"/>
                <w:lang w:val="en-US" w:eastAsia="zh-CN" w:bidi="ar"/>
              </w:rPr>
            </w:pPr>
            <w:r>
              <w:rPr>
                <w:rFonts w:hint="eastAsia" w:ascii="Times New Roman" w:hAnsi="Times New Roman" w:eastAsia="仿宋_GB2312" w:cs="仿宋_GB2312"/>
                <w:i w:val="0"/>
                <w:iCs w:val="0"/>
                <w:snapToGrid w:val="0"/>
                <w:color w:val="000000"/>
                <w:kern w:val="0"/>
                <w:sz w:val="24"/>
                <w:szCs w:val="24"/>
                <w:u w:val="none"/>
                <w:lang w:val="en-US" w:eastAsia="zh-CN" w:bidi="ar"/>
              </w:rPr>
              <w:t>3.正向激励指标项下，相应的荣誉奖励以及批件等需提供相关证明材料；</w:t>
            </w:r>
          </w:p>
          <w:p>
            <w:pPr>
              <w:keepNext w:val="0"/>
              <w:keepLines w:val="0"/>
              <w:pageBreakBefore w:val="0"/>
              <w:widowControl/>
              <w:suppressLineNumbers w:val="0"/>
              <w:wordWrap/>
              <w:overflowPunct/>
              <w:topLinePunct w:val="0"/>
              <w:bidi w:val="0"/>
              <w:spacing w:line="300" w:lineRule="exact"/>
              <w:ind w:firstLine="720" w:firstLineChars="30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snapToGrid w:val="0"/>
                <w:color w:val="000000"/>
                <w:kern w:val="0"/>
                <w:sz w:val="24"/>
                <w:szCs w:val="24"/>
                <w:u w:val="none"/>
                <w:lang w:val="en-US" w:eastAsia="zh-CN" w:bidi="ar"/>
              </w:rPr>
              <w:t>4.符合《湖南省药品安全信用管理办法（试行）》第十七条至第二十条情形，经审核同意进行信用修复的，按原扣分值50%予以扣分</w:t>
            </w:r>
          </w:p>
        </w:tc>
      </w:tr>
    </w:tbl>
    <w:p>
      <w:pPr>
        <w:rPr>
          <w:rFonts w:hint="default" w:ascii="Times New Roman" w:hAnsi="Times New Roman" w:eastAsia="宋体"/>
          <w:color w:val="000000"/>
          <w:lang w:val="en-US" w:eastAsia="zh-CN"/>
        </w:rPr>
        <w:sectPr>
          <w:pgSz w:w="16783" w:h="11850" w:orient="landscape"/>
          <w:pgMar w:top="1247" w:right="1247" w:bottom="1247" w:left="1247" w:header="720" w:footer="720" w:gutter="0"/>
          <w:lnNumType w:countBy="0" w:distance="360"/>
          <w:pgNumType w:fmt="numberInDash"/>
          <w:cols w:space="720" w:num="1"/>
          <w:rtlGutter w:val="0"/>
          <w:docGrid w:type="lines" w:linePitch="312" w:charSpace="0"/>
        </w:sect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p>
      <w:pPr>
        <w:rPr>
          <w:rFonts w:hint="default" w:ascii="Times New Roman" w:hAnsi="Times New Roman" w:eastAsia="宋体"/>
          <w:color w:val="000000"/>
          <w:lang w:val="en-US" w:eastAsia="zh-CN"/>
        </w:rPr>
      </w:pPr>
    </w:p>
    <w:tbl>
      <w:tblPr>
        <w:tblStyle w:val="6"/>
        <w:tblpPr w:leftFromText="180" w:rightFromText="180" w:vertAnchor="text" w:horzAnchor="page" w:tblpXSpec="center" w:tblpY="12634"/>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893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615" w:hRule="atLeast"/>
          <w:jc w:val="center"/>
        </w:trPr>
        <w:tc>
          <w:tcPr>
            <w:tcW w:w="8932" w:type="dxa"/>
            <w:noWrap w:val="0"/>
            <w:vAlign w:val="center"/>
          </w:tcPr>
          <w:p>
            <w:pPr>
              <w:spacing w:line="400" w:lineRule="exact"/>
              <w:ind w:right="210" w:rightChars="100"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湖南省药品监督管理局综合和规划财务处    20</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日印发</w:t>
            </w:r>
          </w:p>
        </w:tc>
      </w:tr>
    </w:tbl>
    <w:p>
      <w:pPr>
        <w:jc w:val="center"/>
        <w:rPr>
          <w:rFonts w:hint="eastAsia" w:ascii="Times New Roman" w:hAnsi="Times New Roman" w:eastAsia="仿宋_GB2312" w:cs="仿宋_GB2312"/>
          <w:sz w:val="32"/>
          <w:szCs w:val="32"/>
          <w:lang w:val="en-US" w:eastAsia="zh-CN"/>
        </w:rPr>
      </w:pPr>
    </w:p>
    <w:sectPr>
      <w:pgSz w:w="11850" w:h="16783"/>
      <w:pgMar w:top="1587" w:right="1474" w:bottom="1474" w:left="1474" w:header="720" w:footer="720" w:gutter="0"/>
      <w:lnNumType w:countBy="0" w:distance="36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Times New Roma">
    <w:altName w:val="Nimbus Roman No9 L"/>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CESI小标宋-GB13000">
    <w:altName w:val="方正小标宋_GBK"/>
    <w:panose1 w:val="02000500000000000000"/>
    <w:charset w:val="00"/>
    <w:family w:val="auto"/>
    <w:pitch w:val="default"/>
    <w:sig w:usb0="00000000" w:usb1="00000000" w:usb2="00000016" w:usb3="00000000" w:csb0="0004000F" w:csb1="00000000"/>
  </w:font>
  <w:font w:name="CESI楷体-GB13000">
    <w:altName w:val="楷体"/>
    <w:panose1 w:val="02000500000000000000"/>
    <w:charset w:val="00"/>
    <w:family w:val="auto"/>
    <w:pitch w:val="default"/>
    <w:sig w:usb0="00000000" w:usb1="00000000" w:usb2="00000016" w:usb3="00000000" w:csb0="0004000F" w:csb1="00000000"/>
  </w:font>
  <w:font w:name="CESI仿宋-GB13000">
    <w:altName w:val="方正仿宋_GBK"/>
    <w:panose1 w:val="02000500000000000000"/>
    <w:charset w:val="00"/>
    <w:family w:val="auto"/>
    <w:pitch w:val="default"/>
    <w:sig w:usb0="00000000" w:usb1="00000000" w:usb2="00000016" w:usb3="00000000" w:csb0="0004000F" w:csb1="00000000"/>
  </w:font>
  <w:font w:name="楷体_GB2312">
    <w:altName w:val="楷体"/>
    <w:panose1 w:val="02010609030101010101"/>
    <w:charset w:val="00"/>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526"/>
      <w:rPr>
        <w:rFonts w:ascii="Times New Roman" w:hAnsi="Times New Roman" w:eastAsia="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52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BB3emf0wEA&#10;AIQDAAAOAAAAAAAAAAEAIAAAADUBAABkcnMvZTJvRG9jLnhtbFBLBQYAAAAABgAGAFkBAAB6BQAA&#10;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50AEC"/>
    <w:multiLevelType w:val="singleLevel"/>
    <w:tmpl w:val="E8550AEC"/>
    <w:lvl w:ilvl="0" w:tentative="0">
      <w:start w:val="1"/>
      <w:numFmt w:val="chineseCounting"/>
      <w:suff w:val="nothing"/>
      <w:lvlText w:val="第%1条"/>
      <w:lvlJc w:val="left"/>
      <w:pPr>
        <w:ind w:left="0" w:firstLine="640"/>
      </w:pPr>
      <w:rPr>
        <w:rFonts w:hint="eastAsia" w:ascii="仿宋_GB2312" w:hAnsi="仿宋_GB2312" w:eastAsia="仿宋_GB2312" w:cs="仿宋_GB2312"/>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NjIzOWQ1YzBjNGMyMThmOTM4MTYwYzUzZTAyNTcifQ=="/>
  </w:docVars>
  <w:rsids>
    <w:rsidRoot w:val="779B3F39"/>
    <w:rsid w:val="08CE609D"/>
    <w:rsid w:val="098A290C"/>
    <w:rsid w:val="0ACD5B49"/>
    <w:rsid w:val="0E6FF563"/>
    <w:rsid w:val="0F433437"/>
    <w:rsid w:val="102D3FF1"/>
    <w:rsid w:val="14217BBB"/>
    <w:rsid w:val="150C68CB"/>
    <w:rsid w:val="172F68A1"/>
    <w:rsid w:val="17D79307"/>
    <w:rsid w:val="199D21E8"/>
    <w:rsid w:val="19A277FE"/>
    <w:rsid w:val="19B5A680"/>
    <w:rsid w:val="19FD67E3"/>
    <w:rsid w:val="1B122762"/>
    <w:rsid w:val="1C2C1601"/>
    <w:rsid w:val="1C450915"/>
    <w:rsid w:val="1E751B3E"/>
    <w:rsid w:val="1EC024D4"/>
    <w:rsid w:val="1EF117D0"/>
    <w:rsid w:val="20136BAE"/>
    <w:rsid w:val="208C6B12"/>
    <w:rsid w:val="2241392C"/>
    <w:rsid w:val="24BB79C6"/>
    <w:rsid w:val="25FC0296"/>
    <w:rsid w:val="26B40B71"/>
    <w:rsid w:val="28520641"/>
    <w:rsid w:val="290C4C94"/>
    <w:rsid w:val="295C2DFA"/>
    <w:rsid w:val="2A2E4796"/>
    <w:rsid w:val="2CA47188"/>
    <w:rsid w:val="2D360531"/>
    <w:rsid w:val="30240B15"/>
    <w:rsid w:val="30A13F14"/>
    <w:rsid w:val="313B0B07"/>
    <w:rsid w:val="31BC4D7D"/>
    <w:rsid w:val="33484B1B"/>
    <w:rsid w:val="34AF4725"/>
    <w:rsid w:val="36572AB2"/>
    <w:rsid w:val="36F31241"/>
    <w:rsid w:val="37FC2378"/>
    <w:rsid w:val="386046B4"/>
    <w:rsid w:val="396957EB"/>
    <w:rsid w:val="3A65563B"/>
    <w:rsid w:val="3AC21656"/>
    <w:rsid w:val="3B8D6228"/>
    <w:rsid w:val="3CB605DD"/>
    <w:rsid w:val="3D4E5423"/>
    <w:rsid w:val="3E481E73"/>
    <w:rsid w:val="3EB05C6A"/>
    <w:rsid w:val="3F870779"/>
    <w:rsid w:val="3FA532F5"/>
    <w:rsid w:val="3FC714BD"/>
    <w:rsid w:val="3FFEB541"/>
    <w:rsid w:val="421A3B26"/>
    <w:rsid w:val="43BD6E5F"/>
    <w:rsid w:val="443A04B0"/>
    <w:rsid w:val="445D1C6B"/>
    <w:rsid w:val="46F54B62"/>
    <w:rsid w:val="47525B10"/>
    <w:rsid w:val="4C9B1D07"/>
    <w:rsid w:val="4CD46FC7"/>
    <w:rsid w:val="4D7F6F33"/>
    <w:rsid w:val="50292FEE"/>
    <w:rsid w:val="5144471C"/>
    <w:rsid w:val="53670B95"/>
    <w:rsid w:val="54F226E1"/>
    <w:rsid w:val="55C776C9"/>
    <w:rsid w:val="56C1680E"/>
    <w:rsid w:val="59063472"/>
    <w:rsid w:val="5C3F26AF"/>
    <w:rsid w:val="5E2D4789"/>
    <w:rsid w:val="5EFE5E33"/>
    <w:rsid w:val="5FDAB2AC"/>
    <w:rsid w:val="60B371C8"/>
    <w:rsid w:val="622C5484"/>
    <w:rsid w:val="63C96D02"/>
    <w:rsid w:val="67EE0B6F"/>
    <w:rsid w:val="67FB4639"/>
    <w:rsid w:val="69E228CC"/>
    <w:rsid w:val="6B735ED1"/>
    <w:rsid w:val="6BDF5315"/>
    <w:rsid w:val="6DDEDE81"/>
    <w:rsid w:val="6F9208F0"/>
    <w:rsid w:val="6FF450A2"/>
    <w:rsid w:val="701D28B0"/>
    <w:rsid w:val="7249798C"/>
    <w:rsid w:val="745D4ADD"/>
    <w:rsid w:val="779B3F39"/>
    <w:rsid w:val="77ADCBF2"/>
    <w:rsid w:val="7AC878BC"/>
    <w:rsid w:val="7AFD15B8"/>
    <w:rsid w:val="7BAF1D0C"/>
    <w:rsid w:val="7BF9001A"/>
    <w:rsid w:val="7C7C095E"/>
    <w:rsid w:val="7C8F68E3"/>
    <w:rsid w:val="7EA61CC2"/>
    <w:rsid w:val="7FBE427B"/>
    <w:rsid w:val="7FD32BE3"/>
    <w:rsid w:val="9FFA76B2"/>
    <w:rsid w:val="B5AD6EC1"/>
    <w:rsid w:val="B74CB772"/>
    <w:rsid w:val="B7FCCC29"/>
    <w:rsid w:val="BD5FD797"/>
    <w:rsid w:val="BDFEA316"/>
    <w:rsid w:val="DBEFF382"/>
    <w:rsid w:val="DD6F8C0C"/>
    <w:rsid w:val="EBFDAC86"/>
    <w:rsid w:val="ECFFDF2F"/>
    <w:rsid w:val="EF333115"/>
    <w:rsid w:val="FA3B0BB2"/>
    <w:rsid w:val="FEFF6D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10901</Words>
  <Characters>11315</Characters>
  <Lines>0</Lines>
  <Paragraphs>0</Paragraphs>
  <TotalTime>0</TotalTime>
  <ScaleCrop>false</ScaleCrop>
  <LinksUpToDate>false</LinksUpToDate>
  <CharactersWithSpaces>11467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2024-11-07T07:54:00Z</dcterms:created>
  <dc:creator>kylin</dc:creator>
  <cp:lastModifiedBy>greatwall</cp:lastModifiedBy>
  <cp:lastPrinted>2024-12-13T11:02:57Z</cp:lastPrinted>
  <dcterms:modified xsi:type="dcterms:W3CDTF">2024-12-13T16:11:39Z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F412D188F0724AAF8569FEC92CBCE7CD_13</vt:lpwstr>
  </property>
</Properties>
</file>