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EDC543">
      <w:pPr>
        <w:keepNext w:val="0"/>
        <w:keepLines w:val="0"/>
        <w:pageBreakBefore w:val="0"/>
        <w:widowControl w:val="0"/>
        <w:kinsoku/>
        <w:wordWrap/>
        <w:overflowPunct/>
        <w:topLinePunct w:val="0"/>
        <w:autoSpaceDE/>
        <w:autoSpaceDN/>
        <w:bidi w:val="0"/>
        <w:adjustRightInd/>
        <w:snapToGrid/>
        <w:spacing w:line="57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14:paraId="26EED4F1">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湖南省医保“双通道”单行支付管理药品目录（2025年）</w:t>
      </w:r>
    </w:p>
    <w:tbl>
      <w:tblPr>
        <w:tblW w:w="499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fixed"/>
        <w:tblCellMar>
          <w:top w:w="0" w:type="dxa"/>
          <w:left w:w="108" w:type="dxa"/>
          <w:bottom w:w="0" w:type="dxa"/>
          <w:right w:w="108" w:type="dxa"/>
        </w:tblCellMar>
      </w:tblPr>
      <w:tblGrid>
        <w:gridCol w:w="633"/>
        <w:gridCol w:w="814"/>
        <w:gridCol w:w="2432"/>
        <w:gridCol w:w="1897"/>
        <w:gridCol w:w="7757"/>
        <w:gridCol w:w="676"/>
      </w:tblGrid>
      <w:tr w14:paraId="2A4DE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0" w:type="dxa"/>
            <w:left w:w="108" w:type="dxa"/>
            <w:bottom w:w="0" w:type="dxa"/>
            <w:right w:w="108" w:type="dxa"/>
          </w:tblCellMar>
        </w:tblPrEx>
        <w:trPr>
          <w:trHeight w:val="340" w:hRule="atLeast"/>
          <w:tblHeader/>
        </w:trPr>
        <w:tc>
          <w:tcPr>
            <w:tcW w:w="222" w:type="pct"/>
            <w:tcBorders>
              <w:top w:val="single" w:color="000000" w:sz="4" w:space="0"/>
              <w:left w:val="single" w:color="000000" w:sz="4" w:space="0"/>
              <w:bottom w:val="single" w:color="000000" w:sz="4" w:space="0"/>
              <w:right w:val="single" w:color="000000" w:sz="4" w:space="0"/>
            </w:tcBorders>
            <w:shd w:val="clear"/>
            <w:vAlign w:val="center"/>
          </w:tcPr>
          <w:p w14:paraId="792B57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序号</w:t>
            </w:r>
          </w:p>
        </w:tc>
        <w:tc>
          <w:tcPr>
            <w:tcW w:w="286" w:type="pct"/>
            <w:tcBorders>
              <w:top w:val="single" w:color="000000" w:sz="4" w:space="0"/>
              <w:left w:val="single" w:color="000000" w:sz="4" w:space="0"/>
              <w:bottom w:val="single" w:color="000000" w:sz="4" w:space="0"/>
              <w:right w:val="single" w:color="000000" w:sz="4" w:space="0"/>
            </w:tcBorders>
            <w:shd w:val="clear"/>
            <w:vAlign w:val="center"/>
          </w:tcPr>
          <w:p w14:paraId="21F825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类别</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C1FBE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通用名</w:t>
            </w:r>
          </w:p>
        </w:tc>
        <w:tc>
          <w:tcPr>
            <w:tcW w:w="667" w:type="pct"/>
            <w:tcBorders>
              <w:top w:val="single" w:color="000000" w:sz="4" w:space="0"/>
              <w:left w:val="single" w:color="000000" w:sz="4" w:space="0"/>
              <w:bottom w:val="single" w:color="000000" w:sz="4" w:space="0"/>
              <w:right w:val="single" w:color="000000" w:sz="4" w:space="0"/>
            </w:tcBorders>
            <w:shd w:val="clear"/>
            <w:vAlign w:val="center"/>
          </w:tcPr>
          <w:p w14:paraId="075DC7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目录剂型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C91FE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医保限定支付范围</w:t>
            </w:r>
          </w:p>
        </w:tc>
        <w:tc>
          <w:tcPr>
            <w:tcW w:w="237" w:type="pct"/>
            <w:tcBorders>
              <w:top w:val="single" w:color="000000" w:sz="4" w:space="0"/>
              <w:left w:val="single" w:color="000000" w:sz="4" w:space="0"/>
              <w:bottom w:val="single" w:color="000000" w:sz="4" w:space="0"/>
              <w:right w:val="single" w:color="000000" w:sz="4" w:space="0"/>
            </w:tcBorders>
            <w:shd w:val="clear"/>
            <w:vAlign w:val="center"/>
          </w:tcPr>
          <w:p w14:paraId="3F1F91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黑体" w:hAnsi="黑体" w:eastAsia="黑体" w:cs="黑体"/>
                <w:b w:val="0"/>
                <w:bCs w:val="0"/>
                <w:i w:val="0"/>
                <w:iCs w:val="0"/>
                <w:color w:val="000000"/>
                <w:sz w:val="20"/>
                <w:szCs w:val="20"/>
                <w:u w:val="none"/>
              </w:rPr>
            </w:pPr>
            <w:r>
              <w:rPr>
                <w:rFonts w:hint="eastAsia" w:ascii="黑体" w:hAnsi="黑体" w:eastAsia="黑体" w:cs="黑体"/>
                <w:b w:val="0"/>
                <w:bCs w:val="0"/>
                <w:i w:val="0"/>
                <w:iCs w:val="0"/>
                <w:color w:val="000000"/>
                <w:kern w:val="0"/>
                <w:sz w:val="20"/>
                <w:szCs w:val="20"/>
                <w:u w:val="none"/>
                <w:bdr w:val="none" w:color="auto" w:sz="0" w:space="0"/>
                <w:lang w:val="en-US" w:eastAsia="zh-CN" w:bidi="ar"/>
              </w:rPr>
              <w:t>备注</w:t>
            </w:r>
          </w:p>
        </w:tc>
      </w:tr>
      <w:tr w14:paraId="5DC421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7FE73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D39A4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6959E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阿柏西普眼内注射溶液</w:t>
            </w:r>
          </w:p>
        </w:tc>
        <w:tc>
          <w:tcPr>
            <w:tcW w:w="667" w:type="pct"/>
            <w:tcBorders>
              <w:top w:val="single" w:color="000000" w:sz="4" w:space="0"/>
              <w:left w:val="single" w:color="000000" w:sz="4" w:space="0"/>
              <w:bottom w:val="single" w:color="000000" w:sz="4" w:space="0"/>
              <w:right w:val="single" w:color="000000" w:sz="4" w:space="0"/>
            </w:tcBorders>
            <w:shd w:val="clear"/>
            <w:vAlign w:val="center"/>
          </w:tcPr>
          <w:p w14:paraId="393B67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641A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限：1.50岁以上的湿性年龄相关性黄斑变性（AMD）；2.糖尿病性黄斑水肿（DME）引起的视力损害。</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B8DDD8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BBF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42928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E7896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B0D60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阿贝西利片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B3CFF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63573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联合内分泌治疗（他莫昔芬或芳香化酶抑制剂）用于激素受体（HR）阳性、人表皮生长因子受体2（HER2）阴性、淋巴结阳性，高复发风险且Ki-67≥20%的早期乳腺癌成人患者的辅助治疗。2.激素受体（HR）阳性、人表皮生长因子受体2（HER2）阴性的局部晚期或转移性乳腺癌：与芳香化酶抑制剂联合使用作为绝经后女性患者的初始内分泌治疗；与氟维司群联合用于既往曾接受内分泌治疗后出现疾病进展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10C7F9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D2BAE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5255B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40403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2E79E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阿比特龙</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224FE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FB786F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2D8837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FF21E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60032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5E8FB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8939B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阿布昔替尼片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290FB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429DC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限其他系统治疗（如激素或生物制剂）应答不佳或不适宜上述治疗的难治性、中重度特应性皮炎成人和12岁及以上青少年患者。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070C92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F0B0F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6172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393DC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D5B5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阿达木单抗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72E19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947CC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4F69E2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9AD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D6EBF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3BE8E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F4D40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阿法替尼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68BCD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31C39E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9A5EB0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76447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7D5E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B726D4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F035B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阿加糖酶α注射用浓溶液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61CEA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B532A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限法布雷病（α-半乳糖苷酶A缺乏症）患者的长期酶替代治疗，适用于成人、儿童和青少年。尚未确定本品在0-6岁儿童中的安全性和有效性。</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5C9F42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D5D8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7D457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EC1DE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4CBCA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阿帕他胺片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A0D41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94738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限：1.转移性内分泌治疗敏感性前列腺癌（mHSPC）成年患者；2.有高危转移风险的非转移性去势抵抗性前列腺癌（NM-CRPC）成年患者。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BBFD53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61531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3AA65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023AC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EF20D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阿普米司特片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E2C56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93E28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限符合接受光疗或系统性治疗指征的中度至重度斑块状银屑病的成人患者。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21F1DD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1DEC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6C266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6D4A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3C45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阿昔替尼片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74A4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A9DBC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F47CFF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5427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13CFF7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1C08E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B24C8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阿扎胞苷</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01C46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05EE25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5C3DE4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46939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86AE0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EABC0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FFD19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艾考恩丙替片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9C6C0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28958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46CDD1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DAFE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976FC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FB8FF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507C8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艾米替诺福韦片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AE171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0356E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限慢性乙型肝炎成人患者。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88477B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7B5F7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E3F20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9F7BF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55C3F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艾诺韦林片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ACFA0F9">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1F3B73F">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0F9E71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8918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E51C4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F8F91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FEDDC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艾曲泊帕乙醇胺片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DF217C1">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D7155C">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限：1.既往对糖皮质激素、免疫球蛋白等治疗反应不佳的成人和6岁及以上儿童慢性免疫性（特发性）血小板减少症（ITP）患者；2.既往对免疫抑制治疗缓解不充分的重型再生障碍性贫血（SAA）患者。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7EF2D2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8C231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1A98C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ECCA0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16A6C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安立生坦</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BD12499">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A8AB64E">
            <w:pPr>
              <w:keepNext w:val="0"/>
              <w:keepLines w:val="0"/>
              <w:pageBreakBefore w:val="0"/>
              <w:widowControl/>
              <w:kinsoku/>
              <w:wordWrap/>
              <w:overflowPunct/>
              <w:topLinePunct w:val="0"/>
              <w:autoSpaceDE/>
              <w:autoSpaceDN/>
              <w:bidi w:val="0"/>
              <w:adjustRightInd w:val="0"/>
              <w:snapToGrid w:val="0"/>
              <w:spacing w:line="234"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6A4E05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F68C5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6C703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EA9A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1CFA9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奥布替尼片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030853">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A7408B6">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一种治疗的成人套细胞淋巴瘤（MCL）患者；2.既往至少接受过一种治疗的成人慢性淋巴细胞白血病（CLL）/小淋巴细胞淋巴瘤（SLL）患者；3.既往至少接受过一种治疗的成人边缘区淋巴瘤（MZL）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6158AC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86933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902FE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1E9A6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EEA09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奥法妥木单抗注射液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12BF605">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F9F8A11">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限成人复发型多发性硬化（RMS）。</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64FA12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A21D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F61E8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8CD0B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DCF7F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奥拉帕利片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BCFD764">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30D2326">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携带胚系或体细胞BRCA突变的（gBRCAm或sBRCAm）晚期上皮性卵巢癌、输卵管癌或原发性腹膜癌初治成人患者在一线含铂化疗达到完全缓解或部分缓解后的维持治疗；2.同源重组修复缺陷（HRD）阳性的晚期上皮性卵巢癌、输卵管癌或原发性腹膜癌成人患者在一线含铂化疗联合贝伐珠单抗治疗达到完全缓解或部分缓解后的维持治疗；3.铂敏感的复发性上皮性卵巢癌、输卵管癌或原发性腹膜癌成人患者在含铂化疗达到完全缓解或部分缓解后的维持治疗；4.携带胚系或体细胞BRCA突变（gBRCAm或sBRCAm）且既往治疗（包括一种新型内分泌药物）失败的转移性去势抵抗性前列腺癌成人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9ABD44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26111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18FCE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8B1E2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04A79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奥雷巴替尼片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B625869">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0878C10">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限：1.对一代和二代酪氨酸激酶抑制剂耐药和/或不耐受的慢性髓细胞白血病慢性期成年患者；2.T315I突变的慢性髓细胞白血病慢性期或加速期的成年患者。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644DAD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56F1B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C1CB3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B73B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B8503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奥妥珠单抗注射液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AB88205">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B7E4DE0">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限与化疗联合，用于初治的Ⅱ期伴有巨大肿块、Ⅲ期或Ⅳ期滤泡性淋巴瘤成人患者，达到至少部分缓解的患者随后用奥妥珠单抗维持治疗。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92C03D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EA29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C9BD2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DC7C4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256FA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巴瑞替尼片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FD8F2ED">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C42B211">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诊断明确的类风湿关节炎经传统DMARDs治疗3-6个月疾病活动度下降低于50%者；2.对一种或多种既往传统合成或生物DMARDs应答不佳或不耐受的2岁及以上活动性幼年特发性关节炎患者，包括：（1）多关节型幼年特发性关节炎（多关节型类风湿因子阳性[RF+]或阴性[RF-]，扩展型少关节炎）,（2）附着点炎相关关节炎,（3）幼年银屑病关节炎。可单药使用或与甲氨蝶呤联合用药。</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4A4672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7ED2D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84EE6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0A3DB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CCEB5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贝伐珠单抗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F0904D9">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8FFEF7A">
            <w:pPr>
              <w:keepNext w:val="0"/>
              <w:keepLines w:val="0"/>
              <w:pageBreakBefore w:val="0"/>
              <w:widowControl/>
              <w:kinsoku/>
              <w:wordWrap/>
              <w:overflowPunct/>
              <w:topLinePunct w:val="0"/>
              <w:autoSpaceDE/>
              <w:autoSpaceDN/>
              <w:bidi w:val="0"/>
              <w:adjustRightInd w:val="0"/>
              <w:snapToGrid w:val="0"/>
              <w:spacing w:line="234"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A5701C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9D3F6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FC085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35B93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901AC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比克恩丙诺片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0228C6C">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09B20DF">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D6649B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7B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A5AA7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5F3F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7F74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丙酚替诺福韦</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43F8FE">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F81F109">
            <w:pPr>
              <w:keepNext w:val="0"/>
              <w:keepLines w:val="0"/>
              <w:pageBreakBefore w:val="0"/>
              <w:widowControl/>
              <w:kinsoku/>
              <w:wordWrap/>
              <w:overflowPunct/>
              <w:topLinePunct w:val="0"/>
              <w:autoSpaceDE/>
              <w:autoSpaceDN/>
              <w:bidi w:val="0"/>
              <w:adjustRightInd w:val="0"/>
              <w:snapToGrid w:val="0"/>
              <w:spacing w:line="234"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55E5EF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696C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C016D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46772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5AFA4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波生坦分散片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DC0CEC6">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分散片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07DA667">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限3-12岁特发性或先天性肺动脉高压患者。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19BAC6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56401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2EC5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D5E48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E9C4C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波生坦片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2273567">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CA23F96">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限WHO功能分级Ⅱ级-Ⅳ级的肺动脉高压（WHO第1组）的患者。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99F3DA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259B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60849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B7364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8AA2C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泊马度胺胶囊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DAF41B5">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A6DBC53">
            <w:pPr>
              <w:keepNext w:val="0"/>
              <w:keepLines w:val="0"/>
              <w:pageBreakBefore w:val="0"/>
              <w:widowControl/>
              <w:suppressLineNumbers w:val="0"/>
              <w:kinsoku/>
              <w:wordWrap/>
              <w:overflowPunct/>
              <w:topLinePunct w:val="0"/>
              <w:autoSpaceDE/>
              <w:autoSpaceDN/>
              <w:bidi w:val="0"/>
              <w:adjustRightInd w:val="0"/>
              <w:snapToGrid w:val="0"/>
              <w:spacing w:line="234"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限既往接受过至少两种治疗（包括来那度胺和一种蛋白酶体抑制剂），且在最后一次治疗期间或治疗结束后60天内发生疾病进展的成年多发性骨髓瘤患者。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115281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47DB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63E0E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4296F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67149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泊沙康唑口服混悬液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B6D5C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口服混悬剂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40DAB07">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限：1.预防移植后（干细胞及实体器官移植）及恶性肿瘤患者有重度粒细胞缺乏的侵袭性曲霉菌和念球菌感染；2.伊曲康唑或氟康唑难治性口咽念珠菌病；3.接合菌纲类感染。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C9F672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C615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34A51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4600A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EC971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泊沙康唑注射液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713AC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44FF9B3">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限18岁和18岁以上重度免疫缺陷患者。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25DE07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D564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3E5FE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D1ECD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D46F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布格替尼片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7808A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C5E590F">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限间变性淋巴瘤激酶（ALK）阳性的局部晚期或转移性的非小细胞肺癌（NSCLC）患者。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98E24F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593DE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420CD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220B1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6B868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醋酸艾替班特注射液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282EC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84023E5">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限成人、青少年和≥2 岁儿童的遗传性血管性水肿（HAE）急性发作。</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D3BB45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371F1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5440D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44089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914EB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醋酸兰瑞肽缓释注射液（预充式）</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4D65C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bookmarkStart w:id="0" w:name="_GoBack"/>
            <w:r>
              <w:rPr>
                <w:rFonts w:hint="eastAsia" w:ascii="方正书宋_GBK" w:hAnsi="方正书宋_GBK" w:eastAsia="方正书宋_GBK" w:cs="方正书宋_GBK"/>
                <w:i w:val="0"/>
                <w:iCs w:val="0"/>
                <w:color w:val="000000"/>
                <w:spacing w:val="-11"/>
                <w:kern w:val="0"/>
                <w:sz w:val="20"/>
                <w:szCs w:val="20"/>
                <w:u w:val="none"/>
                <w:bdr w:val="none" w:color="auto" w:sz="0" w:space="0"/>
                <w:lang w:val="en-US" w:eastAsia="zh-CN" w:bidi="ar"/>
              </w:rPr>
              <w:t>缓释注射剂（预充式）</w:t>
            </w:r>
            <w:bookmarkEnd w:id="0"/>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38BF2FE">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限：1.肢端肥大症患者；2.不可切除、高分化或中分化、局部晚期或转移性胃肠胰神经内分泌瘤（GEP-NETs）的成人患者；3.类癌综合征成人患者。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DE132D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4C3A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60EDC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C0916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0B78C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达可替尼片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B1A4A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00C4D46">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限表皮生长因子受体（EGFR）19号外显子缺失突变或21号外显子L858R置换突变的局部晚期或转移性非小细胞肺癌（NSCLC）患者的一线治疗。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EB36CB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D426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694BF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7837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208E7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达雷妥尤单抗注射液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BC202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3591269">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限：1.与来那度胺和地塞米松联合用药或与硼替佐米、美法仑和泼尼松联合用药治疗不适合自体干细</w:t>
            </w: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胞移植的新诊断的多发性骨髓瘤成年患者；2.与来那度胺和地塞米松联合用药或与硼替佐米和地塞米松联合用药治疗既往至少接受过一线治疗的多发性骨髓瘤成年患者</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；3.单药治疗复发和难治性多发性骨髓瘤成年患者，患者既往接受过包括蛋白酶体抑制剂和免疫调节剂的治疗且最后一次治疗时出现疾病进展。</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CF86E8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35CF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E93C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2476C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73E6F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达罗他胺片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3F8A6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33DCDF7">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限：1.治疗有高危转移风险的非转移性去势抵抗性前列腺癌（NM-CRPC）成年患者；2.联合多西他赛治疗转移性激素敏感性前列腺癌（mHSPC）成年患者。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BF8357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3212C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281C7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3BDC2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3A8BD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达沙替尼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B337D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371DD4E">
            <w:pPr>
              <w:keepNext w:val="0"/>
              <w:keepLines w:val="0"/>
              <w:pageBreakBefore w:val="0"/>
              <w:widowControl/>
              <w:kinsoku/>
              <w:wordWrap/>
              <w:overflowPunct/>
              <w:topLinePunct w:val="0"/>
              <w:autoSpaceDE/>
              <w:autoSpaceDN/>
              <w:bidi w:val="0"/>
              <w:adjustRightInd w:val="0"/>
              <w:snapToGrid w:val="0"/>
              <w:spacing w:line="236"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02D409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622B4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3FAF8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0BA41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96235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氘丁苯那嗪片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8FF93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CCCB388">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限治疗成人：与亨廷顿病有关的舞蹈病；迟发性运动障碍。</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D8E6ED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F86B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8D50F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8EFED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E0D31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德拉马尼片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51789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AA6E1F5">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限耐多药结核患者。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3E2766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10044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A3A58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E82D6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558D9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地拉罗司</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8B322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2A83A13">
            <w:pPr>
              <w:keepNext w:val="0"/>
              <w:keepLines w:val="0"/>
              <w:pageBreakBefore w:val="0"/>
              <w:widowControl/>
              <w:kinsoku/>
              <w:wordWrap/>
              <w:overflowPunct/>
              <w:topLinePunct w:val="0"/>
              <w:autoSpaceDE/>
              <w:autoSpaceDN/>
              <w:bidi w:val="0"/>
              <w:adjustRightInd w:val="0"/>
              <w:snapToGrid w:val="0"/>
              <w:spacing w:line="236"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34C88E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ED01E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44D50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4517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AF7D4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地塞米松玻璃体内植入剂</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62638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植入剂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9E56E6A">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限：1.视网膜静脉阻塞（RVO）的黄斑水肿；2.糖尿病性黄斑水肿（DME）。</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5支，每个年度最多支付2支。</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D05EF0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E270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0625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8F908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A00EB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地舒单抗注射液（120mg）</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AB76C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2E5449B">
            <w:pPr>
              <w:keepNext w:val="0"/>
              <w:keepLines w:val="0"/>
              <w:pageBreakBefore w:val="0"/>
              <w:widowControl/>
              <w:kinsoku/>
              <w:wordWrap/>
              <w:overflowPunct/>
              <w:topLinePunct w:val="0"/>
              <w:autoSpaceDE/>
              <w:autoSpaceDN/>
              <w:bidi w:val="0"/>
              <w:adjustRightInd w:val="0"/>
              <w:snapToGrid w:val="0"/>
              <w:spacing w:line="236"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9D76DC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DDF45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BB485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AF78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D53E3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度拉糖肽注射液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46844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9AD7690">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限二甲双胍等口服降糖药或胰岛素控制效果不佳的BMI≥25的患者，首次处方时需由二级及以上医疗机构专科医师开具处方。</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6D7637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DC021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18777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4909A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2FD71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度普利尤单抗注射液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8EAF4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40B50EF">
            <w:pPr>
              <w:keepNext w:val="0"/>
              <w:keepLines w:val="0"/>
              <w:pageBreakBefore w:val="0"/>
              <w:widowControl/>
              <w:suppressLineNumbers w:val="0"/>
              <w:kinsoku/>
              <w:wordWrap/>
              <w:overflowPunct/>
              <w:topLinePunct w:val="0"/>
              <w:autoSpaceDE/>
              <w:autoSpaceDN/>
              <w:bidi w:val="0"/>
              <w:adjustRightInd w:val="0"/>
              <w:snapToGrid w:val="0"/>
              <w:spacing w:line="236"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限对传统治疗无效、有禁忌或不耐受的中重度特应性皮炎患者，需按说明书用药。</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96B292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0B9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D729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0CF0C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4E4FA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厄洛替尼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A7E6B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441206D">
            <w:pPr>
              <w:keepNext w:val="0"/>
              <w:keepLines w:val="0"/>
              <w:pageBreakBefore w:val="0"/>
              <w:widowControl/>
              <w:kinsoku/>
              <w:wordWrap/>
              <w:overflowPunct/>
              <w:topLinePunct w:val="0"/>
              <w:autoSpaceDE/>
              <w:autoSpaceDN/>
              <w:bidi w:val="0"/>
              <w:adjustRightInd w:val="0"/>
              <w:snapToGrid w:val="0"/>
              <w:spacing w:line="236"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F4CD0B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35EB1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25BBB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E1341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4EB58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恩扎卢胺软胶囊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DD25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858E048">
            <w:pPr>
              <w:keepNext w:val="0"/>
              <w:keepLines w:val="0"/>
              <w:pageBreakBefore w:val="0"/>
              <w:widowControl/>
              <w:kinsoku/>
              <w:wordWrap/>
              <w:overflowPunct/>
              <w:topLinePunct w:val="0"/>
              <w:autoSpaceDE/>
              <w:autoSpaceDN/>
              <w:bidi w:val="0"/>
              <w:adjustRightInd w:val="0"/>
              <w:snapToGrid w:val="0"/>
              <w:spacing w:line="236"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3E387E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E13FD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24A65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5164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03513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呋喹替尼胶囊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5BD7A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448D5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限转移性结直肠癌患者的三线治疗。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73C803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70DE4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9FA49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52858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90048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氟维司群</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B299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5FA7C9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4A3FA3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DBE2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AF314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49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6C57C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B0D8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氟唑帕利胶囊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D94F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BE8EC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经过二线及以上化疗的伴有胚系BRCA突变（gBRCAm）的铂敏感复发性卵巢癌、输卵管癌或原发性腹膜癌的患者；2.铂敏感的复发性上皮性卵巢癌、输卵管癌或原发性腹膜癌成人患者在含铂化疗达到完全缓解或部分缓解后的维持治疗；3.晚期上皮性卵巢癌、输卵管癌或原发性腹膜癌成人患者在一线含铂化疗达到完全缓解或部分缓解后的维持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DF45E1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468A0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22619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6F146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A00AA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富马酸贝达喹啉片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AF508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9CE01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限耐多药结核患者。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180B6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F57C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786A8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8385C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24F6C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富马酸二甲酯肠溶胶囊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E115B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7262A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限成人复发型多发性硬化（RMS）。</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49C398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41BE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41558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CE3F5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20186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甘露特钠胶囊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0D012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4C98D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限轻度至中度阿尔茨海默病。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0F7331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A05B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41F4E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678B1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921D4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枸橼酸托法替布缓释片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8673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缓释片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44173D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930FE1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17CB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D039D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64266E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2D981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枸橼酸伊沙佐米胶囊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19DCC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F40D8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限治疗已接受过至少一种既往治疗的多发性骨髓瘤成人患者。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0A3915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E7F3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7565E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BA1BA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4EA7A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古塞奇尤单抗注射液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C812A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76C4F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限适合系统性治疗的成人中重度斑块状银屑病。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A92947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A33B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C86D8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69436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60036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海曲泊帕乙醇胺片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4AEC7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9E1CD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限：1.既往对糖皮质激素、免疫球蛋白等治疗反应不佳的慢性原发免疫性血小板减少症（ITP）成人患者；2.对免疫抑制治疗（IST）疗效不佳的重型再生障碍性贫血（SAA）成人患者。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51ABF7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EC33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FE8AB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BC46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03A9B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环硅酸锆钠散</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26BF2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口服散剂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13CA4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限成人高钾血症。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8BC0CF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AEDC7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C1D74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D6C89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29ABA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吉非替尼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555B9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C037BD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C3BA8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E48C0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EB8E7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59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9348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21F9F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甲苯磺酸艾多沙班片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EF28F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D6CCE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限华法林治疗控制不良或出血高危的非瓣膜性房颤、深静脉血栓、肺栓塞患者。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1EA11D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72530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D8041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FEBFC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10B42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甲苯磺酸多纳非尼片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DE890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96AA1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限：1.既往未接受过全身系统性治疗的不可切除肝细胞癌患者；2.进展性、局部晚期或转移性放射性碘难治性分化型甲状腺癌患者。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CF5EB3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62A2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BCE72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5EDB27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3764D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甲苯磺酸尼拉帕利胶囊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F53FE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B7BA9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晚期上皮性卵巢癌、输卵管癌或原发性腹膜癌成人患者对一线含铂化疗达到完全缓解或部分缓解后的维持治疗；2.铂敏感的复发性上皮性卵巢癌、输卵管癌或原发性腹膜癌成人患者在含铂化疗达到完全缓解或部分缓解后的维持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DD7178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1C68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B0E93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38A37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0A55F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甲磺酸阿美替尼片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06A1B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BE228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表皮生长因子受体（EGFR）外显子19缺失或外显子21（L858R）置换突变的局部晚期或转移性非小细胞肺癌（NSCLC）成人患者的一线治疗；2.既往经EGFR酪氨酸激酶抑制剂（TKI）治疗时或治疗后出现疾病进展,并且经检测确认存在EGFR T790M突变阳性的局部晚期或转移性非小细胞肺癌成人患者的治疗。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4C59A9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2A3A8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A5393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50ABE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9675B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甲磺酸阿帕替尼片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D35D9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31676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限：1.既往至少接受过2种系统化疗后进展或复发的晚期胃腺癌或胃-食管结合部腺癌患者；2.既往接受过至少一线系统性治疗后失败或不可耐受的晚期肝细胞癌患者；3.不可切除或转移性肝细胞癌患者的一线治疗。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881223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77186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5C1E4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50A4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5EF91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甲磺酸艾立布林注射液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1800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3D3F1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限既往接受过至少两种化疗方案的局部晚期或转移性乳腺癌患者。既往的化疗方案应包含一种蒽环类和一种紫杉烷类药物。</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3B7700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B5502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82762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9D7CE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46D27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甲磺酸奥希替尼片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34099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FC258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ⅠB-ⅢA期存在表皮生长因子受体（EGFR）外显子19缺失或外显子21（L858R）置换突变的非小细胞肺癌（NSCLC）患者的治疗，患者须既往接受过手术切除治疗，并由医生决定接受或不接受辅助化疗；2.具有表皮生长因子受体（EGFR）外显子19缺失或外显子21（L858R）置换突变的局部晚期或转移性非小细胞肺癌（NSCLC）成人患者的一线治疗；3.既往经EGFR酪氨酸激酶抑制剂（TKI）治疗时或治疗后出现疾病进展，并且经检测确认存在EGFR T790M突变阳性的局部晚期或转移性NSCLC成人患者的治疗；4.联合培美曲塞和铂类化疗药物用于具有表皮生长因子受体（EGFR）外显子19缺失或外显子21（L858R）置换突变的局部晚期或转移性非小细胞肺癌（NSCLC）成人患者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8F222A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3D217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997BF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2A1EB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9D7F1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甲磺酸达拉非尼胶囊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B28EA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14A49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限：1.BRAF V600 突变阳性不可切除或转移性黑色素瘤：联合曲美替尼适用于治疗BRAF V600 突变阳性的不可切除或转移性黑色素瘤患者；</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2.BRAF V600 突变阳性黑色素瘤的术后辅助治疗：联合曲美替尼适用于BRAF V600 突变阳性的Ⅲ期黑色素瘤患者完全切除后的辅助治疗；</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3.BRAF V600突变阳性的转移性非小细胞肺癌：联合曲美替尼适用于治疗BRAF V600突变阳性的转移性非小细胞肺癌患者。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144F64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224CE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13E19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B1257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05BFC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甲磺酸伏美替尼片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A0AAC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CA37F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表皮生长因子受体（EGFR）外显子19缺失或外显子21（L858R）置换突变的局部晚期或转移性非小细胞肺癌（NSCLC）成人患者的一线治疗；2.既往因表皮生长因子受体（EGFR）酪氨酸激酶抑制剂（TKI）治疗时或治疗后出现疾病进展，并且经检验确认存在EGFR T790M 突变阳性的局部晚期或转移性非小细胞肺癌成人患者的治疗。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3B2F9D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EF3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F8723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B7B35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7E312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甲磺酸氟马替尼片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52DF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77C12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限费城染色体阳性的慢性髓性白血病（Ph+ CML）慢性期成人患者。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89B27E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2E3C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40C0A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69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2D29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DEA69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甲磺酸仑伐替尼胶囊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3F545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191EC5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EDAB8C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3B59B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466C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372B4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E91CA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聚乙二醇洛塞那肽注射液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AD4C8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68BB7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限二甲双胍等口服降糖药或胰岛素控制效果不佳的BMI≥25的患者，首次处方时需由二级及以上医疗机构专科医师开具处方。</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F6C0CE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BEAC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9EDAE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7BCF9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E0CD6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康柏西普眼用注射液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D7FB1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EB3A3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1.50岁以上的湿性年龄相关性黄斑变性（AMD）；2.糖尿病性黄斑水肿（DME）引起的视力损害；3.脉络膜新生血管（CNV）导致的视力损害；4.继发于视网膜静脉阻塞（RVO）（视网膜分支静脉阻塞（BRVO）或视网膜中央静脉阻塞（CRVO）的黄斑水肿引起的视力损伤。</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FFA042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39418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F2423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2F189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95777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克立硼罗软膏</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79965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软膏剂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F427E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限3月龄及以上的轻度至中度特应性皮炎患者。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A9200E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5CD67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CF779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8C61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9E9C7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克唑替尼胶囊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C1022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2961F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限间变性淋巴瘤激酶（ALK）阳性的局部晚期或转移性非小细胞肺癌患者或 ROS1阳性的晚期非小细胞肺癌患者。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F7A93A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748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8ADF64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7A7EB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19915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拉米夫定多替拉韦片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4DA29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B793F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09FCA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F33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79B9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36203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7B1F9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拉那利尤单抗注射液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46CBC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BA88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限12岁及以上患者预防遗传性血管性水肿（HAE）发作。</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DECA47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C238F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83A7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065AA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E171E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来迪派韦索磷布韦片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1FEE4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64A8B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限成人和12至&lt;18岁青少年的慢性丙型肝炎病毒（HCV）感染。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2F2F08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6E3C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A68B9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541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93C5B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来那度胺</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00DEB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4F659E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F12C1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346FC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1CD85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7DC6A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3FE70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来特莫韦片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E0945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4FD25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限用于接受异基因造血干细胞移植（HSCT）的巨细胞病毒（CMV）血清学阳性的成人受者[R+]预防巨细胞病毒感染和巨细胞病毒病。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7EC510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26EDA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7DD69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79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2C2F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12311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来特莫韦注射液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DEC4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11787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限用于接受异基因造血干细胞移植（HSCT）的巨细胞病毒（CMV）血清学阳性的成人受者[R+]预防巨细胞病毒感染和巨细胞病毒病。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AFA195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2B4D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D9E5C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36348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658D9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雷替曲塞</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C9793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AE32B7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025084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E940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A6482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E15D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BD55C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雷珠单抗注射液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6B5A4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DFDD7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限：1.50岁以上的湿性年龄相关性黄斑变性（AMD）；2.糖尿病性黄斑水肿（DME）引起的视力损害；3.脉络膜新生血管（CNV）导致的视力损害；4.继发于视网膜静脉阻塞（RVO）的黄斑水肿引起的视力损害。</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应同时符合以下条件：1.需三级综合医院眼科或二级及以上眼科专科医院医师处方；2.首次处方时病眼基线矫正视力0.05-0.5；3.事前审查后方可用，初次申请需有血管造影或OCT（全身情况不允许的患者可以提供OCT血管成像）证据；4.每眼累计最多支付9支，第1年度最多支付5支。阿柏西普、雷珠单抗、康柏西普、法瑞西单抗的药品支数合并计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5F035B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9880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A363B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A7C11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2708E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利奥西呱片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16E8E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0B430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限：1.术后持续性或复发性慢性血栓栓塞性肺动脉高压（CTEPH）或不能手术的CTEPH，且（WHO FC）为II-III的患者；2.动脉性肺动脉高压（PAH）且（WHO FC）为II-III患者的二线用药。</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D1DBC9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1F85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1034B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F7D7B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AE273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利鲁唑口服混悬液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89A30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口服液体剂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30E54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限肌萎缩侧索硬化（ALS）。</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2A7370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9CF8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0F0C0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5AE35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A4207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利司扑兰口服溶液用散</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1FCE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口服液体剂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F4E96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限治疗16日龄及以上患者的脊髓性肌萎缩症（SMA）。</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9B0939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5CAFE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763A1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EFFDB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B0BCA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利妥昔单抗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FE662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B15055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D30134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B14DB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07D65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1A2C7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0A625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磷酸芦可替尼片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BC6B5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B09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中危或高危的原发性骨髓纤维化（PMF）（亦称为慢性特发性骨髓纤维化）、真性红细胞增多症继发的骨髓纤维化（PPV-MF）或原发性血小板增多症继发的骨髓纤维化（PET-MF）的成年患者；2.对糖皮质激素或其他系统治疗应答不充分的12岁及以上急性移植物抗宿主病（急性GVHD）或慢性移植物抗宿主病（慢性GVHD）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C7ED9E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727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2D117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DAE0A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75DA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磷酸依米他韦胶囊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EAB59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B71C3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限与索磷布韦片联合，用于治疗成人基因1型非肝硬化慢性丙型肝炎。</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AC5A12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683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36BA3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F459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49BF39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硫培非格司亭注射液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4BEDA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06D29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限前次化疗曾发生重度中性粒细胞减少的患者。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6D4663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67889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A2635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89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03DBC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610C7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罗沙司他</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CC59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280AE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限慢性肾脏病（CKD）引起的贫血。</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FE6892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AFFBC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6D369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2B698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44EA4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洛拉替尼片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D6CD6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0BFCC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5D36AE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9DFEE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196F7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73C0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D3588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氯苯唑酸软胶囊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0EC30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BCB3C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限成人野生型或遗传型转甲状腺素蛋白淀粉样变性心肌病（ATTR-CM）。</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721BFF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250E5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80C524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7875B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3FBD3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马来酸吡咯替尼片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67CF8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61BBE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限：1.表皮生长因子受体2（HER2）阳性的复发或转移性乳腺癌患者；2.表皮生长因子受体2（HER2）阳性早期或局部晚期乳腺癌患者的新辅助治疗。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A9885D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85061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1F9BF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68F37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F8585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马来酸奈拉替尼片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57312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D86BC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限人类表皮生长因子受体2（HER2）阳性的早期乳腺癌成年患者，在接受含曲妥珠单抗辅助治疗之后的强化辅助治疗。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2A6B97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635A7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FD8EE8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9CC20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328DF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马昔腾坦片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514A7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23377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限WHO功能分级II级-III级的肺动脉高压（WHO第1组）的患者。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44B210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9C38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B604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16F91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62515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美泊利珠单抗注射液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9D70E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40EA3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限：1.成人和12岁及以上青少年重度嗜酸粒细胞性哮喘（SEA）的维持治疗；2.成人嗜酸性肉芽肿性多血管炎（EGPA）。</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9102AA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A380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BAA7D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A669E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E2FCA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尼洛替尼胶囊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08D3F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2FC17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新诊断的费城染色体阳性的慢性髓性白血病（Ph+CML）慢性期成人患者及2岁以上的儿童患者；2.既往治疗（包括伊马替尼）耐药或不耐受的费城染色体阳性的慢性髓性白血病（Ph+CML）慢性期或加速期成人患者以及慢性期2岁以上的儿童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6B09E4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2DF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3532C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B6D1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01A23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尼妥珠单抗注射液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0E452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CDCC3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限：1.与放疗联合治疗表皮生长因子受体（EGFR）表达阳性的Ⅲ/Ⅳ期鼻咽癌；2.与同步放化疗联合治疗局部晚期头颈部鳞癌。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06B9C4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FEB65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3A76A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BCADD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F9755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诺西那生钠注射液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E9CC0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0597E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限5q脊髓性肌萎缩症。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2E33A8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30BF5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82E00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99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527CD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563FE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帕米帕利胶囊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7CFCC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CE6C7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限既往经过二线及以上化疗的伴有胚系BRCA（gBRCA）突变的复发性晚期卵巢癌、输卵管癌或原发性腹膜癌患者。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BBC8B2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ACC7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A817A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279B4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FEA3E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帕妥珠单抗注射液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C0178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8A20E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限以下情况方可支付，且支付不超过12个月：1.HER2阳性的局部晚期、炎性或早期乳腺癌患者的新辅助治疗；2.具有高复发风险HER2阳性早期乳腺癌患者的辅助治疗。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B97F9E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9859E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4D83A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A1FCD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0E355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哌柏西利胶囊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16468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BD0AE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distribute"/>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11"/>
                <w:kern w:val="0"/>
                <w:sz w:val="20"/>
                <w:szCs w:val="20"/>
                <w:u w:val="none"/>
                <w:bdr w:val="none" w:color="auto" w:sz="0" w:space="0"/>
                <w:lang w:val="en-US" w:eastAsia="zh-CN" w:bidi="ar"/>
              </w:rPr>
              <w:t>限激素受体（HR）阳性、人表皮生长因子受体2（HER2）阴性的局部晚期或转移性乳腺癌。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A5883C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8F4C3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D587C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C930D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641BD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培门冬酶注射液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AE29E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053E61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59B664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FCE0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DDD01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F67B9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3D6F7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培唑帕尼片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A7420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2C05E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限晚期肾细胞癌患者的一线治疗和曾经接受过细胞因子治疗的晚期肾细胞癌的治疗。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847A69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01B64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A7823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72CD7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51C79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硼替佐米</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623BE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934B68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333041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D0C2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DF883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02499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CC22E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羟乙磺酸达尔西利片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78FB2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8364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激素受体（HR）阳性、人表皮生长因子受体2（HER2）阴性局部晚期或转移性乳腺癌患者；2.与芳香化酶抑制剂联合使用作为初始内分泌治疗；3.与氟维司群联合用于既往曾接受内分泌治疗后出现疾病进展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CC9681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6707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9"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CCB23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3EF8C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A848C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曲美替尼片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9FE94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F5B2B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限：1.BRAF V600 突变阳性不可切除或转移性黑色素瘤：联合甲磺酸达拉非尼适用于治疗BRAF V600 突变阳性的不可切除或转移性黑色素瘤患者；2.BRAF V600 突变阳性黑色素瘤的术后辅助治疗：联合甲磺酸达拉非尼适用于BRAF V600 突变阳性的Ⅲ期黑色素瘤患者完全切除后的辅助治疗；3.BRAF V600突变阳性的转移性非小细胞肺癌：联合甲磺酸达拉非尼适用于治疗BRAF V600突变阳性的转移性非小细胞肺癌患者。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EE8DDC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94116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C5642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278C7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B5BB4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曲前列尼尔注射液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B5EAD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14799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限肺动脉高压（PAH，WHO分类1）。</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9B7ACB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F491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EAC64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44E96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33C38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曲妥珠单抗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2F033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EFA63B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1BBC55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8EB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1F944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109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582D7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7E4C1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瑞戈非尼片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E37A5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94ABE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限：1.肝细胞癌二线治疗；2.转移性结直肠癌三线治疗；3.胃肠道间质瘤三线治疗。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56D443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D216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F1C3C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6F48D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9D311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瑞派替尼片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CC27B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0CE59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限既往接受过3种或以上激酶抑制剂（包括伊马替尼）的晚期胃肠间质瘤（GIST）成人患者。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8A6DA5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1FDC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74283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3112E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81EFD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瑞维鲁胺片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E082D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46CF7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限转移性激素敏感性前列腺癌（mHSPC）患者。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BC00A5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CB298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D3D71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04E57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DB819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塞瑞替尼胶囊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44BD0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F6C2B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限间变性淋巴瘤激酶（ALK）阳性的局部晚期或转移性非小细胞肺癌（NSCLC）患者的治疗。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989EE8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01E2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A8F05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4405E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498F4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赛沃替尼片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69578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2C764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限含铂化疗后疾病进展或不耐受标准含铂化疗的、MET外显子14跳变的局部晚期或转移性NSCLC成人患者。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5A3AA4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0A02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45A31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DC59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A0A28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舒尼替尼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41436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1970FB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5FAB5C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F2DA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5456C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AC4D9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21987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司库奇尤单抗注射液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0F8C7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7A22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限：1.符合系统治疗或光疗指征的中度至重度斑块状银屑病的6岁及以上患者；2.常规治疗疗效欠佳的强直性脊柱炎的成年患者；3. 既往传统的改善病情抗风湿药（cDMARDs）疗效不佳或不耐受的活动性银屑病关节炎成人患者。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963802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156A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B7FE8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2DC91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DBF27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司来帕格片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843A7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B5F7A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限WHO功能分级II级-III级的肺动脉高压（WHO第1组）的患者。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57C3F6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52EAC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150EE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7CEC4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D4C8F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司美格鲁肽注射液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1011F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CB392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成人2型糖尿病患者的血糖控制：在饮食控制和运动基础上，接受二甲双胍和/或磺脲类药物治疗血糖仍控制不佳的成人2型糖尿病患者；2.降低伴有心血管疾病的2型糖尿病成人患者的主要心血管不良事件（心血管死亡、非致死性心肌梗死或非致死性卒中）风险。</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BC1514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FEE60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E0355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43921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85A06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司维拉姆</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A62B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DE9A86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31DF41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4D6D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E78BC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119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F2768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B7FC6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索凡替尼胶囊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0759D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937F3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限无法手术切除的局部晚期或转移性、进展期非功能性、分化良好（G1、G2）的胰腺和非胰腺来源的神经内分泌瘤。</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90A209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166D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8636D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DED5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953C4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索拉非尼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EA4B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918D10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406762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FED49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871C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2FF2A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932E9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索磷布韦维帕他韦片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9CDA9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2A932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限成人慢性丙型肝炎病毒（HCV）感染。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57F5A7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A062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380C1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65FB4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BD53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索磷维伏片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46E74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AA9AB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限既往接受过含直接抗病毒药物（DAA）方案、无肝硬化或伴代偿性肝硬化（Child-Pugh A）的成人慢性丙型肝炎病毒（HCV）感染。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01A2DC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80F5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FB2C6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67DDE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3DA3E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碳酸镧</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96D63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咀嚼片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EFBBE6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8DFD78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417A0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F5613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D33E5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C5F56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特立氟胺片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8B46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F483E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限常规治疗无效的多发性硬化患者。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98E1D6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84B89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DBCD3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70356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8629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特瑞普利单抗注射液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12C6E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B0E72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接受全身系统治疗失败的不可切除或转移性黑色素瘤的治疗；2.含铂化疗失败包括新辅助或辅助化疗12个月内进展的局部晚期或转移性尿路上皮癌的治疗；3.既往接受过二线及以上系统治疗失败的复发/转移性鼻咽癌患者的治疗；4.局部复发或转移性鼻咽癌患者的一线治疗；5.不可切除局部晚期/复发或转移性食管鳞癌的一线治疗；6.表皮生长因子受体（EGFR）基因突变阴性和间变性淋巴瘤激酶（ALK）阴性、不可手术切除的局部晚期或转移性非鳞状非小细胞肺癌（NSCLC）的一线治疗；7.联合化疗围手术期治疗，继之本品单药作为辅助治疗，用于可切除ⅢA-ⅢB期非小细胞肺癌（NSCLC）的成人患者；8.联合阿昔替尼用于中高危的不可切除或转移性肾细胞癌患者的一线治疗；9.联合依托泊苷和铂类用于广泛期小细胞肺癌（ES-SCLC）的一线治疗；10.联合注射用紫杉醇（白蛋白结合型）用于经充分验证的检测评估PD-L1阳性（CPS≥1）的复发或转移性三阴性乳腺癌（TNBC）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1D24F8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1EB1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974C9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C0001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108D7E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替雷利珠单抗注射液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1078A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738E6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至少经过二线系统化疗的复发或难治性经典型霍奇金淋巴瘤的治疗；2.PD-L1高表达的含铂化疗失败包括新辅助或辅助化疗12个月内进展的局部晚期或转移性尿路上皮癌的治疗；3.不可手术切除的局部晚期或转移性鳞状非小细胞肺癌的一线治疗；4.表皮生长因子受体（EGFR）基因突变阴性和间变性淋巴瘤激酶（ALK）阴性、不可手术切除的局部晚期或转移性非鳞状非小细胞肺癌的一线治疗；5.表皮生长因子受体（EGFR）基因突变阴性和间变性淋巴瘤激酶（ALK）阴性、既往接受过含铂方案化疗后疾病进展或不可耐受的局部晚期或转移性非鳞状非小细胞肺癌（NSCLC）成人患者，以及EGFR和ALK阴性或未知的，既往接受过含铂方案化疗后疾病进展或不可耐受的局部晚期或转移性鳞状NSCLC成人患者；6.联合依托泊苷和铂类化疗用于广泛期小细胞肺癌（ES-SCLC）的一线治疗；7.用于不可切除或转移性肝细胞癌患者的一线治疗；8.至少经过一种全身治疗的肝细胞癌的治疗；9.不可切除或转移性微卫星高度不稳定型（MSI-H）或错配修复基因缺陷型（dMMR）的成人晚期实体瘤患者：既往经过氟尿嘧啶类、奥沙利铂和伊立替康治疗后出现疾病进展的晚期结直肠癌患者；既往治疗后出现疾病进展且无满意替代治疗方案的其他晚期实体瘤患者；10.既往接受过一线标准化疗后进展或不可耐受的局部晚期或转移性食管鳞状细胞癌的治疗；11.不可切除的局部晚期、复发或转移性食管鳞状细胞癌的一线治疗；12.复发或转移性鼻咽癌的一线治疗；13.联合氟尿嘧啶类和铂类药物化疗用于局部晚期不可切除的或转移性的胃或胃食管结合部腺癌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14708B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C5358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72504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7E881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64EB4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托伐普坦片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E67A8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539732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E144D4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2F8D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901EA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DB2109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1EA18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托法替布</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788D1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6647D8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35E21F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3EB9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7D3C8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129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FDB55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59C5D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维莫非尼片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A41EA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981FB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限BRAF V600 突变阳性的不可切除或转移性黑色素瘤患者。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B4784A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63917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ECDF20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695DF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59082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维奈克拉片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0BA8A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C1B5D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限成人急性髓系白血病患者。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8CD47C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D2B1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D65D3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86328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9A469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乌帕替尼缓释片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15F3E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缓释片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B1968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1.12岁及以上患者难治性、中重度特应性皮炎的二线治疗；2.活动性银屑病关节炎成人患者的二线治疗；3.中重度活动性类风湿关节炎成人患者的二线治疗；4.对一种或多种TNF抑制剂应答不佳或不耐受或禁忌的中度至重度活动性溃疡性结肠炎成人患者；5.对一种或多种TNF抑制剂应答不佳或不耐受或禁忌的中度至重度活动性克罗恩病成人患者；6.对非甾体抗炎药（NSAID）应答不佳且存在客观炎症征象（表现为C反应蛋白[CRP]升高和/或磁共振成像[MRI]异常）的活动性放射学阴性中轴型脊柱关节炎（nr-axSpA）成人患者；7.对一种或多种TNF抑制剂应答不佳或不耐受的活动性强直性脊柱炎（AS，放射学阳性中轴型脊柱关节炎）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7A83FC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E02D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3AC82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4D869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71A37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乌司奴单抗注射液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CE7EA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93B84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对环孢素、甲氨喋呤（MTX）等其他系统性治疗或PUVA（补骨脂素和紫外线A）不应答、有禁忌或无法耐受的成年中重度斑块状银屑病患者；2.对其他系统性治疗或光疗应答不足或无法耐受的6岁及以上儿童和青少年（体重60公斤至100公斤）中重度斑块状银屑病患者；3.对传统治疗或肿瘤坏死因子α（TNFα）拮抗剂应答不足、失应答或无法耐受的成年中重度活动性克罗恩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E1258C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7700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39C77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CC0C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52505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乌司奴单抗注射液（静脉输注）</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42C4E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5C11C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限对传统治疗或肿瘤坏死因子α（TNF-α）拮抗剂应答不足、失应答或无法耐受的成年中重度活动性克罗恩病患者。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EF59A9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AE42B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61A2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A39B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F22A3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西达本胺片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1CF05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6FC83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一次全身化疗的复发或难治的外周T细胞淋巴瘤（PTCL）患者；2.联合R-CHOP（利妥昔单抗、环磷酰胺、阿霉素、长春新碱和强的松）用于MYC和BCL2表达阳性的既往未经治疗的弥漫大B细胞淋巴瘤（DLBCL）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F78A83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15FCE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50661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6FB0A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E0AAF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西尼莫德片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22953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2982F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限成人复发型多发性硬化的患者。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14AE09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68D9E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B687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512B0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B59E6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西妥昔单抗注射液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A97BE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0EC93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限：1.RAS基因野生型的转移性结直肠癌；2.头颈部鳞状细胞癌。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9A0AAB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294A9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32907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A84F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72F082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信迪利单抗注射液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C722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3C39A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至少经过二线系统化疗的复发或难治性经典型霍奇金淋巴瘤的治疗；2.非鳞状非小细胞肺癌：（1）表皮生长因子受体（EGFR）基因突变阴性和间变性淋巴瘤激酶（ALK）阴性、不可手术切除的局部晚期或转移性非鳞状非小细胞肺癌（NSCLC）的一线治疗；（2）表皮生长因子受体酪氨酸激酶抑制剂（EGFR-TKI）治疗失败的EGFR 基因突变阳性的局部晚期或转移性非鳞状非小细胞肺癌（NSCLC）患者的治疗；3.不可手术切除的局部晚期或转移性鳞状非小细胞肺癌（NSCLC）的一线治疗；4.既往未接受过系统治疗的不可切除或转移性肝细胞癌的一线治疗；5.不可切除的局部晚期、复发或转移性食管鳞癌的一线治疗；6.不可切除的局部晚期、复发或转移性胃及胃食管交界处腺癌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C49A55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7125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A97F4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41F30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E9334D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盐酸阿来替尼胶囊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F8FEA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E1322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限：1.间变性淋巴瘤激酶（ALK）阳性的ⅠB期至ⅢA期非小细胞肺癌患者术后辅助治疗；2.间变性淋巴瘤激酶（ALK）阳性的局部晚期或转移性非小细胞肺癌患者。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A53AFC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9576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189BB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139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6845C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34160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盐酸埃克替尼片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42C5E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B6614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表皮生长因子受体（EGFR）基因具有敏感突变的局部晚期或转移性非小细胞肺癌（NSCLC）患者的一线治疗；2.既往接受过至少一个化疗方案失败后的局部晚期或转移性非小细胞肺癌（NSCLC）；3.II-IIIA期伴有表皮生长因子受体（EGFR）基因敏感突变非小细胞肺癌（NSCLC）术后辅助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0438C1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5BFB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B45B2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6210A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6648E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盐酸安罗替尼胶囊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B105F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4BF11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2种系统化疗后出现进展或复发的局部晚期或转移性非小细胞肺癌患者的治疗。对于存在表皮生长因子受体（EGFR）基因突变或间变性淋巴瘤激酶（ALK）阳性的患者，在开始本品治疗前应接受相应的标准靶向药物治疗后进展、且至少接受过2种系统化疗后出现进展或复发；2.腺泡状软组织肉瘤、透明细胞肉瘤以及既往至少接受过含蒽环类化疗方案治疗后进展或复发的其他晚期软组织肉瘤患者的治疗；3.既往至少接受过2种化疗方案治疗后进展或复发的小细胞肺癌患者的治疗；4.具有临床症状或明确疾病进展的、不可切除的局部晚期或转移性甲状腺髓样癌患者的治疗；5.进展性、局部晚期或转移性放射性碘难治性分化型甲状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48009A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AD0F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DB8D7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E0395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ED8D5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盐酸恩沙替尼胶囊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E05A4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42BB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限间变性淋巴瘤激酶（ALK）阳性的局部晚期或转移性的非小细胞肺癌（NSCLC）患者。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AFC977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8CD9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352C7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AA5E5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D091F1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盐酸芬戈莫德胶囊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1ED1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D5781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限10岁及以上患者复发型多发性硬化（RMS）的患者。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9A880C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77D56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F9397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719E1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DB499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盐酸可洛派韦胶囊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F1F06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5A1A1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限基因 1、2、3、6 型成人慢性丙型肝炎。</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FACCFC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BB5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6BB32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B1D32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D010F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伊布替尼胶囊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06D36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0B0D6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限：1.既往至少接受过一种治疗的套细胞淋巴瘤（MCL）患者的治疗；2.慢性淋巴细胞白血病/小淋巴细胞淋巴瘤（CLL/SLL）患者的治疗；3.华氏巨球蛋白血症患者的治疗，按说明书用药。</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D04872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D259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A2356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56F63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B4D4E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伊马替尼</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EF38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口服常释剂型</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811305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70BBFA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52653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540F0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0E11F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86BD2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伊奈利珠单抗注射液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7DFFE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16143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限抗水通道蛋白4（AQP4）抗体阳性的视神经脊髓炎谱系疾病（NMOSD）成人患者。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C85BA5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5B25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0944B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44116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F9F44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依洛尤单抗注射液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2CF15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42AD5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降低心血管事件的风险：在已有动脉粥样硬化性心血管疾病的成人患者中，降低心肌梗死、卒中以及冠脉血运重建的风险。通过：与最大耐受剂量的他汀类药物联合用药，伴随或不伴随其他降脂疗法，或者在他汀类药物不耐受或禁忌使用的患者中，单独用药或与其他</w:t>
            </w: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降脂疗法联合用药；2.原发性高胆固醇血症（包括杂合子型家族性高胆固醇血症）和混合型血脂异常：可作为饮食的辅助疗法，用于成人原发性高胆固醇血症（杂合子家族性和非家族性）或混合型血脂异常患者的治疗，以降低低密度脂蛋白胆固醇（LDL-C）水平：在接受最大耐受剂量的他汀类药物治疗仍无法达到LDL-C目标的患者中，与他汀类药物、或者与他汀类药物及其他降脂疗法联合用药，或者在他汀类药物不耐受或禁忌使用的患</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者中，单独用药或与其他降脂疗法联合用药；3.纯合子型家族性高胆固醇血症：用于成人或12岁以上青少年的纯合子型家族性高胆固醇血症。可与饮食疗法和其他降低密度脂蛋白胆固醇（LDL-C）治疗（例如他汀类药物、依折麦布、LDL分离术）合用，用于患有纯合子型家族性高胆固醇血症（HoFH）且需要进一步降低LDL-C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70CDB4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447A1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F935F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D1F4F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8FF8C3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依那西普注射液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CF1F7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F84CB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限诊断明确的类风湿关节炎经传统DMARDs治疗3-6个月疾病活动度下降低于50%者；诊断明确的强直性脊柱炎（不含放射学前期中轴性脊柱关节炎）NSAIDs充分治疗3个月疾病活动度下降低于50%者。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B39711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8A88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7E6BE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149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5E1BC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89937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依奇珠单抗注射液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89487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72E752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限：1.适合系统治疗或光疗的中度至重度斑块型银屑病成人患者；2.常规治疗疗效欠佳的活动性强直性脊柱炎成人患者。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052942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D864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50C96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2345B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D68DE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依维莫司片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91749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13A98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接受舒尼替尼或索拉非尼治疗失败的晚期肾细胞癌成人患者；2.不可切除的、局部晚期或转移性的、分化良好的（中度分化或高度分化）进展期胰腺神经内分泌瘤成人患者；3.无法手术切除的、局部晚期或转移性的、分化良好的、进展期非功能性胃肠道或肺源神经内分泌肿瘤（NET）成人患者；4.需要治疗干预但不适于手术切除的结节性硬化症（TSC）相关的室管膜下巨细胞星形细胞瘤（SEGA）成人和儿童患者；5.不需立即手术治疗的结节性硬化症相关的肾血管平滑肌脂肪瘤（TSC-AML）成人患者；6.来曲唑或阿那曲唑治疗失败后的激素受体阳性、表皮生长因子受体-2阴性、绝经后晚期女性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E7318D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C317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A34C6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86D65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0F5C1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乙磺酸尼达尼布软胶囊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44807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80175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限：1.特发性肺纤维化（IPF）；2.系统性硬化病相关间质性肺疾病（SSc-ILD）；3.具有进行性表型的慢性纤维化性间质性肺疾病。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B851A5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0DB35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9E109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9627E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242B4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异麦芽糖酐铁注射液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63D57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A81BA4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限口服铁剂无效或无法口服补铁；或临床上需要快速补充铁。</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6674A8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31A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56E61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713CDA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E4599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优替德隆注射液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17E81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4CAF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限既往接受过至少一种化疗方案的复发或转移性乳腺癌患者。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539426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E782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C9B21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3939C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3EF98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泽布替尼胶囊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73DD3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984EC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一种治疗的成人套细胞淋巴瘤（MCL）患者；2.成人慢性淋巴细胞白血病（CLL）/小淋巴细胞淋巴瘤（SLL）患者；3.成人华氏巨球蛋白血症（WM）患者；4.联合奥妥珠单抗用于既往接受过至少二线系统性治疗的复发或难治性滤泡性淋巴瘤（F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B772A8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C6CE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2364E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C531D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810EC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重组人血管内皮抑制素注射液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BB37F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4896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限晚期非小细胞肺癌患者。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D1B5EB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6822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9125F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8A7B1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3EC64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注射用艾博韦泰</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4ECF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53DA5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9B5FB8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F4324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13592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31DE4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C8A62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注射用奥马珠单抗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96BD8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F3FBD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经吸入型糖皮质激素和长效吸入型β2-肾上腺素受体激动剂治疗后，仍不能有效控制症状的中至重度持续性过敏性哮喘的6岁及以上患者，并需IgE（免疫球蛋白E）介导确诊证据；2.H1抗组胺药治疗后仍有症状的成人和青少年（12岁及以上）慢性自发性荨麻疹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72B964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DC36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DC6F9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ABEAA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2A48AD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注射用贝利尤单抗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41F00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7204E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在常规治疗基础上仍具有高疾病活动（例如：抗ds-DNA抗体阳性及低补体、SELENA-SLEDAI评分≥8）的活动性、自身抗体阳性的系统性红斑狼疮（SLE）5岁及以上患者；2.与常规治疗联合用于活动性狼疮肾炎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B76EBD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BF48D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51A5C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159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3F5B9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8AA81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注射用醋酸奥曲肽微球</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04FAB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E6A721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限胃肠胰内分泌肿瘤、肢端肥大症。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857E66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24E72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E8A73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04785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1D3AB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注射用醋酸地加瑞克</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DB6F9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294531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限需要雄激素去势治疗的前列腺癌患者。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7F2B17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1127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EB781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41B8B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FA705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注射用恩美曲妥珠单抗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F0C73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DABCB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限：1.接受了紫杉烷类联合曲妥珠单抗为基础的新辅助治疗后仍残存侵袭性病灶的HER2阳性早期乳腺癌患者的辅助治疗；2.限接受了紫杉烷类和曲妥珠单抗治疗的HER2阳性、不可切除局部晚期或转移性乳腺癌患者。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FA3BDE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0E148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2B7EE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BE67A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F0F41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注射用甲磺酸萘莫司他</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CC1C8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EEC240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536644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0F82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18084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9045F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6B3ED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注射用卡非佐米</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EB1BB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DB4B34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限与地塞米松联合适用于治疗复发或难治性多发性骨髓瘤成人患者，患者既往至少接受过2种治疗，包括蛋白酶体抑制剂和免疫调节剂。</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98EAC3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7A7AD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BABC3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FE724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49C5F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注射用卡瑞利珠单抗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521FD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D255F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至少经过二线系统化疗的复发或难治性经典型霍奇金淋巴瘤患者的治疗；2.既往接受过索拉非尼治疗和/或仑伐替尼治疗和/或含奥沙利铂系统化疗的晚期肝细胞癌患者的治疗；3.表皮生长因子受体（EGFR）基因突变阴性和间变性淋巴瘤激酶（ALK）阴性的、不可手术切除的局部晚期或转移性非鳞状非小细胞肺癌（NSCLC）的一线治疗；4.既往接受过一线化疗后疾病进展或不可耐受的局部晚期或转移性食管鳞癌患者的治疗；5.既往接受过二线及以上化疗后疾病进展或不可耐受的晚期鼻咽癌患者的治疗；6.局部复发或转移性鼻咽癌患者的一线治疗；7.不可切除局部晚期/复发或转移性食管鳞癌患者的一线治疗；8.局部晚期或转移性鳞状非小细胞肺癌患者的一线治疗；9.不可切除或转移性肝细胞癌患者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25438E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04B41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EB636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E2418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38A42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注射用两性霉素B胆固醇硫酸酯复合物</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5FEFD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9DDCAA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限患有深部真菌感染的患者；因肾损伤或药物毒性而不能使用有效剂量的两性霉素B的患者，或已经接受过两性霉素B治疗无效的患者均可使用。</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D0D6E2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C3983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56B1B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F0D4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E2B18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注射用硫酸艾沙康唑</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943CD7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E874A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限侵袭性曲霉病或侵袭性毛霉病的成人患者。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8E178C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FC91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F5814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71037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4447E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注射用泰它西普</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50279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42893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限与常规治疗联合，适用于在常规治疗基础上仍具有高疾病活动（例如：抗ds-DNA抗体阳性及低补体、SELENA-SLEDAI评分≥8）的活动性、自身抗体阳性的系统性红斑狼疮（SLE）成年患者。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F385F5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4DE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3740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692A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AE726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注射用维布妥昔单抗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35045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36F78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限以下CD30阳性淋巴瘤成人患者：1.复发或难治性系统性间变性大细胞淋巴瘤（R/R sALCL）；2.复发或难治性经典型霍奇金淋巴瘤（R/R cHL）；3.既往接受过系统性治疗的原发性皮肤间变性大细胞淋巴瘤（pcALCL）或蕈样真菌病（MF）。</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6F29FD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C2520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C09AC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169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76C18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05E3C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注射用维得利珠单抗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35B5F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DBA75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对传统治疗或肿瘤坏死因子α（TNFα）抑制剂应答不充分、失应答或不耐受的中度至重度活动性溃疡性结肠炎的成年患者；2.对传统治疗或TNFα抑制剂应答不充分、失应答或不耐受的中度至重度活动性克罗恩病的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4333E7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630E8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20505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F697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5F021A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注射用维迪西妥单抗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8E6D3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5592C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限：1.至少接受过2个系统化疗的HER2过表达局部晚期或转移性胃癌（包括胃食管结合部腺癌）；2.既往接受过含铂化疗且HER2过表达局部晚期或转移性尿路上皮癌。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FF2075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5C64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C0247D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3CAB4E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AA803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注射用英夫利西单抗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1E579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DC2271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76F574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CE5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F6272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0C4C9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BB465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11"/>
                <w:kern w:val="0"/>
                <w:sz w:val="20"/>
                <w:szCs w:val="20"/>
                <w:u w:val="none"/>
                <w:bdr w:val="none" w:color="auto" w:sz="0" w:space="0"/>
                <w:lang w:val="en-US" w:eastAsia="zh-CN" w:bidi="ar"/>
              </w:rPr>
              <w:t>棕榈帕利哌酮酯注射液（3M）</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BDFDE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20F4A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限接受过棕榈酸帕利哌酮注射液（1个月剂型）至少4个月充分治疗的精神分裂症患者。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31C6A4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991C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1CE56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9B0B7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8FD9E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阿伐替尼片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566B0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DCBD0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限携带血小板衍生生长因子受体α（PDGFRA）外显子18突变（包括PDGFRA D842V突变）的不可切除或转移性胃肠道间质瘤（GIST）成人患者。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F3F2348">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09F4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4513C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5C47B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44292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阿可替尼胶囊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94AB7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8389E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限：1.既往至少接受过一种治疗的成人慢性淋巴细胞白血病（CLL）/小淋巴细胞淋巴瘤（SLL）患者；2.既往至少接受过一种治疗的成人套细胞淋巴瘤（MCL）患者。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A4395D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EFAF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E916F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BADE6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E2305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艾贝格司亭α注射液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D70A4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738F2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限前次化疗曾发生重度中性粒细胞减少的患者。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864AB16">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5A84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C18FC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4B860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75ABC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艾加莫德α注射液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DDC68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9B305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限乙酰胆碱受体（AChR）抗体阳性的成人全身型重症肌无力（gMG）患者。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1B295D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22284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28459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E5BE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B3481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艾诺米替片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156F7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A7B53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DF9236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75DBD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0CB70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895B9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0F200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氨己烯酸口服溶液用散</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B5842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散剂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677B3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限婴儿痉挛症。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939A04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6BB8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3B185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179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ABC1A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2C2EB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奥磷布韦片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37B0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14D1E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限基因 1、2、3、6 型成人慢性丙型肝炎。</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D5E8B9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2430C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676CB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AE3E0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8B463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奥马珠单抗注射液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E07F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76F725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经吸入型糖皮质激素和长效吸入型β2-肾上腺素受体激动剂治疗后，仍不能有效控制症状的中至重度持续性过敏性哮喘的6岁及以上患者，并需IgE（免疫球蛋白E）介导确诊证据；2.H1抗组胺药治疗后仍有症状的成人和青少年（12岁及以上）慢性自发性荨麻疹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9DC422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6FD83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47A97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01902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5728DE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丁苯那嗪片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6FB05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B4CDF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限亨廷顿病相关的舞蹈症。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E03013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4FBC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F5869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71CF4C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92DAD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恩那度司他片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32436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薄膜衣片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864C3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限非透析的成人慢性肾脏病（CKD）患者。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C2E6A3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2FD3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6262A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8A55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BA01F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恩曲替尼胶囊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FDB25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887BF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1.12岁及以上，经充分验证的检测方法诊断为携带神经营养酪氨酸受体激酶（NTRK）融合基因且不包括已知获得性耐药突变的实体瘤：患有局部晚期、转移性疾病或手术切除可能导致严重并发症的患者，或无满意替代治疗或既往治疗失败的患者；2. ROS1阳性的局部晚期或转移性非小细胞肺癌（NSCLC）成人患者。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D64CC8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36A4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C4D7F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6AA950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2186C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伏罗尼布片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F8F1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AE835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限与依维莫司联合，用于既往接受过酪氨酸激酶抑制剂治疗失败的晚期肾细胞癌（RCC）患者。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022FEA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C6AED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8F8FE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4EBFB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EDED9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氟轻松玻璃体内植入剂</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CBA86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眼血管病用药</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F6C18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限累及眼后段的慢性非感染性葡萄膜炎。</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9D06329">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5ADEF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9562A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105AA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D91E9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谷美替尼片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5BC94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361A3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限具有间质-上皮转化因子（MET）外显子14跳变的局部晚期或转移性非小细胞肺癌。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84B580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325B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6370EE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410BA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80B9A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琥珀酸瑞波西利片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5C242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CDBEF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限激素受体（HR）阳性、人表皮生长因子受体2（HER2）阴性局部晚期或转移性乳腺癌，与芳香化酶抑制剂联合用药作为女性患者的初始内分泌治疗。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D1E5DA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6576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875AE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B7BE0F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2946F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甲磺酸贝福替尼胶囊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0CDD0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EFE6F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表皮生长因子受体（EGFR）外显子19缺失或外显子21（L858R）置换突变的局部晚期或转移性非小细胞肺癌（NSCLC）成人患者的一线治疗；2.既往经表皮生长因子受体（EGFR）酪氨酸激酶抑制剂（TKI）治疗时或治疗后出现疾病进展，并且经检测确认存在EGFR T790M突变阳性的局部晚期或转移性非小细胞肺癌（NSCLC）成人患者。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125F72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C394F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CD9D8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189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0AD53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5A00B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酒石酸艾格司他胶囊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8E3A7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硬胶囊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20C77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限经CYP2D6基因型检测为弱代谢型（PMs）、中间代谢型（IMs）或快代谢型（EMs）的Ⅰ型戈谢病（GD1）成年患者。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6498030">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9F40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BEC29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86770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A666C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林普利塞片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A228CD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373BD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限既往接受过至少两种系统性治疗的复发或难治性滤泡性淋巴瘤成人患者。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135DF97">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99018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E2508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091D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77ADA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磷酸索立德吉胶囊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119EF0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B39CF7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限不宜手术或放疗，以及手术或放疗后复发的局部晚期基底细胞癌（BCC）成年患者。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60B43C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A223B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47D99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69C11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C61C8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硫酸艾沙康唑胶囊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E1A27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53DB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限侵袭性曲霉病或侵袭性毛霉病的成人患者。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55D386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0C24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94FC0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AD29B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3FC50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硫酸氢司美替尼胶囊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C11BF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685F2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限3岁及3岁以上伴有症状、无法手术的丛状神经纤维瘤（PN）的I型神经纤维瘤病（NF1）儿童患者。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3D999F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2B30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77873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EC91A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7558BE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尼替西农胶囊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01F3E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57144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限成人和儿童酪氨酸血症Ⅰ型（HT-1）。</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EBECCA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0528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64911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64AD4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19289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佩索利单抗注射液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FAF8A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48DEF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限成人泛发性脓疱型银屑病（GPP）。</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7835DF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2599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A1485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1051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10EE1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曲氟尿苷替匹嘧啶片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C5F8D8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E6241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限：既往接受过氟嘧啶类、奥沙利铂和伊立替康为基础的化疗，以及既往接受过或不适合接受抗血管内皮生长因子（VEGF）治疗、抗表皮生长因子受体（EGFR）治疗（RAS野生型）的转移性结直肠癌（mCRC）患者 。</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CF95C4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6692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0AD8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F1B3D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12D6F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萨特利珠单抗注射液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637E8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B03FC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限≥12岁青少年及成人患者水通道蛋白4（AQP4）抗体阳性的视神经脊髓炎谱系疾病（NMOSD）。</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A60C4C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9D103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0E5E1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79F36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75AA8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塞利尼索片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5288C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FA4BD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接受过治疗且对至少一种蛋白酶体抑制剂，一种免疫调节剂以及一种抗CD38单抗难治的复发或难治性多发性骨髓瘤成人患者；2.既往接受过至少两线系统性治疗的复发或难治性弥漫性大B细胞淋巴瘤（DLBC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217C6B5">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148CF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F322CC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199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8724A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62D1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替瑞奇珠单抗注射液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DACD4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B82DB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限适合系统治疗或光疗的中度至重度斑块状银屑病成人患者。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0F6700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0B6CF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3DC1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88BD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A546C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西罗莫司凝胶</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68129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凝胶剂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74A25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限成人和6岁及以上儿童患者的结节性硬化症相关面部血管纤维瘤。</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BBC372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A2F2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B124E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0C4F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A823E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盐酸奥扎莫德胶囊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B8462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CF8C1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限成人复发型多发性硬化。</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5DA3AF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28010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DB13F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1103F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CDDD7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盐酸米托蒽醌脂质体注射液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9FB5C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C0FB7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限既往至少经过一线标准治疗的复发或难治的外周T细胞淋巴瘤（PTCL）成人患者。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7103E0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BE3A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6262A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E0480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C0E91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盐酸替洛利生片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F8AB9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薄膜衣片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13F51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限发作性睡病成人患者。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562F6E1">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31C83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93150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38F67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924F9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伊鲁阿克片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A4C62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FA8A6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限间变性淋巴瘤激酶（ALK）阳性的局部晚期或转移性非小细胞肺癌（NSCLC）患者。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C1A64E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8CBC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D7174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2C785E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207F5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依库珠单抗注射液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87CC73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5AE482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限：1.阵发性睡眠性血红蛋白尿症（PNH）的患者；2.非典型溶血性尿毒症综合征（aHUS）的患者；3.抗乙酰胆碱受体（AChR）抗体阳性的难治性全身型重症肌无力（gMG）成人患者。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059454A">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156388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2DEF5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A231A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05AAB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泽贝妥单抗注射液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328B2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FBFFAC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限CD20阳性弥漫大B细胞淋巴瘤，非特指性（DLBCL，NOS）成人患者。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5EAFFB3">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3CD9A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AB462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9DF73D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2DA671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蔗糖羟基氧化铁咀嚼片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BF7D6C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咀嚼片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8C53A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限：1.接受血液透析（HD）或腹膜透析（PD）的成人慢性肾脏病（CKD）患者；2.12岁及以上CKD4-5期（定义为肾小球滤过率&lt;30 mL/min/1.73 m²）或接受透析的CKD儿科患者。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E5CCD2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0F4D7D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EF142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F6E13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40853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注射用奥马珠单抗α</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F087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64582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限经吸入型糖皮质激素和长效吸入型β2-肾上腺素受体激动剂治疗后，仍不能有效控制症状的中至重度持续性过敏性哮喘的15岁及以上患者，并需IgE（免疫球蛋白E）介导确诊证据。</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63DF20B">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7FCFFB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83529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209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1578B9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4A375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注射用司妥昔单抗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C7EF5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0B0292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限人体免疫缺陷病毒（HIV）阴性和人疱疹病毒8型（HHV-8）阴性的多中心Castleman病（MCD）成人患者。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686802D">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644C9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98021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33D22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中成药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8130AF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复方黄黛片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7FBFE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31B5B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限初治的急性早幼粒细胞白血病。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6820F22">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58FDCE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0D0CF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ABF38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中成药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40546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康莱特注射液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6F7CA0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5E3514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限二级及以上医疗机构。</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6B5C62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4F2FA6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08F03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90C3E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中成药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74F623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淫羊藿素软胶囊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9CB7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3B427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限不适合或患者拒绝接受标准治疗,且既往未接受过全身系统性治疗的、不可切除的肝细胞癌，患者外周血复合标志物满足以下检测指标的至少两项：AFP≥400 ng/mL；TNF-α&lt;2.5 pg/mL；IFN-γ≥7.0 pg/mL。</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5D0F95E">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center"/>
              <w:rPr>
                <w:rFonts w:hint="eastAsia" w:ascii="方正书宋_GBK" w:hAnsi="方正书宋_GBK" w:eastAsia="方正书宋_GBK" w:cs="方正书宋_GBK"/>
                <w:i w:val="0"/>
                <w:iCs w:val="0"/>
                <w:color w:val="000000"/>
                <w:sz w:val="20"/>
                <w:szCs w:val="20"/>
                <w:u w:val="none"/>
              </w:rPr>
            </w:pPr>
          </w:p>
        </w:tc>
      </w:tr>
      <w:tr w14:paraId="273D76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FBA71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87226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8450C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贝前列素钠缓释片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32FCFD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缓释片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55597B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限WHO功能分级Ⅰ级-Ⅲ级的肺动脉高压（PAH，WHO第1组）的患者，以改善患者的运动能力。</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87E93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7C790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472105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257C0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C400F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本维莫德乳膏</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2466B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乳膏剂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ED169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限成人轻至中度稳定性寻常型银屑病的局部治疗。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CB2103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CEF8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1C42C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6B3BDD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C3AB7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苯磺酸克利加巴林胶囊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6E623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45D1E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限：1.治疗成人糖尿病性周围神经病理性疼痛；2.带状疱疹后神经痛。</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055BF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8C76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F9B1E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EA3F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59B1D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伯瑞替尼肠溶胶囊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7FE1E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E7A9E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限：1.具有间质-上皮转化因子（MET）外显子14跳变的局部晚期或转移性非小细胞肺癌患者；2.既往治疗失败的具有PTPRZ1-MET融合基因的IDH突变型星形细胞瘤（WHO4级）或有低级别病史的胶质母细胞瘤成人患者。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8BEAC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12C77E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8BEAA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C3317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BB8CF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布地奈德肠溶胶囊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3EB5EB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CF739A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限具有进展风险的原发性免疫球蛋白A肾病（IgAN）成人患者。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0FBD23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78AB8E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FDFED4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4D02C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9D234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布立西坦片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CB963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457A64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限16岁及以上癫痫患者部分性发作的单药治疗和添加治疗。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EE6AB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C8D5B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F506B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219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F581C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09A34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达雷妥尤单抗注射液（皮下注射）</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03B32D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02BE48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与来那度胺和地塞米松联合用药或与硼替佐米、美法仑和泼尼松联合用药治疗不适合自体干细胞移植的新诊断的多发性骨髓瘤成年患者；2.与来那度胺和地塞米松联合用药或与硼替佐米和地塞米松联合用药治疗既往至少接受过一线治疗的多发性骨髓瘤成年患者；3.与泊马度胺和地塞米松联合用药治疗既往接受过至少一线治疗（包括来那度胺和蛋白酶体抑制剂）的多发性骨髓瘤患者；4.单药治疗复发和难治性多发性骨髓瘤成年患者，患者既往接受过包括蛋白酶体抑制剂和免疫调节剂的治疗且最后一次治疗时出现疾病进展；5.新诊断的原发性轻链型淀粉样变患者。本方案不适合也不推荐用于患有NYHA ⅢB级或Ⅳ级心脏疾病或Mayo ⅢB期的原发性轻链型淀粉样变患者。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C0512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5FD1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14AAEE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883AE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3F17A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氘可来昔替尼片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6EF75E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9BE47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限适合系统治疗或光疗的成年中重度斑块状银屑病患者。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1817AF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213DB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79D71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29B17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7011F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地拉罗司颗粒</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1C1A8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颗粒剂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BCC60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限：1.年龄大于2岁的β-地中海贫血患者；2.10岁及10岁以上非输血依赖性地中海贫血综合征患者。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73457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10B2C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9C29D5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DDD4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5157F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对氨基水杨酸肠溶颗粒</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716F2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颗粒剂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2EB80A4">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877FC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95F0A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00BD15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C94EA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12FD40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多拉米替片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F1C17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BDA12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限艾滋病病毒感染。</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1A952B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9D68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EEF8C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0844B7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9CF74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恩朗苏拜单抗注射液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BABA8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4FC68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限既往接受含铂化疗治疗失败的PD-L1表达阳性（CPS≥1）的复发或转移性宫颈癌患者。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5B931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2A1C8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2B00CA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2CD74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5E30E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法瑞西单抗注射液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F35B6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DBD99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限：1.糖尿病性黄斑水肿（DME）；2.新生血管性（湿性）年龄相关性黄斑变性（nAMD）；3.继发于视网膜分支静脉阻塞（BRVO）的黄斑水肿。</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br w:type="textWrapping"/>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应同时符合以下条件：1.需三级综合医院眼科或二级及以上眼科专科医院医师处方；2.首次处方时病眼基线矫正视力</w:t>
            </w: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0.05-0.5；3.事前审查后方可用，初次申请需有血管造影或OCT（全身情况不允许的患者可以提供OCT血管成像）证据；4.每眼累计最多支付9支，第1年度最多支付5支。阿柏西普、雷珠</w:t>
            </w: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单抗、康柏西普、法瑞西单抗的药品支数合并计算。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B21F1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E16F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E0E38F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D2990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F750CB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富马酸安奈克替尼胶囊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C24FE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4C768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限ROS1阳性的局部晚期或转移性非小细胞肺癌（NSCLC）成人患者。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15B0D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66F6B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2AD19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29478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5F086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戈利昔替尼胶囊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84053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891E7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w:t>
            </w:r>
            <w:r>
              <w:rPr>
                <w:rFonts w:hint="eastAsia" w:ascii="方正书宋_GBK" w:hAnsi="方正书宋_GBK" w:eastAsia="方正书宋_GBK" w:cs="方正书宋_GBK"/>
                <w:i w:val="0"/>
                <w:iCs w:val="0"/>
                <w:color w:val="000000"/>
                <w:spacing w:val="-6"/>
                <w:kern w:val="0"/>
                <w:sz w:val="20"/>
                <w:szCs w:val="20"/>
                <w:u w:val="none"/>
                <w:lang w:val="en-US" w:eastAsia="zh-CN" w:bidi="ar"/>
              </w:rPr>
              <w:t>既往至少接受过一线系统性治疗的复发或难治的外周T细胞淋巴瘤（r/r PTCL）成人患者。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EFDF2C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72722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732A1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34774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6EE39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枸橼酸依奉阿克胶囊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A740C5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F87E9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限未经过间变性淋巴瘤激酶（ALK）抑制剂治疗的ALK阳性的局部晚期或转移性非小细胞肺癌（NSCLC）患者。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08294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D6F70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8212E0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229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B1E2C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46EC67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甲磺酸贝舒地尔片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9B586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E78671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限对糖皮质激素或其他系统治疗应答不充分的12岁及以上慢性移植物抗宿主病患者。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6F136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24325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16AC8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1D87C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7DAB5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甲磺酸瑞厄替尼片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A27E16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77EE6E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限既往经表皮生长因子受体（EGFR）酪氨酸激酶抑制剂（TKI）治疗时或治疗后出现疾病进展，并且经检测确认存在EGFR T790M突变阳性的局部晚期或转移性非小细胞肺癌（NSCLC）成人患者的治疗。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9BE58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8D900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6C8F1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2EA3F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FF8B1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甲磺酸瑞齐替尼胶囊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968331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B993F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限既往经表皮生长因子受体（EGFR）酪氨酸激酶抑制剂（TKI）治疗时或治疗后出现疾病进展，并且经检测确认存在EGFR T790M突变阳性的局部晚期或转移性非小细胞肺癌（NSCLC）成人患者的治疗。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6D7C7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7ACD4F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F877D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27FB6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322702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卡度尼利单抗注射液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1D7A0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CDCB6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既往接受含铂化疗治疗失败的复发或转移性宫颈癌患者的治疗。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CB0DF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7DA4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64B270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EF8AC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4A922A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硫酸拉罗替尼胶囊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8ADA4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10E0E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经充分验证的检测方法诊断为携带神经营养酪氨酸受体激酶（NTRK）融合基因且不包括已知获得性耐药突变的实体瘤：患有局部晚期、转移性疾病或手术切除可能导致严重并发症的患者，或无满意替代治疗或既往治疗失败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8A5D3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524F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CA71F9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EC80C1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4DC78F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硫酸拉罗替尼口服溶液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25D21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口服溶液剂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40EFDF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经充分验证的检测方法诊断为携带神经营养酪氨酸受体激酶（NTRK）融合基因且不包括已知获得性耐药突变的实体瘤：患有局部晚期、转移性疾病或手术切除可能导致严重并发症的患者，或无满意替代治疗或既往治疗失败的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4CD209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78A9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C8A02F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59FC5C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58D1C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氯苯唑酸葡胺软胶囊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C5C941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软胶囊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D1B6D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限成人转甲状腺素蛋白淀粉样变性多发性神经病I期症状患者。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01D431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0C5F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895652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B006B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F1154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马立巴韦片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F7F6F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E2A0B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限治疗造血干细胞移植或实体器官移植后巨细胞病毒（CMV）感染和/或疾病，且对一种或多种既往治疗（更昔洛韦、缬更昔洛韦、西多福韦或膦甲酸钠）难治（伴或不伴基因型耐药）的成人患者。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B3FB1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7EA50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0D1FB9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15E55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7A2987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玛伐凯泰胶囊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D5133C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567507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6"/>
                <w:kern w:val="0"/>
                <w:sz w:val="20"/>
                <w:szCs w:val="20"/>
                <w:u w:val="none"/>
                <w:lang w:val="en-US" w:eastAsia="zh-CN" w:bidi="ar"/>
              </w:rPr>
              <w:t>限纽约心脏协会（NYHA）心功能分级Ⅱ-Ⅲ级的梗阻性肥厚型心肌病（oHCM）成人患者。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11EDA7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420D7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F66454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BD4D4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6ACC35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麦格司他胶囊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D33919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9FAE9F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限C型尼曼匹克病患者。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B372A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96ED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644A32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239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C86278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5139BC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纳鲁索拜单抗注射液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FACDA2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0CF41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限不可手术切除或手术切除可能导致严重功能障碍的骨巨细胞瘤成人患者。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FD23F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F31C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7A26D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06C80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0FC5E6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帕妥珠曲妥珠单抗注射液（皮下注射）</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EC86E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A2B774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HER2阳性、局部晚期、炎性或早期乳腺癌患者（直径＞2cm或淋巴结阳性）的新辅助治疗；2.具有高复发风险HER2阳性早期乳腺癌患者的辅助治疗；3.既往未接受过针对转移性乳腺癌的抗HER2治疗或者化疗的HER2阳性、转移性或不可切除的局部复发性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406E8A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CB5EE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8BD0E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5176F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BF922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17"/>
                <w:kern w:val="0"/>
                <w:sz w:val="20"/>
                <w:szCs w:val="20"/>
                <w:u w:val="none"/>
                <w:lang w:val="en-US" w:eastAsia="zh-CN" w:bidi="ar"/>
              </w:rPr>
              <w:t>曲妥珠单抗注射液（皮下注射）</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BFD796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265DD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限：1.HER2阳性的早期乳腺癌患者的辅助和新辅助治疗，支付不超过12个月；2.HER2阳性的转移性乳腺癌。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9E8BB5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17371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376D4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904C9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93F69C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瑞帕妥单抗注射液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5B3AA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B3766C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限国际预后指数（IPI）为0～2分的新诊断CD20阳性弥漫大B细胞性非霍奇金淋巴瘤（DLBCL）成人患者。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7B535E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2CE4E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C2BCE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16AB6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9BA43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瑞普替尼胶囊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3E1778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6DED0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限ROS1阳性的局部晚期或转移性非小细胞肺癌（NSCLC）成人患者。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A14265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79712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8F8EF6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252CE6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0558F3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赛帕利单抗注射液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64CF85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EBBCAA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限：1.既往接受含铂化疗治疗失败的复发或转移性且PD-L1表达阳性（CPS≥1）的宫颈癌患者；2.至少经过二线系统化疗的复发或难治性经典型霍奇金淋巴瘤成人患者。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8DE90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1A2FC9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8F46CD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C341E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08D1B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舒沃替尼片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7A60D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0B601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限既往经含铂化疗治疗时或治疗后出现疾病进展，或不耐受含铂化疗，并且检测确认存在表皮生长因子受体（EGFR）20号外显子插入突变的局部晚期或转移性非小细胞肺癌（NSCLC）的成人患者。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CB07F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34529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503C52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41FC9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F67E43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司替戊醇干混悬剂</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2A41D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干混悬剂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731D7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限婴儿严重肌阵挛性癫痫（SMEI，Dravet综合征）患者。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E8CB0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39A1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C4683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5C9E6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00DD1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托莱西单抗注射液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A90941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1E98C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限在接受中等剂量或中等剂量以上他汀类药物治疗，仍无法达到低密度脂蛋白胆固醇（LDL-C）目标的原发性高胆固醇血症（包括杂合子型家族性和非家族性高胆固醇血症）和混合型血脂异常的成人患者。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BF0BE7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3BA80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437D93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C0A6B8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61AC0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妥布霉素吸入溶液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C26A4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吸入溶液</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39C89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限成人伴肺部铜绿假单胞菌感染的支气管扩张症。</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677132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F0CCC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FAD101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249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9BEB9F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235F7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妥拉美替尼胶囊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9A01D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A67030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限含抗PD-1/PD-L1治疗失败的NRAS基因突变的晚期黑色素瘤患者。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9A124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15FDF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48E0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B69177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98CB1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西妥昔单抗β注射液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2738B3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A5747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限与FOLFIRI方案联合用于一线治疗RAS/BRAF基因野生型的转移性结直肠癌。</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F03EF9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DAD1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BF770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0A16FF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D48869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盐酸卡马替尼片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D39926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887668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限未经系统治疗的携带间质上皮转化因子（MET）外显子14跳跃突变的局部晚期或转移性非小细胞肺癌（NSCLC）成人患者。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DD38E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12CE9D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ED86C9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1D2EA75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CE55D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盐酸可乐定缓释片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35FCF9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缓释片</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145BA2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限6-17岁儿童和青少年的注意缺陷多动障碍（ADHD）。</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C8FAB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64D5F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E1C9C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D06DF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2DCD6F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盐酸特泊替尼片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E2C27B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B10E8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限携带间质上皮转化因子（MET）外显子14跳跃突变的局部晚期或转移性非小细胞肺癌（NSCLC）成人患者。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F296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8A7B6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52271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A27918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3857638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盐酸伊普可泮胶囊</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DB5E2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胶囊</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3ABDC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限既往未接受过补体抑制剂治疗的阵发性睡眠性血红蛋白尿症（PNH）成人患者。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017ABD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169C6A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7E7F0E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76B45B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36C150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依沃西单抗注射液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3C19F85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9CD71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限经表皮生长因子受体（EGFR）酪氨酸激酶抑制剂（TKI）治疗后进展的EGFR基因突变阳性的局部晚期或转移性非鳞状非小细胞肺癌（NSCLC）患者的治疗。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9DBF6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E612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C195F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3BA2F1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08C6056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6"/>
                <w:kern w:val="0"/>
                <w:sz w:val="20"/>
                <w:szCs w:val="20"/>
                <w:u w:val="none"/>
                <w:bdr w:val="none" w:color="auto" w:sz="0" w:space="0"/>
                <w:lang w:val="en-US" w:eastAsia="zh-CN" w:bidi="ar"/>
              </w:rPr>
              <w:t>重组人血小板生成素注射液</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2CB7D9B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0B92F0F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限实体瘤化疗后所致的血小板减少症或原发免疫性血小板减少症（ITP）。</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30703D4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1012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5326B8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1266F9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2D7E76A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注射用阿立哌唑</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DED714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30EDEEF">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4780E4C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9C483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1CF5420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BE2A04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1CEA11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注射用埃普奈明</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5F5CD2B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DB50F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限既往接受过至少2种系统性治疗方案的复发或难治性多发性骨髓瘤成人患者，既往含免疫调节剂方案难治的患者不宜接受本联合方案治疗。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2EC445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1528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368B34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259</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455F3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F4609C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注射用德曲妥珠单抗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DCEEC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9C08DE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接受过一种或一种以上抗HER2药物治疗的不可切除或转移性HER2阳性成人乳腺癌患者；2.既往在转移性疾病阶段接受过至少一种系统治疗的，或在辅助化疗期间或完成辅助化疗之后6个月内复发的，不可切除或转移性HER2低表达（IHC 1+或IHC 2+/ISH-）成人乳腺癌患者。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DD0EC4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1A44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75543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260</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642F2F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90EC17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注射用罗普司亭</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CE5FB2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4A9F2A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限对其他治疗（例如皮质类固醇、免疫球蛋白）治疗反应不佳的成人（≥18周岁）慢性原发免疫性血小板减少症（ITP）患者。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55ECEB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7BC9A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5F8113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261</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B431C0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525346DC">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注射用罗普司亭N01</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262016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59ADCEE2">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限对其他治疗（例如皮质类固醇、免疫球蛋白）治疗反应不佳的成人（≥18周岁）慢性原发免疫性血小板减少症（ITP）患者。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5F78CE6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40DC3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0098101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262</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678A69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52B594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注射用维泊妥珠单抗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B43CDDA">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6BE702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限：1.既往未经治疗的弥漫大B细胞淋巴瘤（DLBCL）成人患者；2.不适合接受造血干细胞移植的复发或难治性弥漫大B细胞淋巴瘤（DLBCL）成人患者。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27C2F56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2D792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452FA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263</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49D3EB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67106D6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注射用盐酸曲拉西利</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16BD4EB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B54B02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限既往未接受过系统性化疗的广泛期小细胞肺癌（在接受含铂类药物联合依托泊苷方案治疗前给药）患者。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F1BA1F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2B53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488C36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264</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4F9DF2F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22913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注射用伊尼妥单抗</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0C27A3A7">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4501C60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限接受过1个或多个化疗方案的HER2阳性转移性乳腺癌患者。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95A89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3FFDF9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65D7728E">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265</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5E19925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317B27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注射用紫杉醇聚合物胶束</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821F2D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3CB103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限联合铂类用于表皮生长因子受体（EGFR）基因突变阴性和间变性淋巴瘤激酶（ALK）阴性、不可手术切除的局部晚期或转移性非小细胞肺癌（NSCLC）患者的一线治疗。</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69F12D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05E1DD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B5ADFC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266</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7DA09FB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西药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4ABBB6F">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spacing w:val="-11"/>
                <w:kern w:val="0"/>
                <w:sz w:val="20"/>
                <w:szCs w:val="20"/>
                <w:u w:val="none"/>
                <w:bdr w:val="none" w:color="auto" w:sz="0" w:space="0"/>
                <w:lang w:val="en-US" w:eastAsia="zh-CN" w:bidi="ar"/>
              </w:rPr>
              <w:t>棕榈帕利哌酮酯注射液（6M）</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6EC6BF0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注射剂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18FEE399">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限接受过棕榈帕利哌酮酯注射液（3M）至少3个月充分治疗的成人精神分裂症患者。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19900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5EE756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509C44B1">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267</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04F8EA40">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中成药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7D6471D3">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参乌益肾片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49F741C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770BFB1B">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both"/>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限慢性肾衰竭患者。</w:t>
            </w: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7AF8F63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r w14:paraId="6E4757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222" w:type="pct"/>
            <w:tcBorders>
              <w:top w:val="single" w:color="000000" w:sz="4" w:space="0"/>
              <w:left w:val="single" w:color="000000" w:sz="4" w:space="0"/>
              <w:bottom w:val="single" w:color="000000" w:sz="4" w:space="0"/>
              <w:right w:val="single" w:color="000000" w:sz="4" w:space="0"/>
            </w:tcBorders>
            <w:shd w:val="clear"/>
            <w:noWrap/>
            <w:vAlign w:val="center"/>
          </w:tcPr>
          <w:p w14:paraId="20615096">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268</w:t>
            </w:r>
          </w:p>
        </w:tc>
        <w:tc>
          <w:tcPr>
            <w:tcW w:w="286" w:type="pct"/>
            <w:tcBorders>
              <w:top w:val="single" w:color="000000" w:sz="4" w:space="0"/>
              <w:left w:val="single" w:color="000000" w:sz="4" w:space="0"/>
              <w:bottom w:val="single" w:color="000000" w:sz="4" w:space="0"/>
              <w:right w:val="single" w:color="000000" w:sz="4" w:space="0"/>
            </w:tcBorders>
            <w:shd w:val="clear"/>
            <w:noWrap/>
            <w:vAlign w:val="center"/>
          </w:tcPr>
          <w:p w14:paraId="2B78FAC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中成药</w:t>
            </w:r>
          </w:p>
        </w:tc>
        <w:tc>
          <w:tcPr>
            <w:tcW w:w="855" w:type="pct"/>
            <w:tcBorders>
              <w:top w:val="single" w:color="000000" w:sz="4" w:space="0"/>
              <w:left w:val="single" w:color="000000" w:sz="4" w:space="0"/>
              <w:bottom w:val="single" w:color="000000" w:sz="4" w:space="0"/>
              <w:right w:val="single" w:color="000000" w:sz="4" w:space="0"/>
            </w:tcBorders>
            <w:shd w:val="clear"/>
            <w:vAlign w:val="center"/>
          </w:tcPr>
          <w:p w14:paraId="15A2A7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桑枝总生物碱片</w:t>
            </w:r>
          </w:p>
        </w:tc>
        <w:tc>
          <w:tcPr>
            <w:tcW w:w="667" w:type="pct"/>
            <w:tcBorders>
              <w:top w:val="single" w:color="000000" w:sz="4" w:space="0"/>
              <w:left w:val="single" w:color="000000" w:sz="4" w:space="0"/>
              <w:bottom w:val="single" w:color="000000" w:sz="4" w:space="0"/>
              <w:right w:val="single" w:color="000000" w:sz="4" w:space="0"/>
            </w:tcBorders>
            <w:shd w:val="clear"/>
            <w:noWrap/>
            <w:vAlign w:val="center"/>
          </w:tcPr>
          <w:p w14:paraId="7ACD8074">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left"/>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片剂</w:t>
            </w:r>
          </w:p>
        </w:tc>
        <w:tc>
          <w:tcPr>
            <w:tcW w:w="2729" w:type="pct"/>
            <w:tcBorders>
              <w:top w:val="single" w:color="000000" w:sz="4" w:space="0"/>
              <w:left w:val="single" w:color="000000" w:sz="4" w:space="0"/>
              <w:bottom w:val="single" w:color="000000" w:sz="4" w:space="0"/>
              <w:right w:val="single" w:color="000000" w:sz="4" w:space="0"/>
            </w:tcBorders>
            <w:shd w:val="clear"/>
            <w:vAlign w:val="center"/>
          </w:tcPr>
          <w:p w14:paraId="26EA4BDC">
            <w:pPr>
              <w:keepNext w:val="0"/>
              <w:keepLines w:val="0"/>
              <w:pageBreakBefore w:val="0"/>
              <w:widowControl/>
              <w:kinsoku/>
              <w:wordWrap/>
              <w:overflowPunct/>
              <w:topLinePunct w:val="0"/>
              <w:autoSpaceDE/>
              <w:autoSpaceDN/>
              <w:bidi w:val="0"/>
              <w:adjustRightInd w:val="0"/>
              <w:snapToGrid w:val="0"/>
              <w:spacing w:line="240" w:lineRule="exact"/>
              <w:ind w:left="-31" w:leftChars="-15" w:right="-31" w:rightChars="-15"/>
              <w:jc w:val="both"/>
              <w:rPr>
                <w:rFonts w:hint="eastAsia" w:ascii="方正书宋_GBK" w:hAnsi="方正书宋_GBK" w:eastAsia="方正书宋_GBK" w:cs="方正书宋_GBK"/>
                <w:i w:val="0"/>
                <w:iCs w:val="0"/>
                <w:color w:val="000000"/>
                <w:sz w:val="20"/>
                <w:szCs w:val="20"/>
                <w:u w:val="none"/>
              </w:rPr>
            </w:pPr>
          </w:p>
        </w:tc>
        <w:tc>
          <w:tcPr>
            <w:tcW w:w="237" w:type="pct"/>
            <w:tcBorders>
              <w:top w:val="single" w:color="000000" w:sz="4" w:space="0"/>
              <w:left w:val="single" w:color="000000" w:sz="4" w:space="0"/>
              <w:bottom w:val="single" w:color="000000" w:sz="4" w:space="0"/>
              <w:right w:val="single" w:color="000000" w:sz="4" w:space="0"/>
            </w:tcBorders>
            <w:shd w:val="clear"/>
            <w:noWrap/>
            <w:vAlign w:val="center"/>
          </w:tcPr>
          <w:p w14:paraId="0E5738D8">
            <w:pPr>
              <w:keepNext w:val="0"/>
              <w:keepLines w:val="0"/>
              <w:pageBreakBefore w:val="0"/>
              <w:widowControl/>
              <w:suppressLineNumbers w:val="0"/>
              <w:kinsoku/>
              <w:wordWrap/>
              <w:overflowPunct/>
              <w:topLinePunct w:val="0"/>
              <w:autoSpaceDE/>
              <w:autoSpaceDN/>
              <w:bidi w:val="0"/>
              <w:adjustRightInd w:val="0"/>
              <w:snapToGrid w:val="0"/>
              <w:spacing w:line="240" w:lineRule="exact"/>
              <w:ind w:left="-31" w:leftChars="-15" w:right="-31" w:rightChars="-15"/>
              <w:jc w:val="center"/>
              <w:textAlignment w:val="center"/>
              <w:rPr>
                <w:rFonts w:hint="eastAsia" w:ascii="方正书宋_GBK" w:hAnsi="方正书宋_GBK" w:eastAsia="方正书宋_GBK" w:cs="方正书宋_GBK"/>
                <w:i w:val="0"/>
                <w:iCs w:val="0"/>
                <w:color w:val="000000"/>
                <w:sz w:val="20"/>
                <w:szCs w:val="20"/>
                <w:u w:val="none"/>
              </w:rPr>
            </w:pPr>
            <w:r>
              <w:rPr>
                <w:rFonts w:hint="eastAsia" w:ascii="方正书宋_GBK" w:hAnsi="方正书宋_GBK" w:eastAsia="方正书宋_GBK" w:cs="方正书宋_GBK"/>
                <w:i w:val="0"/>
                <w:iCs w:val="0"/>
                <w:color w:val="000000"/>
                <w:kern w:val="0"/>
                <w:sz w:val="20"/>
                <w:szCs w:val="20"/>
                <w:u w:val="none"/>
                <w:bdr w:val="none" w:color="auto" w:sz="0" w:space="0"/>
                <w:lang w:val="en-US" w:eastAsia="zh-CN" w:bidi="ar"/>
              </w:rPr>
              <w:t>新增</w:t>
            </w:r>
          </w:p>
        </w:tc>
      </w:tr>
    </w:tbl>
    <w:p w14:paraId="45F0DE2C">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14:paraId="66C20A3F">
      <w:pPr>
        <w:keepNext w:val="0"/>
        <w:keepLines w:val="0"/>
        <w:pageBreakBefore w:val="0"/>
        <w:widowControl w:val="0"/>
        <w:kinsoku/>
        <w:wordWrap/>
        <w:overflowPunct/>
        <w:topLinePunct w:val="0"/>
        <w:autoSpaceDE/>
        <w:autoSpaceDN/>
        <w:bidi w:val="0"/>
        <w:adjustRightInd/>
        <w:snapToGrid/>
        <w:spacing w:after="157" w:afterLines="50" w:line="570" w:lineRule="exact"/>
        <w:ind w:left="0" w:leftChars="0" w:right="0" w:rightChars="0" w:firstLine="0" w:firstLineChars="0"/>
        <w:jc w:val="center"/>
        <w:textAlignment w:val="auto"/>
        <w:rPr>
          <w:rFonts w:hint="eastAsia" w:ascii="方正小标宋简体" w:hAnsi="方正小标宋简体" w:eastAsia="方正小标宋简体" w:cs="方正小标宋简体"/>
          <w:sz w:val="44"/>
          <w:szCs w:val="44"/>
        </w:rPr>
      </w:pPr>
    </w:p>
    <w:p w14:paraId="1F13DB32">
      <w:pPr>
        <w:keepNext w:val="0"/>
        <w:keepLines w:val="0"/>
        <w:pageBreakBefore w:val="0"/>
        <w:kinsoku/>
        <w:wordWrap/>
        <w:overflowPunct/>
        <w:topLinePunct w:val="0"/>
        <w:autoSpaceDE/>
        <w:autoSpaceDN/>
        <w:bidi w:val="0"/>
        <w:adjustRightInd/>
        <w:snapToGrid/>
        <w:spacing w:line="240" w:lineRule="exact"/>
        <w:rPr>
          <w:rFonts w:hint="eastAsia" w:ascii="方正书宋简体" w:hAnsi="方正书宋简体" w:eastAsia="方正书宋简体" w:cs="方正书宋简体"/>
          <w:sz w:val="20"/>
          <w:szCs w:val="20"/>
        </w:rPr>
      </w:pPr>
    </w:p>
    <w:sectPr>
      <w:pgSz w:w="16838" w:h="11906" w:orient="landscape"/>
      <w:pgMar w:top="1417" w:right="1417" w:bottom="1417"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书宋简体">
    <w:panose1 w:val="03000509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书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77861"/>
    <w:rsid w:val="02DD1D38"/>
    <w:rsid w:val="033E58BD"/>
    <w:rsid w:val="03BC7892"/>
    <w:rsid w:val="047563BF"/>
    <w:rsid w:val="1299596E"/>
    <w:rsid w:val="13CC3B21"/>
    <w:rsid w:val="1413052D"/>
    <w:rsid w:val="157A2AC8"/>
    <w:rsid w:val="15F11BD9"/>
    <w:rsid w:val="1B0B14BF"/>
    <w:rsid w:val="1C64757C"/>
    <w:rsid w:val="1D281EAC"/>
    <w:rsid w:val="1E6037E4"/>
    <w:rsid w:val="1E9F721B"/>
    <w:rsid w:val="21386831"/>
    <w:rsid w:val="222B5EB7"/>
    <w:rsid w:val="25381017"/>
    <w:rsid w:val="2FAE5782"/>
    <w:rsid w:val="32292413"/>
    <w:rsid w:val="32BE5531"/>
    <w:rsid w:val="344319D6"/>
    <w:rsid w:val="35351058"/>
    <w:rsid w:val="3A670068"/>
    <w:rsid w:val="3C9E1C4F"/>
    <w:rsid w:val="3D363C36"/>
    <w:rsid w:val="3EFB5137"/>
    <w:rsid w:val="42E63A08"/>
    <w:rsid w:val="47B93F31"/>
    <w:rsid w:val="487335D5"/>
    <w:rsid w:val="49952FF8"/>
    <w:rsid w:val="4AE40A60"/>
    <w:rsid w:val="4FBA0341"/>
    <w:rsid w:val="58975328"/>
    <w:rsid w:val="59001A65"/>
    <w:rsid w:val="5A0C6B6B"/>
    <w:rsid w:val="5E3478C6"/>
    <w:rsid w:val="5E8B0A0A"/>
    <w:rsid w:val="61E67129"/>
    <w:rsid w:val="62CB4CB6"/>
    <w:rsid w:val="732C6966"/>
    <w:rsid w:val="78941235"/>
    <w:rsid w:val="7BAC560C"/>
    <w:rsid w:val="7BB02916"/>
    <w:rsid w:val="7C815F74"/>
    <w:rsid w:val="7CB31008"/>
    <w:rsid w:val="7F364D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方正书宋-11号字"/>
    <w:basedOn w:val="1"/>
    <w:qFormat/>
    <w:uiPriority w:val="0"/>
    <w:pPr>
      <w:adjustRightInd w:val="0"/>
      <w:snapToGrid w:val="0"/>
      <w:spacing w:line="400" w:lineRule="exact"/>
      <w:ind w:firstLine="640" w:firstLineChars="200"/>
    </w:pPr>
    <w:rPr>
      <w:rFonts w:hint="eastAsia" w:ascii="方正书宋简体" w:hAnsi="方正书宋简体" w:eastAsia="方正书宋简体" w:cs="方正书宋简体"/>
      <w:color w:val="auto"/>
      <w:sz w:val="22"/>
      <w:szCs w:val="22"/>
    </w:rPr>
  </w:style>
  <w:style w:type="character" w:customStyle="1" w:styleId="5">
    <w:name w:val="font01"/>
    <w:basedOn w:val="3"/>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19</Pages>
  <Words>7707</Words>
  <Characters>8863</Characters>
  <Lines>0</Lines>
  <Paragraphs>0</Paragraphs>
  <TotalTime>30</TotalTime>
  <ScaleCrop>false</ScaleCrop>
  <LinksUpToDate>false</LinksUpToDate>
  <CharactersWithSpaces>8894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2023-07-13T05:57:00Z</dcterms:created>
  <dc:creator>Administrator</dc:creator>
  <cp:lastModifiedBy>许运琴</cp:lastModifiedBy>
  <dcterms:modified xsi:type="dcterms:W3CDTF">2024-12-29T05:57:27Z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785F8A60F5AD4FD4B1563766BF8233F1_12</vt:lpwstr>
  </property>
  <property fmtid="{D5CDD505-2E9C-101B-9397-08002B2CF9AE}" pid="4" name="KSOTemplateDocerSaveRecord">
    <vt:lpwstr>eyJoZGlkIjoiNmNjYmU0OWU3ZjQwY2RlZGI2NTFhOWJiY2M5ZjMxMWMiLCJ1c2VySWQiOiI0NDEyOTExNzYifQ==</vt:lpwstr>
  </property>
</Properties>
</file>