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E4843" w14:textId="77777777" w:rsidR="0026525D" w:rsidRDefault="0026525D" w:rsidP="0026525D">
      <w:r w:rsidRPr="00F8058E">
        <w:rPr>
          <w:rFonts w:ascii="仿宋_GB2312" w:eastAsia="仿宋_GB2312" w:hAnsi="Tahoma" w:cs="Tahoma"/>
          <w:bCs/>
          <w:color w:val="000000"/>
          <w:kern w:val="0"/>
          <w:sz w:val="32"/>
          <w:szCs w:val="32"/>
        </w:rPr>
        <w:t>HNPR-2020-3200</w:t>
      </w:r>
      <w:r>
        <w:rPr>
          <w:rFonts w:ascii="仿宋_GB2312" w:eastAsia="仿宋_GB2312" w:hAnsi="Tahoma" w:cs="Tahoma" w:hint="eastAsia"/>
          <w:bCs/>
          <w:color w:val="000000"/>
          <w:kern w:val="0"/>
          <w:sz w:val="32"/>
          <w:szCs w:val="32"/>
        </w:rPr>
        <w:t>3</w:t>
      </w:r>
    </w:p>
    <w:p w14:paraId="46F70C2E" w14:textId="77777777" w:rsidR="008E1B04" w:rsidRDefault="008E1B04" w:rsidP="008E1B04">
      <w:pPr>
        <w:jc w:val="center"/>
        <w:rPr>
          <w:rFonts w:ascii="方正小标宋简体" w:eastAsia="方正小标宋简体"/>
          <w:color w:val="FF0000"/>
          <w:w w:val="60"/>
          <w:sz w:val="110"/>
          <w:szCs w:val="110"/>
        </w:rPr>
      </w:pPr>
      <w:r>
        <w:rPr>
          <w:rFonts w:ascii="方正小标宋简体" w:eastAsia="方正小标宋简体" w:hint="eastAsia"/>
          <w:color w:val="FF0000"/>
          <w:w w:val="60"/>
          <w:sz w:val="110"/>
          <w:szCs w:val="110"/>
        </w:rPr>
        <w:t>湖南省人民防空办公室文件</w:t>
      </w:r>
    </w:p>
    <w:p w14:paraId="0E9B1263" w14:textId="77777777" w:rsidR="008E1B04" w:rsidRDefault="008E1B04" w:rsidP="008E1B04">
      <w:pPr>
        <w:ind w:firstLineChars="100" w:firstLine="210"/>
        <w:rPr>
          <w:rFonts w:ascii="仿宋_GB2312" w:eastAsia="宋体"/>
          <w:szCs w:val="32"/>
        </w:rPr>
      </w:pPr>
    </w:p>
    <w:p w14:paraId="6E1D12FD" w14:textId="77777777" w:rsidR="0026525D" w:rsidRDefault="008E1B04" w:rsidP="008E1B04">
      <w:pPr>
        <w:jc w:val="center"/>
        <w:rPr>
          <w:rFonts w:ascii="仿宋_GB2312"/>
          <w:szCs w:val="32"/>
        </w:rPr>
      </w:pPr>
      <w:r>
        <w:rPr>
          <w:rFonts w:ascii="Calibri" w:hint="eastAsia"/>
          <w:noProof/>
          <w:szCs w:val="22"/>
        </w:rPr>
        <mc:AlternateContent>
          <mc:Choice Requires="wps">
            <w:drawing>
              <wp:anchor distT="0" distB="0" distL="114300" distR="114300" simplePos="0" relativeHeight="251658240" behindDoc="0" locked="0" layoutInCell="1" allowOverlap="1" wp14:anchorId="5077F0A1" wp14:editId="245733C5">
                <wp:simplePos x="0" y="0"/>
                <wp:positionH relativeFrom="margin">
                  <wp:posOffset>18415</wp:posOffset>
                </wp:positionH>
                <wp:positionV relativeFrom="margin">
                  <wp:posOffset>2619375</wp:posOffset>
                </wp:positionV>
                <wp:extent cx="5579745" cy="0"/>
                <wp:effectExtent l="18415" t="19050" r="2159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91754" id="_x0000_t32" coordsize="21600,21600" o:spt="32" o:oned="t" path="m,l21600,21600e" filled="f">
                <v:path arrowok="t" fillok="f" o:connecttype="none"/>
                <o:lock v:ext="edit" shapetype="t"/>
              </v:shapetype>
              <v:shape id="直接箭头连接符 1" o:spid="_x0000_s1026" type="#_x0000_t32" style="position:absolute;left:0;text-align:left;margin-left:1.45pt;margin-top:206.25pt;width:439.3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" strokecolor="red" strokeweight="2.25pt">
                <w10:wrap anchorx="margin" anchory="margin"/>
              </v:shape>
            </w:pict>
          </mc:Fallback>
        </mc:AlternateContent>
      </w:r>
    </w:p>
    <w:p w14:paraId="6C6E687F" w14:textId="77777777" w:rsidR="0026525D" w:rsidRPr="00F8058E" w:rsidRDefault="0026525D" w:rsidP="0026525D">
      <w:pPr>
        <w:jc w:val="center"/>
        <w:rPr>
          <w:rFonts w:ascii="仿宋_GB2312" w:eastAsia="仿宋_GB2312" w:hAnsi="仿宋" w:cs="Tahoma"/>
          <w:bCs/>
          <w:color w:val="000000"/>
          <w:kern w:val="0"/>
          <w:sz w:val="32"/>
          <w:szCs w:val="32"/>
        </w:rPr>
      </w:pPr>
      <w:proofErr w:type="gramStart"/>
      <w:r w:rsidRPr="00F8058E">
        <w:rPr>
          <w:rFonts w:ascii="仿宋_GB2312" w:eastAsia="仿宋_GB2312" w:hAnsi="Tahoma" w:cs="Tahoma" w:hint="eastAsia"/>
          <w:bCs/>
          <w:color w:val="000000"/>
          <w:kern w:val="0"/>
          <w:sz w:val="32"/>
          <w:szCs w:val="32"/>
        </w:rPr>
        <w:t>湘防办</w:t>
      </w:r>
      <w:proofErr w:type="gramEnd"/>
      <w:r w:rsidRPr="00F8058E">
        <w:rPr>
          <w:rFonts w:ascii="仿宋_GB2312" w:eastAsia="仿宋_GB2312" w:hAnsi="Tahoma" w:cs="Tahoma" w:hint="eastAsia"/>
          <w:bCs/>
          <w:color w:val="000000"/>
          <w:kern w:val="0"/>
          <w:sz w:val="32"/>
          <w:szCs w:val="32"/>
        </w:rPr>
        <w:t>发</w:t>
      </w:r>
      <w:r w:rsidRPr="00F8058E">
        <w:rPr>
          <w:rFonts w:ascii="仿宋_GB2312" w:eastAsia="仿宋_GB2312" w:hAnsi="仿宋" w:cs="Tahoma" w:hint="eastAsia"/>
          <w:bCs/>
          <w:color w:val="000000"/>
          <w:kern w:val="0"/>
          <w:sz w:val="32"/>
          <w:szCs w:val="32"/>
        </w:rPr>
        <w:t>〔</w:t>
      </w:r>
      <w:r w:rsidRPr="00F8058E">
        <w:rPr>
          <w:rFonts w:ascii="仿宋_GB2312" w:eastAsia="仿宋_GB2312" w:hAnsi="仿宋" w:cs="Tahoma"/>
          <w:bCs/>
          <w:color w:val="000000"/>
          <w:kern w:val="0"/>
          <w:sz w:val="32"/>
          <w:szCs w:val="32"/>
        </w:rPr>
        <w:t>2020</w:t>
      </w:r>
      <w:r w:rsidRPr="00F8058E">
        <w:rPr>
          <w:rFonts w:ascii="仿宋_GB2312" w:eastAsia="仿宋_GB2312" w:hAnsi="仿宋" w:cs="Tahoma" w:hint="eastAsia"/>
          <w:bCs/>
          <w:color w:val="000000"/>
          <w:kern w:val="0"/>
          <w:sz w:val="32"/>
          <w:szCs w:val="32"/>
        </w:rPr>
        <w:t>〕</w:t>
      </w:r>
      <w:r>
        <w:rPr>
          <w:rFonts w:ascii="仿宋_GB2312" w:eastAsia="仿宋_GB2312" w:hAnsi="仿宋" w:cs="Tahoma" w:hint="eastAsia"/>
          <w:bCs/>
          <w:color w:val="000000"/>
          <w:kern w:val="0"/>
          <w:sz w:val="32"/>
          <w:szCs w:val="32"/>
        </w:rPr>
        <w:t>7</w:t>
      </w:r>
      <w:r w:rsidRPr="00F8058E">
        <w:rPr>
          <w:rFonts w:ascii="仿宋_GB2312" w:eastAsia="仿宋_GB2312" w:hAnsi="仿宋" w:cs="Tahoma" w:hint="eastAsia"/>
          <w:bCs/>
          <w:color w:val="000000"/>
          <w:kern w:val="0"/>
          <w:sz w:val="32"/>
          <w:szCs w:val="32"/>
        </w:rPr>
        <w:t>号</w:t>
      </w:r>
    </w:p>
    <w:p w14:paraId="62ABC240" w14:textId="77777777" w:rsidR="007D5FCA" w:rsidRDefault="007D5FCA">
      <w:pPr>
        <w:spacing w:line="600" w:lineRule="exact"/>
        <w:jc w:val="center"/>
        <w:rPr>
          <w:rFonts w:ascii="方正小标宋简体" w:eastAsia="方正小标宋简体" w:hAnsi="方正小标宋简体" w:cs="方正小标宋简体"/>
          <w:sz w:val="44"/>
          <w:szCs w:val="44"/>
        </w:rPr>
      </w:pPr>
    </w:p>
    <w:p w14:paraId="724803AA" w14:textId="77777777" w:rsidR="007D5FCA" w:rsidRDefault="00EB507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湖南省人民防空办公室</w:t>
      </w:r>
    </w:p>
    <w:p w14:paraId="4FC1789C" w14:textId="77777777" w:rsidR="0026525D" w:rsidRDefault="00EB507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湖南省单建式人民防空工程建设</w:t>
      </w:r>
    </w:p>
    <w:p w14:paraId="4C3CC938" w14:textId="77777777" w:rsidR="007D5FCA" w:rsidRDefault="00EB507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53004D4C" w14:textId="77777777" w:rsidR="007D5FCA" w:rsidRDefault="007D5FCA">
      <w:pPr>
        <w:spacing w:line="600" w:lineRule="exact"/>
        <w:jc w:val="center"/>
        <w:rPr>
          <w:rFonts w:ascii="仿宋_GB2312" w:eastAsia="仿宋_GB2312" w:hAnsi="仿宋_GB2312" w:cs="仿宋_GB2312"/>
          <w:sz w:val="32"/>
          <w:szCs w:val="32"/>
        </w:rPr>
      </w:pPr>
    </w:p>
    <w:p w14:paraId="4DA24249" w14:textId="77777777" w:rsidR="007D5FCA" w:rsidRDefault="00EB5079">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各市州人防办：</w:t>
      </w:r>
    </w:p>
    <w:p w14:paraId="64D5D704" w14:textId="77777777" w:rsidR="007D5FCA" w:rsidRDefault="00EB5079">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为进一步加强单建式人防工程建设管理，现将《湖南省单建式人民防空工程建设管理办法》印发给你们，请遵照执行。</w:t>
      </w:r>
    </w:p>
    <w:p w14:paraId="7AA68EE3" w14:textId="77777777" w:rsidR="0026525D" w:rsidRDefault="0026525D" w:rsidP="0026525D">
      <w:pPr>
        <w:ind w:right="640"/>
        <w:rPr>
          <w:rFonts w:ascii="仿宋_GB2312" w:eastAsia="仿宋_GB2312" w:hAnsi="仿宋_GB2312" w:cs="仿宋_GB2312"/>
          <w:sz w:val="32"/>
          <w:szCs w:val="32"/>
        </w:rPr>
      </w:pPr>
    </w:p>
    <w:p w14:paraId="62C4A3E2" w14:textId="77777777" w:rsidR="0026525D" w:rsidRDefault="0026525D" w:rsidP="0026525D">
      <w:pPr>
        <w:ind w:right="640"/>
        <w:rPr>
          <w:rFonts w:ascii="仿宋_GB2312" w:eastAsia="仿宋_GB2312" w:hAnsi="仿宋_GB2312" w:cs="仿宋_GB2312"/>
          <w:sz w:val="32"/>
          <w:szCs w:val="32"/>
        </w:rPr>
      </w:pPr>
    </w:p>
    <w:p w14:paraId="2CCFF40A" w14:textId="77777777" w:rsidR="007D5FCA" w:rsidRDefault="00EB5079" w:rsidP="0026525D">
      <w:pPr>
        <w:ind w:right="640"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湖南省人民防空办公室</w:t>
      </w:r>
    </w:p>
    <w:p w14:paraId="40D1DC6E" w14:textId="77777777" w:rsidR="007D5FCA" w:rsidRDefault="00EB5079" w:rsidP="0026525D">
      <w:pPr>
        <w:ind w:firstLineChars="1450" w:firstLine="4640"/>
        <w:rPr>
          <w:rFonts w:ascii="仿宋_GB2312" w:eastAsia="仿宋_GB2312" w:hAnsi="仿宋_GB2312" w:cs="仿宋_GB2312"/>
          <w:sz w:val="32"/>
          <w:szCs w:val="32"/>
        </w:rPr>
      </w:pPr>
      <w:r>
        <w:rPr>
          <w:rFonts w:ascii="仿宋_GB2312" w:eastAsia="仿宋_GB2312" w:hAnsi="仿宋_GB2312" w:cs="仿宋_GB2312" w:hint="eastAsia"/>
          <w:sz w:val="32"/>
          <w:szCs w:val="32"/>
        </w:rPr>
        <w:t>2020年6月1日</w:t>
      </w:r>
    </w:p>
    <w:p w14:paraId="4E0235A9" w14:textId="77777777" w:rsidR="007D5FCA" w:rsidRDefault="00EB5079">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45D17C18" w14:textId="77777777" w:rsidR="0026525D" w:rsidRDefault="00EB507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湖南省单建式人民防空工程建设</w:t>
      </w:r>
    </w:p>
    <w:p w14:paraId="10928D8C" w14:textId="77777777" w:rsidR="007D5FCA" w:rsidRDefault="00EB507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管理办法</w:t>
      </w:r>
    </w:p>
    <w:p w14:paraId="614CEBC1" w14:textId="77777777" w:rsidR="007D5FCA" w:rsidRDefault="007D5FCA">
      <w:pPr>
        <w:spacing w:line="600" w:lineRule="exact"/>
        <w:rPr>
          <w:rFonts w:ascii="仿宋_GB2312" w:eastAsia="仿宋_GB2312" w:hAnsi="仿宋_GB2312" w:cs="仿宋_GB2312"/>
          <w:sz w:val="32"/>
          <w:szCs w:val="32"/>
        </w:rPr>
      </w:pPr>
    </w:p>
    <w:p w14:paraId="5EFD3848"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规范我省单独修建的人民防空工程（以下简称“单建式人防工程”）建设管理，根据《中华人民共和国人民防空法》《湖南省实施&lt;中华人民共和国人民防空法&gt;办法》和《湖南省人民防空工程建设与维护管理规定》（省政府令第297号）规定，结合我省实际，制定本办法。</w:t>
      </w:r>
    </w:p>
    <w:p w14:paraId="336514F3"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本办法所称单建式人防工程，是指为保障战时人员与物资掩蔽、人民防空指挥、医疗救护等而单独修建的地下防护建筑。</w:t>
      </w:r>
    </w:p>
    <w:p w14:paraId="47E16C3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承担单建式人防工程勘察、设计、施工、监理、防护设备生产安装、检测、测绘的单位，应具备相应的资质。</w:t>
      </w:r>
    </w:p>
    <w:p w14:paraId="2E0268A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单建式人防工程建设单位及其他参建单位应严格遵守国家保密法律法规，落实保密工作主体责任；单建式人防工程使用单位和其他有关单位或个人必须严格履行保密义务。</w:t>
      </w:r>
    </w:p>
    <w:p w14:paraId="2D76B31A"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单建式人防工程项目选址和战时功能应当符合城市人防工程专项规划、国土空间规划及城市地下空间开发要求。</w:t>
      </w:r>
    </w:p>
    <w:p w14:paraId="3DC1C8C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平时作为地下商场、地下停车库，战时作为人员和物资掩蔽的单建式人防工程其防护区建筑面积应不少于工程总建筑面积的70%，其中人员掩蔽工程面积不少于工程总建筑面积的40%。</w:t>
      </w:r>
    </w:p>
    <w:p w14:paraId="4E3F8BEC"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单建式人防工程防护类别应为甲类，防护等级不得低于核6级常6级。工程应与周边人防工程相互连通，暂时无法连通的，应当预留连通口。</w:t>
      </w:r>
    </w:p>
    <w:p w14:paraId="76E7C794"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人防指挥所工程按照相应的战术技术要求确定工程的防护类别、防护等级等有关要求。</w:t>
      </w:r>
    </w:p>
    <w:p w14:paraId="34E079B8"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单建式人防工程平战转换方案应当符合有关规范和所在城市人防工程平战转换总体方案要求。</w:t>
      </w:r>
    </w:p>
    <w:p w14:paraId="22AA528D"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人防指挥所工程不得预留防护功能平战转换项目。</w:t>
      </w:r>
    </w:p>
    <w:p w14:paraId="7B2DA25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单建式人防工程建设应当按立项用地规划许可阶段、工程建设许可阶段、施工许可阶段及竣工验收阶段分别办理有关审批手续。</w:t>
      </w:r>
    </w:p>
    <w:p w14:paraId="20BAE45D"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立项用地规划许可阶段依次履行以下基本程序，并办理相关手续：</w:t>
      </w:r>
    </w:p>
    <w:p w14:paraId="3CD7932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（一）政府投资项目</w:t>
      </w:r>
    </w:p>
    <w:p w14:paraId="353466E7"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建设单位向人防主管部门分别申报项目建议书和可行性研究报告，人防主管部门在受理项目建议书和可行性研究报告5个工作日内，出具初审意见，报发展改革主管部门办理立项阶段审批。</w:t>
      </w:r>
    </w:p>
    <w:p w14:paraId="365C86CF"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1.市州、县市区政府投资的单建式人防工程项目，由项目所在地市州、县市区发展改革主管部门审批。</w:t>
      </w:r>
    </w:p>
    <w:p w14:paraId="16AC7357"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2.省政府投资的单建式人防工程项目，由省发展改革主管部门审批。</w:t>
      </w:r>
    </w:p>
    <w:p w14:paraId="70D196A9"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（二）社会投资项目</w:t>
      </w:r>
    </w:p>
    <w:p w14:paraId="338DCB3B"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建设单位申报投资项目报告书，人防主管部门在受理报告书5个工作日内，出具初审意见，</w:t>
      </w:r>
      <w:proofErr w:type="gramStart"/>
      <w:r>
        <w:rPr>
          <w:rFonts w:ascii="仿宋_GB2312" w:eastAsia="仿宋_GB2312" w:hAnsi="仿宋_GB2312" w:cs="仿宋_GB2312" w:hint="eastAsia"/>
          <w:sz w:val="32"/>
          <w:szCs w:val="32"/>
        </w:rPr>
        <w:t>报项目</w:t>
      </w:r>
      <w:proofErr w:type="gramEnd"/>
      <w:r>
        <w:rPr>
          <w:rFonts w:ascii="仿宋_GB2312" w:eastAsia="仿宋_GB2312" w:hAnsi="仿宋_GB2312" w:cs="仿宋_GB2312" w:hint="eastAsia"/>
          <w:sz w:val="32"/>
          <w:szCs w:val="32"/>
        </w:rPr>
        <w:t>所在地发展改革主管部门办理备案手续。</w:t>
      </w:r>
    </w:p>
    <w:p w14:paraId="61BA5765" w14:textId="77777777" w:rsidR="007D5FCA" w:rsidRDefault="00EB5079">
      <w:pPr>
        <w:spacing w:line="60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自然资源部门按规定办理建设用地审批手续。</w:t>
      </w:r>
    </w:p>
    <w:p w14:paraId="44B7AA0A"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工程建设许可阶段、施工许可阶段及竣工验收阶段的初步设计审查、质量与安全监督手续、开工报告手续和竣工验收备案审批权限按以下规定进行：</w:t>
      </w:r>
    </w:p>
    <w:p w14:paraId="55030E2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（一）2万平方米以下（含）的单建式人防工程项目（不含人防指挥所项目），由项目所在地市州、县市区人防主管部门审批；</w:t>
      </w:r>
    </w:p>
    <w:p w14:paraId="714219A5"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（二）2万平方米以上的单建式人防工程项目和各级人防指挥所项目，按程序报省人防主管部门审批。</w:t>
      </w:r>
    </w:p>
    <w:p w14:paraId="0FDED358"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市州、县市人防主管部门自建项目报上级人防主管部门审批。</w:t>
      </w:r>
    </w:p>
    <w:p w14:paraId="725E88F1"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工程建设许可阶段依次履行以下基本程序，并办理相关手续：</w:t>
      </w:r>
    </w:p>
    <w:p w14:paraId="2FB88BAC"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（一）人防主管部门组织专家和有关职能部门对项目初步设计文件进行技术审查。人防主管部门在建设单位将审查会材料准备齐全并报告人防主管部门后5个工作日内组织相关审查工作；</w:t>
      </w:r>
    </w:p>
    <w:p w14:paraId="55D324B8"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（二）建设单位和设计单位按照技术审查意见完善设计后，建设单位将审批材料报人防主管部门审批。人防主管部门在5个工作日内完成审批；</w:t>
      </w:r>
    </w:p>
    <w:p w14:paraId="20347B84"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（三）自然资源主管部门依法办理建设工程规划许可。</w:t>
      </w:r>
    </w:p>
    <w:p w14:paraId="1873342C"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工程建设许可阶段应提交以下审批材料：</w:t>
      </w:r>
    </w:p>
    <w:p w14:paraId="16A53ED3"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（一）初步设计文件审批表；</w:t>
      </w:r>
    </w:p>
    <w:p w14:paraId="5C67D907"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（二）设计合同或设计委托书或设计中标通知书；</w:t>
      </w:r>
    </w:p>
    <w:p w14:paraId="16FDBA1C"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（三）发展改革主管部门出具的可行性研究报告批复或备案文件；</w:t>
      </w:r>
    </w:p>
    <w:p w14:paraId="1ED99279"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（四）自然资源主管部门批准的总平面图、方案审查意见；</w:t>
      </w:r>
    </w:p>
    <w:p w14:paraId="1BD4FEA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（五）自然资源主管部门出具的建设用地批准文件或国土证或划拨用地决定书；</w:t>
      </w:r>
    </w:p>
    <w:p w14:paraId="553B2111"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（六）地质工程初步勘察报告；</w:t>
      </w:r>
    </w:p>
    <w:p w14:paraId="58706A6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（七）满足规定设计深度的初步设计文件；</w:t>
      </w:r>
    </w:p>
    <w:p w14:paraId="6BAFF55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（八）概算文本（仅政府投资项目提供）。</w:t>
      </w:r>
    </w:p>
    <w:p w14:paraId="5863323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施工许可阶段建设单位申报开工报告手续，应当提交以下材料：</w:t>
      </w:r>
    </w:p>
    <w:p w14:paraId="70894EC0"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（一）开工报告审批表；</w:t>
      </w:r>
    </w:p>
    <w:p w14:paraId="5E9F0A7E"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（二）国有土地使用证；</w:t>
      </w:r>
    </w:p>
    <w:p w14:paraId="16626F99"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（三）建设用地规划许可证；</w:t>
      </w:r>
    </w:p>
    <w:p w14:paraId="596002AB"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（四）建设工程规划许可证；</w:t>
      </w:r>
    </w:p>
    <w:p w14:paraId="53533BE7"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（五）建筑施工、防护设备及监理中标通知书；</w:t>
      </w:r>
    </w:p>
    <w:p w14:paraId="3B2DE855"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（六）初步设计文件批复；</w:t>
      </w:r>
    </w:p>
    <w:p w14:paraId="6B36CF6E"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（七）施工图审查意见及消防设计审查意见书；</w:t>
      </w:r>
    </w:p>
    <w:p w14:paraId="30C0A4E6"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（八）湖南省单建式人防工程项目开工安全生产条件审查申</w:t>
      </w:r>
      <w:r>
        <w:rPr>
          <w:rFonts w:ascii="仿宋_GB2312" w:eastAsia="仿宋_GB2312" w:hAnsi="仿宋_GB2312" w:cs="仿宋_GB2312" w:hint="eastAsia"/>
          <w:sz w:val="32"/>
          <w:szCs w:val="32"/>
        </w:rPr>
        <w:lastRenderedPageBreak/>
        <w:t>请报告；</w:t>
      </w:r>
    </w:p>
    <w:p w14:paraId="6982E1CC"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（九）湖南省建筑施工开工安全生产条件承诺书；</w:t>
      </w:r>
    </w:p>
    <w:p w14:paraId="5D1D2B92"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（十）建设资金已经落实承诺书；</w:t>
      </w:r>
    </w:p>
    <w:p w14:paraId="431D5F6C"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（十一）农民工工资保证金缴纳承诺书。</w:t>
      </w:r>
    </w:p>
    <w:p w14:paraId="58E294D7"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人防主管部门在有关材料齐全后，于5个工作日内办理相关手续。</w:t>
      </w:r>
    </w:p>
    <w:p w14:paraId="0774D77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竣工验收阶段依次履行以下基本程序，并办理相关手续：</w:t>
      </w:r>
    </w:p>
    <w:p w14:paraId="2879F40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（一）建设单位组织相关部门和设计、施工、监理及人防质监机构等单位进行项目竣工验收，人防质监机构应在验收合格之日起5日内出具质量监督报告；</w:t>
      </w:r>
    </w:p>
    <w:p w14:paraId="699277B1"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（二）通过竣工验收后，建设单位在15个工作日内按要求将有关资料报人防主管部门竣工备案；</w:t>
      </w:r>
    </w:p>
    <w:p w14:paraId="3306BD6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（三）不动产登记部门按规定办理不动产确权登记。</w:t>
      </w:r>
    </w:p>
    <w:p w14:paraId="249C2AA6"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单建式人防项目申请竣工验收应当具备下列条件：</w:t>
      </w:r>
    </w:p>
    <w:p w14:paraId="161CF82D"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（一）工程主体按照设计文件要求建成，能够满足使用需要；</w:t>
      </w:r>
    </w:p>
    <w:p w14:paraId="70698FF7"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（二）自然资源、生态环境、消防等已按照有关规定依法确认或者专项竣工验收合格；</w:t>
      </w:r>
    </w:p>
    <w:p w14:paraId="1CC4EAB9"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（三）项目档案资料齐全、完整，符合国家有关建设项目档案验收规定；</w:t>
      </w:r>
    </w:p>
    <w:p w14:paraId="496D7593"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（四）法律、法规规定的其他条件。</w:t>
      </w:r>
    </w:p>
    <w:p w14:paraId="0744755A"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申报工程竣工验收备案，应当提交以下材料：</w:t>
      </w:r>
    </w:p>
    <w:p w14:paraId="6856B537"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（一）备案登记申请书</w:t>
      </w:r>
    </w:p>
    <w:p w14:paraId="6172EFAC"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（二）工程竣工验收备案表；</w:t>
      </w:r>
    </w:p>
    <w:p w14:paraId="11617A85"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（三）工程竣工验收报告；</w:t>
      </w:r>
    </w:p>
    <w:p w14:paraId="63A5FC68"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（四）自然资源、生态环境部门出具的认可或准许使用文件，住房和城乡建设部门出具的消防验收合格文件；</w:t>
      </w:r>
    </w:p>
    <w:p w14:paraId="71D1158B"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（五）施工单位、防护设备安装单位签署的工程质量保修书；</w:t>
      </w:r>
    </w:p>
    <w:p w14:paraId="7D3467AF"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（六）防护设备安装质量检测报告；</w:t>
      </w:r>
    </w:p>
    <w:p w14:paraId="5E7A9DE2"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（七）人防工程主体结构检测报告；</w:t>
      </w:r>
    </w:p>
    <w:p w14:paraId="2107C3F1"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（八）工程质量监督报告；</w:t>
      </w:r>
    </w:p>
    <w:p w14:paraId="41F4AA0D"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（九）工程平战转换方案；</w:t>
      </w:r>
    </w:p>
    <w:p w14:paraId="622C82B9"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（十）全套工程竣工图纸。</w:t>
      </w:r>
    </w:p>
    <w:p w14:paraId="609FD06B" w14:textId="77777777" w:rsidR="007D5FCA" w:rsidRDefault="00EB5079">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人防主管部门在有关材料齐全后，于5个工作日内办理相关手续。未经竣工验收或验收不合格，工程不得交付使用。</w:t>
      </w:r>
    </w:p>
    <w:p w14:paraId="6E0B7136"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施工图设计文件应由具备相应施工图审查资格的机构进行审查（含消防审查），出具施工图审查报告。建设单位应将施工图审查报告按项目分级管理原则</w:t>
      </w:r>
      <w:proofErr w:type="gramStart"/>
      <w:r>
        <w:rPr>
          <w:rFonts w:ascii="仿宋_GB2312" w:eastAsia="仿宋_GB2312" w:hAnsi="仿宋_GB2312" w:cs="仿宋_GB2312" w:hint="eastAsia"/>
          <w:sz w:val="32"/>
          <w:szCs w:val="32"/>
        </w:rPr>
        <w:t>报相应</w:t>
      </w:r>
      <w:proofErr w:type="gramEnd"/>
      <w:r>
        <w:rPr>
          <w:rFonts w:ascii="仿宋_GB2312" w:eastAsia="仿宋_GB2312" w:hAnsi="仿宋_GB2312" w:cs="仿宋_GB2312" w:hint="eastAsia"/>
          <w:sz w:val="32"/>
          <w:szCs w:val="32"/>
        </w:rPr>
        <w:t>人防主管部门备案。住房和城乡建设主管部门应依据施工图审查报告出具消防设计审查意见书。</w:t>
      </w:r>
    </w:p>
    <w:p w14:paraId="4803046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人防工程施工图设计文件不得擅自修改，确需修改的，应当经原勘察、设计单位变更设计，或者经原勘察、设计单位书面同意，由建设单位委托其他具有相应资质的勘察、设计单位修改；需要作重大修改的，还应当由施工图审查机构审查合</w:t>
      </w:r>
      <w:r>
        <w:rPr>
          <w:rFonts w:ascii="仿宋_GB2312" w:eastAsia="仿宋_GB2312" w:hAnsi="仿宋_GB2312" w:cs="仿宋_GB2312" w:hint="eastAsia"/>
          <w:sz w:val="32"/>
          <w:szCs w:val="32"/>
        </w:rPr>
        <w:lastRenderedPageBreak/>
        <w:t>格后，报人防主管部门备案。</w:t>
      </w:r>
    </w:p>
    <w:p w14:paraId="36CBB61C"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涉及工程战时功能、防护类别、防护等级、防化等级、建设规模、结构体系、施工工艺、主要设备等重要内容的施工图设计文件变更属于重大修改。</w:t>
      </w:r>
    </w:p>
    <w:p w14:paraId="401624D7"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涉及自然资源、住房和城乡建设、生态环境等主管部门审批内容的施工图设计文件设计变更，建设单位应当按规定报原审批部门同意后方可实施。</w:t>
      </w:r>
    </w:p>
    <w:p w14:paraId="2C902FB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单建式人防工程项目的基坑工程是危险性较大的分部分项工程，建设单位、勘察单位、设计单位、施工单位、监理单位要按照《危险性较大的分部分项工程安全管理规定》规定（住房和城乡建设部令第37号）履行相应责任和义务。</w:t>
      </w:r>
    </w:p>
    <w:p w14:paraId="328235C6"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建设单位应当组织勘察、设计等单位在施工招标文件中</w:t>
      </w:r>
      <w:proofErr w:type="gramStart"/>
      <w:r>
        <w:rPr>
          <w:rFonts w:ascii="仿宋_GB2312" w:eastAsia="仿宋_GB2312" w:hAnsi="仿宋_GB2312" w:cs="仿宋_GB2312" w:hint="eastAsia"/>
          <w:sz w:val="32"/>
          <w:szCs w:val="32"/>
        </w:rPr>
        <w:t>列出危大工程</w:t>
      </w:r>
      <w:proofErr w:type="gramEnd"/>
      <w:r>
        <w:rPr>
          <w:rFonts w:ascii="仿宋_GB2312" w:eastAsia="仿宋_GB2312" w:hAnsi="仿宋_GB2312" w:cs="仿宋_GB2312" w:hint="eastAsia"/>
          <w:sz w:val="32"/>
          <w:szCs w:val="32"/>
        </w:rPr>
        <w:t>清单，要求施工单位在投标时补充</w:t>
      </w:r>
      <w:proofErr w:type="gramStart"/>
      <w:r>
        <w:rPr>
          <w:rFonts w:ascii="仿宋_GB2312" w:eastAsia="仿宋_GB2312" w:hAnsi="仿宋_GB2312" w:cs="仿宋_GB2312" w:hint="eastAsia"/>
          <w:sz w:val="32"/>
          <w:szCs w:val="32"/>
        </w:rPr>
        <w:t>完善危大工程</w:t>
      </w:r>
      <w:proofErr w:type="gramEnd"/>
      <w:r>
        <w:rPr>
          <w:rFonts w:ascii="仿宋_GB2312" w:eastAsia="仿宋_GB2312" w:hAnsi="仿宋_GB2312" w:cs="仿宋_GB2312" w:hint="eastAsia"/>
          <w:sz w:val="32"/>
          <w:szCs w:val="32"/>
        </w:rPr>
        <w:t>清单并明确相应的安全管理措施。</w:t>
      </w:r>
    </w:p>
    <w:p w14:paraId="4855C7AB"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勘察单位应当根据工程实际及工程周边环境资料，在勘察文件中说明地质条件可能造成的工程风险。</w:t>
      </w:r>
    </w:p>
    <w:p w14:paraId="1DD9C3B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设计单位应当在设计文件中注明</w:t>
      </w:r>
      <w:proofErr w:type="gramStart"/>
      <w:r>
        <w:rPr>
          <w:rFonts w:ascii="仿宋_GB2312" w:eastAsia="仿宋_GB2312" w:hAnsi="仿宋_GB2312" w:cs="仿宋_GB2312" w:hint="eastAsia"/>
          <w:sz w:val="32"/>
          <w:szCs w:val="32"/>
        </w:rPr>
        <w:t>涉及危大工程</w:t>
      </w:r>
      <w:proofErr w:type="gramEnd"/>
      <w:r>
        <w:rPr>
          <w:rFonts w:ascii="仿宋_GB2312" w:eastAsia="仿宋_GB2312" w:hAnsi="仿宋_GB2312" w:cs="仿宋_GB2312" w:hint="eastAsia"/>
          <w:sz w:val="32"/>
          <w:szCs w:val="32"/>
        </w:rPr>
        <w:t>的重点部位和环节，提出保障工程周边环境安全和工程施工安全的意见，必要时进行专项设计。</w:t>
      </w:r>
    </w:p>
    <w:p w14:paraId="4635053D"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施工单位应当在工程施工前组织工程技术人员编制专项施工方案，对于超过一定规模的危大工程，要组织召开专家论证会对专项施工方案进行论证。</w:t>
      </w:r>
    </w:p>
    <w:p w14:paraId="7B16C7E1"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监理单位应当结合专项施工方案编制监理实施细则，并对工程施工实施专项巡视检查。</w:t>
      </w:r>
    </w:p>
    <w:p w14:paraId="33FEF0F5"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按照规定需要进行第三方监测的危大工程，建设单位应当委托具有相应勘察资质的单位进行监测；在申请办理安全监督手续时，应当提交危大工程清单及其安全管理措施等资料。监测单位应当编制监测方案并按照监测方案开展监测，及时向建设单位报送监测成果；发现异常时，及时向建设、设计、施工、监理单位报告。</w:t>
      </w:r>
    </w:p>
    <w:p w14:paraId="566EC856"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单建式人防工程使用单位不得改变工程主体结构，不得擅自拆除工程设备设施，不得危害工程的安全和使用效能。</w:t>
      </w:r>
    </w:p>
    <w:p w14:paraId="73086335"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单建式人防工程平时维护管理由工程所有权人或由其委托管理的单位负责，接受人防主管部门的监督，维护管理资金由工程所有权人或者使用权人承担。</w:t>
      </w:r>
    </w:p>
    <w:p w14:paraId="23D2CB89"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单建式人防工程平时使用的安全管理由所有权人、使用权人或其委托管理的单位负责。工程所在地人防主管部门要定期组织安全培训和检查，监督责任单位制定和落实安全措施。</w:t>
      </w:r>
    </w:p>
    <w:p w14:paraId="68D7142B"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工程所有权人、使用权人或其委托管理的单位应当按照国家有关法律、法规和规范，建立健全安全组织，明确安全工作目标，落实消防、防汛、治安、卫生等安全措施。</w:t>
      </w:r>
    </w:p>
    <w:p w14:paraId="1E2DA7D0"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单建式人防工程</w:t>
      </w:r>
      <w:proofErr w:type="gramStart"/>
      <w:r>
        <w:rPr>
          <w:rFonts w:ascii="仿宋_GB2312" w:eastAsia="仿宋_GB2312" w:hAnsi="仿宋_GB2312" w:cs="仿宋_GB2312" w:hint="eastAsia"/>
          <w:sz w:val="32"/>
          <w:szCs w:val="32"/>
        </w:rPr>
        <w:t>战时由</w:t>
      </w:r>
      <w:proofErr w:type="gramEnd"/>
      <w:r>
        <w:rPr>
          <w:rFonts w:ascii="仿宋_GB2312" w:eastAsia="仿宋_GB2312" w:hAnsi="仿宋_GB2312" w:cs="仿宋_GB2312" w:hint="eastAsia"/>
          <w:sz w:val="32"/>
          <w:szCs w:val="32"/>
        </w:rPr>
        <w:t>人民政府统一调用，并</w:t>
      </w:r>
      <w:r>
        <w:rPr>
          <w:rFonts w:ascii="仿宋_GB2312" w:eastAsia="仿宋_GB2312" w:hAnsi="仿宋_GB2312" w:cs="仿宋_GB2312" w:hint="eastAsia"/>
          <w:sz w:val="32"/>
          <w:szCs w:val="32"/>
        </w:rPr>
        <w:lastRenderedPageBreak/>
        <w:t>由工程建设单位实施平战转换。</w:t>
      </w:r>
    </w:p>
    <w:p w14:paraId="588BA982"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建于上部建筑之下的人防指挥所工程，称为附建式人防指挥所工程，其建设管理参照本办法执行。</w:t>
      </w:r>
    </w:p>
    <w:p w14:paraId="00F2BCFE" w14:textId="77777777" w:rsidR="007D5FCA" w:rsidRDefault="00EB5079">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本办法自发布之日起施行，有效期5年，《湖南省单建式平战结合人民防空工程建设管理办法》（</w:t>
      </w:r>
      <w:proofErr w:type="gramStart"/>
      <w:r>
        <w:rPr>
          <w:rFonts w:ascii="仿宋_GB2312" w:eastAsia="仿宋_GB2312" w:hAnsi="仿宋_GB2312" w:cs="仿宋_GB2312" w:hint="eastAsia"/>
          <w:sz w:val="32"/>
          <w:szCs w:val="32"/>
        </w:rPr>
        <w:t>湘防办</w:t>
      </w:r>
      <w:proofErr w:type="gramEnd"/>
      <w:r>
        <w:rPr>
          <w:rFonts w:ascii="仿宋_GB2312" w:eastAsia="仿宋_GB2312" w:hAnsi="仿宋_GB2312" w:cs="仿宋_GB2312" w:hint="eastAsia"/>
          <w:sz w:val="32"/>
          <w:szCs w:val="32"/>
        </w:rPr>
        <w:t>发〔2015〕37号）同时废止。</w:t>
      </w:r>
    </w:p>
    <w:p w14:paraId="7B490ACD" w14:textId="77777777" w:rsidR="007D5FCA" w:rsidRDefault="007D5FCA">
      <w:pPr>
        <w:spacing w:line="600" w:lineRule="exact"/>
        <w:rPr>
          <w:rFonts w:ascii="仿宋_GB2312" w:eastAsia="仿宋_GB2312" w:hAnsi="仿宋_GB2312" w:cs="仿宋_GB2312"/>
          <w:sz w:val="32"/>
          <w:szCs w:val="32"/>
        </w:rPr>
      </w:pPr>
    </w:p>
    <w:p w14:paraId="3C3052F6" w14:textId="77777777" w:rsidR="00EB5079" w:rsidRDefault="00EB5079">
      <w:pPr>
        <w:spacing w:line="600" w:lineRule="exact"/>
        <w:rPr>
          <w:rFonts w:ascii="仿宋_GB2312" w:eastAsia="仿宋_GB2312" w:hAnsi="仿宋_GB2312" w:cs="仿宋_GB2312"/>
          <w:sz w:val="32"/>
          <w:szCs w:val="32"/>
        </w:rPr>
      </w:pPr>
    </w:p>
    <w:p w14:paraId="24EB6962" w14:textId="77777777" w:rsidR="00EB5079" w:rsidRDefault="00EB5079">
      <w:pPr>
        <w:spacing w:line="600" w:lineRule="exact"/>
        <w:rPr>
          <w:rFonts w:ascii="仿宋_GB2312" w:eastAsia="仿宋_GB2312" w:hAnsi="仿宋_GB2312" w:cs="仿宋_GB2312"/>
          <w:sz w:val="32"/>
          <w:szCs w:val="32"/>
        </w:rPr>
      </w:pPr>
    </w:p>
    <w:p w14:paraId="7636890C" w14:textId="77777777" w:rsidR="00EB5079" w:rsidRPr="00F8058E" w:rsidRDefault="00EB5079" w:rsidP="00EB5079">
      <w:pPr>
        <w:spacing w:line="480" w:lineRule="exact"/>
        <w:rPr>
          <w:rFonts w:ascii="仿宋_GB2312" w:eastAsia="仿宋_GB2312"/>
          <w:color w:val="000000"/>
          <w:sz w:val="28"/>
          <w:szCs w:val="28"/>
        </w:rPr>
      </w:pPr>
    </w:p>
    <w:p w14:paraId="25349742" w14:textId="77777777" w:rsidR="00EB5079" w:rsidRDefault="00EB5079" w:rsidP="00EB5079">
      <w:pPr>
        <w:spacing w:line="480" w:lineRule="exact"/>
        <w:rPr>
          <w:rFonts w:ascii="仿宋_GB2312" w:eastAsia="仿宋_GB2312"/>
          <w:color w:val="000000"/>
          <w:sz w:val="28"/>
          <w:szCs w:val="28"/>
        </w:rPr>
      </w:pPr>
    </w:p>
    <w:p w14:paraId="6D9B893A" w14:textId="77777777" w:rsidR="00EB5079" w:rsidRDefault="00EB5079" w:rsidP="00EB5079">
      <w:pPr>
        <w:spacing w:line="480" w:lineRule="exact"/>
        <w:rPr>
          <w:rFonts w:ascii="仿宋_GB2312" w:eastAsia="仿宋_GB2312"/>
          <w:color w:val="000000"/>
          <w:sz w:val="28"/>
          <w:szCs w:val="28"/>
        </w:rPr>
      </w:pPr>
    </w:p>
    <w:p w14:paraId="02EC7680" w14:textId="77777777" w:rsidR="00EB5079" w:rsidRDefault="00EB5079" w:rsidP="00EB5079">
      <w:pPr>
        <w:spacing w:line="480" w:lineRule="exact"/>
        <w:rPr>
          <w:rFonts w:ascii="仿宋_GB2312" w:eastAsia="仿宋_GB2312"/>
          <w:color w:val="000000"/>
          <w:sz w:val="28"/>
          <w:szCs w:val="28"/>
        </w:rPr>
      </w:pPr>
    </w:p>
    <w:p w14:paraId="448ACCDD" w14:textId="77777777" w:rsidR="00EB5079" w:rsidRDefault="00EB5079" w:rsidP="00EB5079">
      <w:pPr>
        <w:spacing w:line="480" w:lineRule="exact"/>
        <w:rPr>
          <w:rFonts w:ascii="仿宋_GB2312" w:eastAsia="仿宋_GB2312"/>
          <w:color w:val="000000"/>
          <w:sz w:val="28"/>
          <w:szCs w:val="28"/>
        </w:rPr>
      </w:pPr>
    </w:p>
    <w:p w14:paraId="1BE21541" w14:textId="77777777" w:rsidR="00EB5079" w:rsidRDefault="00EB5079" w:rsidP="00EB5079">
      <w:pPr>
        <w:spacing w:line="480" w:lineRule="exact"/>
        <w:rPr>
          <w:rFonts w:ascii="仿宋_GB2312" w:eastAsia="仿宋_GB2312"/>
          <w:color w:val="000000"/>
          <w:sz w:val="28"/>
          <w:szCs w:val="28"/>
        </w:rPr>
      </w:pPr>
    </w:p>
    <w:p w14:paraId="4B56165C" w14:textId="77777777" w:rsidR="00EB5079" w:rsidRDefault="00EB5079" w:rsidP="00EB5079">
      <w:pPr>
        <w:spacing w:line="480" w:lineRule="exact"/>
        <w:rPr>
          <w:rFonts w:ascii="仿宋_GB2312" w:eastAsia="仿宋_GB2312"/>
          <w:color w:val="000000"/>
          <w:sz w:val="28"/>
          <w:szCs w:val="28"/>
        </w:rPr>
      </w:pPr>
    </w:p>
    <w:p w14:paraId="40A4A6A8" w14:textId="77777777" w:rsidR="00EB5079" w:rsidRDefault="00EB5079" w:rsidP="00EB5079">
      <w:pPr>
        <w:spacing w:line="480" w:lineRule="exact"/>
        <w:rPr>
          <w:rFonts w:ascii="仿宋_GB2312" w:eastAsia="仿宋_GB2312"/>
          <w:color w:val="000000"/>
          <w:sz w:val="28"/>
          <w:szCs w:val="28"/>
        </w:rPr>
      </w:pPr>
    </w:p>
    <w:p w14:paraId="079A4FB4" w14:textId="77777777" w:rsidR="00EB5079" w:rsidRDefault="00EB5079" w:rsidP="00EB5079">
      <w:pPr>
        <w:spacing w:line="480" w:lineRule="exact"/>
        <w:rPr>
          <w:rFonts w:ascii="仿宋_GB2312" w:eastAsia="仿宋_GB2312"/>
          <w:color w:val="000000"/>
          <w:sz w:val="28"/>
          <w:szCs w:val="28"/>
        </w:rPr>
      </w:pPr>
    </w:p>
    <w:p w14:paraId="45F0699B" w14:textId="77777777" w:rsidR="00EB5079" w:rsidRDefault="00EB5079" w:rsidP="00EB5079">
      <w:pPr>
        <w:spacing w:line="480" w:lineRule="exact"/>
        <w:rPr>
          <w:rFonts w:ascii="仿宋_GB2312" w:eastAsia="仿宋_GB2312"/>
          <w:color w:val="000000"/>
          <w:sz w:val="28"/>
          <w:szCs w:val="28"/>
        </w:rPr>
      </w:pPr>
    </w:p>
    <w:p w14:paraId="33104882" w14:textId="77777777" w:rsidR="00EB5079" w:rsidRDefault="00EB5079" w:rsidP="00EB5079">
      <w:pPr>
        <w:spacing w:line="480" w:lineRule="exact"/>
        <w:rPr>
          <w:rFonts w:ascii="仿宋_GB2312" w:eastAsia="仿宋_GB2312"/>
          <w:color w:val="000000"/>
          <w:sz w:val="28"/>
          <w:szCs w:val="28"/>
        </w:rPr>
      </w:pPr>
    </w:p>
    <w:p w14:paraId="12BA7DF8" w14:textId="77777777" w:rsidR="00EB5079" w:rsidRDefault="00EB5079" w:rsidP="00EB5079">
      <w:pPr>
        <w:spacing w:line="480" w:lineRule="exact"/>
        <w:rPr>
          <w:rFonts w:ascii="仿宋_GB2312" w:eastAsia="仿宋_GB2312"/>
          <w:color w:val="000000"/>
          <w:sz w:val="28"/>
          <w:szCs w:val="28"/>
        </w:rPr>
      </w:pPr>
    </w:p>
    <w:p w14:paraId="177F454C" w14:textId="77777777" w:rsidR="00EB5079" w:rsidRDefault="00EB5079" w:rsidP="00EB5079">
      <w:pPr>
        <w:spacing w:line="480" w:lineRule="exact"/>
        <w:rPr>
          <w:rFonts w:ascii="仿宋_GB2312" w:eastAsia="仿宋_GB2312"/>
          <w:color w:val="000000"/>
          <w:sz w:val="28"/>
          <w:szCs w:val="28"/>
        </w:rPr>
      </w:pPr>
    </w:p>
    <w:p w14:paraId="089242EA" w14:textId="77777777" w:rsidR="00EB5079" w:rsidRPr="00F8058E" w:rsidRDefault="00EB5079" w:rsidP="00EB5079">
      <w:pPr>
        <w:spacing w:line="480" w:lineRule="exact"/>
        <w:rPr>
          <w:rFonts w:ascii="仿宋_GB2312" w:eastAsia="仿宋_GB2312"/>
          <w:color w:val="000000"/>
          <w:sz w:val="28"/>
          <w:szCs w:val="28"/>
        </w:rPr>
      </w:pPr>
    </w:p>
    <w:tbl>
      <w:tblPr>
        <w:tblW w:w="8789" w:type="dxa"/>
        <w:jc w:val="center"/>
        <w:tblCellMar>
          <w:left w:w="0" w:type="dxa"/>
          <w:right w:w="0" w:type="dxa"/>
        </w:tblCellMar>
        <w:tblLook w:val="00A0" w:firstRow="1" w:lastRow="0" w:firstColumn="1" w:lastColumn="0" w:noHBand="0" w:noVBand="0"/>
      </w:tblPr>
      <w:tblGrid>
        <w:gridCol w:w="8789"/>
      </w:tblGrid>
      <w:tr w:rsidR="00EB5079" w:rsidRPr="00F8058E" w14:paraId="05105902" w14:textId="77777777" w:rsidTr="00067DA0">
        <w:trPr>
          <w:jc w:val="center"/>
        </w:trPr>
        <w:tc>
          <w:tcPr>
            <w:tcW w:w="8789" w:type="dxa"/>
            <w:tcBorders>
              <w:top w:val="single" w:sz="8" w:space="0" w:color="auto"/>
              <w:left w:val="nil"/>
              <w:bottom w:val="single" w:sz="8" w:space="0" w:color="auto"/>
              <w:right w:val="nil"/>
            </w:tcBorders>
            <w:tcMar>
              <w:top w:w="0" w:type="dxa"/>
              <w:left w:w="108" w:type="dxa"/>
              <w:bottom w:w="0" w:type="dxa"/>
              <w:right w:w="108" w:type="dxa"/>
            </w:tcMar>
          </w:tcPr>
          <w:p w14:paraId="6E1DB75D" w14:textId="77777777" w:rsidR="00EB5079" w:rsidRPr="00F8058E" w:rsidRDefault="00EB5079" w:rsidP="00EB5079">
            <w:pPr>
              <w:spacing w:line="480" w:lineRule="exact"/>
              <w:ind w:right="210"/>
              <w:jc w:val="left"/>
              <w:rPr>
                <w:rFonts w:ascii="仿宋_GB2312" w:eastAsia="仿宋_GB2312" w:hAnsi="宋体" w:cs="宋体"/>
                <w:color w:val="000000"/>
                <w:kern w:val="0"/>
                <w:sz w:val="28"/>
                <w:szCs w:val="28"/>
              </w:rPr>
            </w:pPr>
            <w:r w:rsidRPr="00F8058E">
              <w:rPr>
                <w:rFonts w:ascii="仿宋_GB2312" w:eastAsia="仿宋_GB2312" w:hAnsi="宋体" w:cs="宋体" w:hint="eastAsia"/>
                <w:color w:val="000000"/>
                <w:kern w:val="0"/>
                <w:sz w:val="28"/>
                <w:szCs w:val="28"/>
              </w:rPr>
              <w:t xml:space="preserve"> 湖南省人民防空办公室</w:t>
            </w:r>
            <w:r w:rsidRPr="00F8058E">
              <w:rPr>
                <w:rFonts w:ascii="仿宋_GB2312" w:eastAsia="仿宋_GB2312" w:hAnsi="宋体" w:cs="宋体"/>
                <w:color w:val="000000"/>
                <w:kern w:val="0"/>
                <w:sz w:val="28"/>
                <w:szCs w:val="28"/>
              </w:rPr>
              <w:t>  </w:t>
            </w:r>
            <w:r w:rsidRPr="00F8058E">
              <w:rPr>
                <w:rFonts w:ascii="仿宋_GB2312" w:eastAsia="仿宋_GB2312" w:hAnsi="宋体" w:cs="宋体" w:hint="eastAsia"/>
                <w:color w:val="000000"/>
                <w:kern w:val="0"/>
                <w:sz w:val="28"/>
                <w:szCs w:val="28"/>
              </w:rPr>
              <w:t xml:space="preserve">            </w:t>
            </w:r>
            <w:r w:rsidRPr="00F8058E">
              <w:rPr>
                <w:rFonts w:ascii="仿宋_GB2312" w:eastAsia="仿宋_GB2312" w:hAnsi="宋体" w:cs="宋体"/>
                <w:color w:val="000000"/>
                <w:kern w:val="0"/>
                <w:sz w:val="28"/>
                <w:szCs w:val="28"/>
              </w:rPr>
              <w:t> </w:t>
            </w:r>
            <w:r w:rsidRPr="00F8058E">
              <w:rPr>
                <w:rFonts w:ascii="仿宋_GB2312" w:eastAsia="仿宋_GB2312" w:hAnsi="宋体" w:cs="宋体"/>
                <w:color w:val="000000"/>
                <w:kern w:val="0"/>
                <w:sz w:val="28"/>
                <w:szCs w:val="28"/>
              </w:rPr>
              <w:t>2020</w:t>
            </w:r>
            <w:r w:rsidRPr="00F8058E">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rPr>
              <w:t>6</w:t>
            </w:r>
            <w:r w:rsidRPr="00F8058E">
              <w:rPr>
                <w:rFonts w:ascii="仿宋_GB2312" w:eastAsia="仿宋_GB2312" w:hAnsi="宋体" w:cs="宋体" w:hint="eastAsia"/>
                <w:color w:val="000000"/>
                <w:kern w:val="0"/>
                <w:sz w:val="28"/>
                <w:szCs w:val="28"/>
              </w:rPr>
              <w:t>月</w:t>
            </w:r>
            <w:r w:rsidRPr="00F8058E">
              <w:rPr>
                <w:rFonts w:ascii="仿宋_GB2312" w:eastAsia="仿宋_GB2312" w:hAnsi="宋体" w:cs="宋体"/>
                <w:color w:val="000000"/>
                <w:kern w:val="0"/>
                <w:sz w:val="28"/>
                <w:szCs w:val="28"/>
              </w:rPr>
              <w:t>1</w:t>
            </w:r>
            <w:r w:rsidRPr="00F8058E">
              <w:rPr>
                <w:rFonts w:ascii="仿宋_GB2312" w:eastAsia="仿宋_GB2312" w:hAnsi="宋体" w:cs="宋体" w:hint="eastAsia"/>
                <w:color w:val="000000"/>
                <w:kern w:val="0"/>
                <w:sz w:val="28"/>
                <w:szCs w:val="28"/>
              </w:rPr>
              <w:t>日印发</w:t>
            </w:r>
          </w:p>
        </w:tc>
      </w:tr>
    </w:tbl>
    <w:p w14:paraId="5F335CB2" w14:textId="77777777" w:rsidR="00EB5079" w:rsidRPr="00EB5079" w:rsidRDefault="00EB5079" w:rsidP="00EB5079">
      <w:pPr>
        <w:spacing w:line="400" w:lineRule="exact"/>
        <w:rPr>
          <w:rFonts w:ascii="仿宋_GB2312" w:eastAsia="仿宋_GB2312" w:hAnsi="仿宋_GB2312" w:cs="仿宋_GB2312"/>
          <w:sz w:val="32"/>
          <w:szCs w:val="32"/>
        </w:rPr>
      </w:pPr>
    </w:p>
    <w:sectPr w:rsidR="00EB5079" w:rsidRPr="00EB5079" w:rsidSect="0026525D">
      <w:pgSz w:w="11906" w:h="16838"/>
      <w:pgMar w:top="1928"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F40A8" w14:textId="77777777" w:rsidR="00C225ED" w:rsidRDefault="00C225ED" w:rsidP="00891BB2">
      <w:r>
        <w:separator/>
      </w:r>
    </w:p>
  </w:endnote>
  <w:endnote w:type="continuationSeparator" w:id="0">
    <w:p w14:paraId="4E901665" w14:textId="77777777" w:rsidR="00C225ED" w:rsidRDefault="00C225ED" w:rsidP="0089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85722" w14:textId="77777777" w:rsidR="00C225ED" w:rsidRDefault="00C225ED" w:rsidP="00891BB2">
      <w:r>
        <w:separator/>
      </w:r>
    </w:p>
  </w:footnote>
  <w:footnote w:type="continuationSeparator" w:id="0">
    <w:p w14:paraId="21E13A03" w14:textId="77777777" w:rsidR="00C225ED" w:rsidRDefault="00C225ED" w:rsidP="00891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480EC2"/>
    <w:rsid w:val="0026525D"/>
    <w:rsid w:val="007D5FCA"/>
    <w:rsid w:val="00891BB2"/>
    <w:rsid w:val="008E1B04"/>
    <w:rsid w:val="00C225ED"/>
    <w:rsid w:val="00EB5079"/>
    <w:rsid w:val="0263174B"/>
    <w:rsid w:val="03E3089C"/>
    <w:rsid w:val="0475754E"/>
    <w:rsid w:val="04985EAE"/>
    <w:rsid w:val="050F599B"/>
    <w:rsid w:val="055723D4"/>
    <w:rsid w:val="06285B93"/>
    <w:rsid w:val="0636297B"/>
    <w:rsid w:val="08AC59CF"/>
    <w:rsid w:val="09AA5A48"/>
    <w:rsid w:val="0A982790"/>
    <w:rsid w:val="0BB85405"/>
    <w:rsid w:val="0E1158FD"/>
    <w:rsid w:val="0F480EC2"/>
    <w:rsid w:val="10031E05"/>
    <w:rsid w:val="1176242F"/>
    <w:rsid w:val="11CE2E2A"/>
    <w:rsid w:val="13395217"/>
    <w:rsid w:val="1384162B"/>
    <w:rsid w:val="1CCC4F2F"/>
    <w:rsid w:val="1D120EBC"/>
    <w:rsid w:val="1E48388D"/>
    <w:rsid w:val="1F590668"/>
    <w:rsid w:val="201E6E37"/>
    <w:rsid w:val="22261BB4"/>
    <w:rsid w:val="22922655"/>
    <w:rsid w:val="23407375"/>
    <w:rsid w:val="23D64F6D"/>
    <w:rsid w:val="24CE1B6C"/>
    <w:rsid w:val="26017B57"/>
    <w:rsid w:val="26B2646F"/>
    <w:rsid w:val="27FA0943"/>
    <w:rsid w:val="2D2B4364"/>
    <w:rsid w:val="2E051D0F"/>
    <w:rsid w:val="2E5B4033"/>
    <w:rsid w:val="30FF77F5"/>
    <w:rsid w:val="31825F1E"/>
    <w:rsid w:val="34EF52E6"/>
    <w:rsid w:val="36212B6E"/>
    <w:rsid w:val="371B727F"/>
    <w:rsid w:val="371E0429"/>
    <w:rsid w:val="38F44245"/>
    <w:rsid w:val="3C972E48"/>
    <w:rsid w:val="3E1332BB"/>
    <w:rsid w:val="408B3E34"/>
    <w:rsid w:val="40981A8F"/>
    <w:rsid w:val="40996BFD"/>
    <w:rsid w:val="447C29DF"/>
    <w:rsid w:val="44925D49"/>
    <w:rsid w:val="454A2189"/>
    <w:rsid w:val="46AD0A73"/>
    <w:rsid w:val="46C91F68"/>
    <w:rsid w:val="49A54D07"/>
    <w:rsid w:val="4AB450A5"/>
    <w:rsid w:val="4BEB616E"/>
    <w:rsid w:val="4C3845AE"/>
    <w:rsid w:val="4D1F32EC"/>
    <w:rsid w:val="4DAA1E91"/>
    <w:rsid w:val="4EC175F8"/>
    <w:rsid w:val="50922348"/>
    <w:rsid w:val="50FC2DA4"/>
    <w:rsid w:val="51352BBE"/>
    <w:rsid w:val="518C4783"/>
    <w:rsid w:val="51A35ADF"/>
    <w:rsid w:val="54B24031"/>
    <w:rsid w:val="55074096"/>
    <w:rsid w:val="550C37C8"/>
    <w:rsid w:val="55622D02"/>
    <w:rsid w:val="564F7302"/>
    <w:rsid w:val="56A47482"/>
    <w:rsid w:val="56AC73A2"/>
    <w:rsid w:val="5946141E"/>
    <w:rsid w:val="596F781A"/>
    <w:rsid w:val="59AC0CAA"/>
    <w:rsid w:val="5A483F7C"/>
    <w:rsid w:val="5A7228AB"/>
    <w:rsid w:val="5AFD72F2"/>
    <w:rsid w:val="5C103C8D"/>
    <w:rsid w:val="5C115B33"/>
    <w:rsid w:val="5D0D7D9A"/>
    <w:rsid w:val="5E502AF7"/>
    <w:rsid w:val="605A4B47"/>
    <w:rsid w:val="60757FE7"/>
    <w:rsid w:val="622E3E6A"/>
    <w:rsid w:val="62B6302D"/>
    <w:rsid w:val="65C94795"/>
    <w:rsid w:val="666345E9"/>
    <w:rsid w:val="697E4F26"/>
    <w:rsid w:val="69C47940"/>
    <w:rsid w:val="69F67284"/>
    <w:rsid w:val="6A03170B"/>
    <w:rsid w:val="6B7B42D4"/>
    <w:rsid w:val="6D0052B2"/>
    <w:rsid w:val="6D9D6A24"/>
    <w:rsid w:val="6E3F3A39"/>
    <w:rsid w:val="721A5328"/>
    <w:rsid w:val="75925360"/>
    <w:rsid w:val="75CD5D60"/>
    <w:rsid w:val="765206DC"/>
    <w:rsid w:val="76C124C7"/>
    <w:rsid w:val="76C1265A"/>
    <w:rsid w:val="78077BA9"/>
    <w:rsid w:val="78A83BD1"/>
    <w:rsid w:val="7A3B42CD"/>
    <w:rsid w:val="7B2D028C"/>
    <w:rsid w:val="7CB77BFB"/>
    <w:rsid w:val="7D9E5045"/>
    <w:rsid w:val="7E395CF1"/>
    <w:rsid w:val="7E683FC1"/>
    <w:rsid w:val="7EE50F96"/>
    <w:rsid w:val="7F7F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87377"/>
  <w15:docId w15:val="{E0560654-A941-4951-AD26-8B376497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1B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91BB2"/>
    <w:rPr>
      <w:kern w:val="2"/>
      <w:sz w:val="18"/>
      <w:szCs w:val="18"/>
    </w:rPr>
  </w:style>
  <w:style w:type="paragraph" w:styleId="a5">
    <w:name w:val="footer"/>
    <w:basedOn w:val="a"/>
    <w:link w:val="a6"/>
    <w:unhideWhenUsed/>
    <w:rsid w:val="00891BB2"/>
    <w:pPr>
      <w:tabs>
        <w:tab w:val="center" w:pos="4153"/>
        <w:tab w:val="right" w:pos="8306"/>
      </w:tabs>
      <w:snapToGrid w:val="0"/>
      <w:jc w:val="left"/>
    </w:pPr>
    <w:rPr>
      <w:sz w:val="18"/>
      <w:szCs w:val="18"/>
    </w:rPr>
  </w:style>
  <w:style w:type="character" w:customStyle="1" w:styleId="a6">
    <w:name w:val="页脚 字符"/>
    <w:basedOn w:val="a0"/>
    <w:link w:val="a5"/>
    <w:rsid w:val="00891B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174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陈曦</dc:creator>
  <cp:lastModifiedBy> </cp:lastModifiedBy>
  <cp:revision>2</cp:revision>
  <cp:lastPrinted>2020-06-01T02:39:00Z</cp:lastPrinted>
  <dcterms:created xsi:type="dcterms:W3CDTF">2020-09-16T03:05:00Z</dcterms:created>
  <dcterms:modified xsi:type="dcterms:W3CDTF">2020-09-16T03:05:00Z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