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hint="default" w:hAnsi="黑体" w:eastAsia="黑体"/>
          <w:lang w:val="en-US" w:eastAsia="zh-CN"/>
        </w:rPr>
      </w:pPr>
      <w:r>
        <w:rPr>
          <w:rFonts w:hint="eastAsia" w:hAnsi="黑体" w:eastAsia="黑体"/>
          <w:lang w:val="en-US" w:eastAsia="zh-CN"/>
        </w:rPr>
        <w:t>HNPR-2025-13003</w:t>
      </w:r>
    </w:p>
    <w:p>
      <w:pPr>
        <w:snapToGrid w:val="0"/>
        <w:rPr>
          <w:rFonts w:eastAsia="黑体"/>
        </w:rPr>
      </w:pPr>
    </w:p>
    <w:p>
      <w:pPr>
        <w:snapToGrid w:val="0"/>
        <w:rPr>
          <w:rFonts w:eastAsia="黑体"/>
        </w:rPr>
      </w:pPr>
    </w:p>
    <w:p>
      <w:pPr>
        <w:snapToGrid w:val="0"/>
        <w:rPr>
          <w:rFonts w:eastAsia="黑体"/>
        </w:rPr>
      </w:pPr>
      <w:bookmarkStart w:id="0" w:name="_GoBack"/>
      <w:bookmarkEnd w:id="0"/>
    </w:p>
    <w:p/>
    <w:p>
      <w:pPr>
        <w:spacing w:after="115" w:afterLines="20"/>
        <w:jc w:val="center"/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eastAsia="zh-CN"/>
        </w:rPr>
        <w:t>湘环发〔2025〕4号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800" w:beforeAutospacing="0" w:after="600" w:afterAutospacing="0" w:line="8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spacing w:val="0"/>
          <w:sz w:val="44"/>
          <w:szCs w:val="44"/>
          <w:shd w:val="clear" w:color="auto" w:fill="FFFFFF"/>
          <w:lang w:val="en-US" w:eastAsia="zh-CN"/>
        </w:rPr>
        <w:t>湖南省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spacing w:val="0"/>
          <w:sz w:val="44"/>
          <w:szCs w:val="44"/>
          <w:shd w:val="clear" w:color="auto" w:fill="FFFFFF"/>
        </w:rPr>
        <w:t>生态环境厅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spacing w:val="0"/>
          <w:sz w:val="44"/>
          <w:szCs w:val="44"/>
          <w:shd w:val="clear" w:color="auto" w:fill="FFFFFF"/>
        </w:rPr>
        <w:br w:type="textWrapping"/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spacing w:val="0"/>
          <w:sz w:val="44"/>
          <w:szCs w:val="44"/>
          <w:shd w:val="clear" w:color="auto" w:fill="FFFFFF"/>
        </w:rPr>
        <w:t>关于继续开展小微企业危险废物收集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spacing w:val="0"/>
          <w:sz w:val="44"/>
          <w:szCs w:val="44"/>
          <w:shd w:val="clear" w:color="auto" w:fill="FFFFFF"/>
        </w:rPr>
        <w:br w:type="textWrapping"/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spacing w:val="0"/>
          <w:sz w:val="44"/>
          <w:szCs w:val="44"/>
          <w:shd w:val="clear" w:color="auto" w:fill="FFFFFF"/>
        </w:rPr>
        <w:t>试点工作的通知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lang w:val="en-US" w:eastAsia="zh-CN" w:bidi="ar"/>
        </w:rPr>
        <w:t>各市州生态环境局：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36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《湖南省小微企业危险废物收集试点工作方案》（湘环发〔2022〕62号，以下简称《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试点方案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》）印发实施以来，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各市州积极推动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小微企业危险废物收集体系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建设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，全面规范危险废物收集行为，有效打通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了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小微企业危险废物收运“最后一公里”，试点工作取得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积极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成效。为巩固提升试点工作成效，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按照生态环境部办公厅《关于继续开展小微企业危险废物收集试点工作的通知》（环办固体函〔2023〕366号）要求，经研究，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决定继续开展小微企业危险废物收集试点工作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现将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有关要求通知如下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36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一、试点工作要求与《试点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方案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》一致，试点时间延长至2025年12月31日。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各市州要认真总结前期工作经验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严格按照报省厅备案的小微企业危险废物收集试点建设方案内容，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加强审核把关，做好指导帮扶，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继续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推动试点工作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36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二、继续加强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" w:eastAsia="zh-CN"/>
        </w:rPr>
        <w:t>小微企业危险废物收集体系建设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力度，少数原有收集单位试点期间未纳入规划布局的，按照一个法人主体下，“1（1个收集试点）+N（多个延伸收集点）”模式整合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" w:eastAsia="zh-CN"/>
        </w:rPr>
        <w:t>优化提升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，其中收集试点建设应符合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《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试点方案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》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要求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，延伸收集点类别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" w:eastAsia="zh-CN"/>
        </w:rPr>
        <w:t>依法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限定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" w:eastAsia="zh-CN"/>
        </w:rPr>
        <w:t>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废矿物油和废镉镍电池。原废铅蓄电池收集试点原则上平移整合至试点收集单位，国家和省另有规定的，从其规定。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36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三、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督促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试点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收集单位严格落实《危险废物贮存污染控制标准》《危险废物管理计划和管理台账制定技术导则》《危险废物识别标志设置技术规范》等有关要求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，强化信息系统升级，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积极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采用电子地磅、电子标签、电子管理台账等技术手段加强危险废物信息化环境管理，严禁对危险废物开展预处理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、混合贮存和丢弃、遗撒。危险废物转移应遵循就近原则，鼓励优先选取省内危险废物利用处置单位，减少大规模、长距离运输，降低环境风险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36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四、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明确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试点收集单位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收集范围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危险废物年产生总量10吨以下的小微企业，同时兼顾社会源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机关事业单位和学校等，以及年委托外单位利用处置总量10吨以下的其他单位。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对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年产生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"/>
        </w:rPr>
        <w:t>总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量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"/>
        </w:rPr>
        <w:t>或委外量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大于10吨的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工业源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危险废物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产废单位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其年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总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量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大于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10吨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且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20吨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" w:eastAsia="zh-CN"/>
        </w:rPr>
        <w:t>以下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的劳保用品、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废矿物油、废包装容器及沾染物、实验室废物、在线监测废液、废荧光灯管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、废铅蓄电池等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7种危险废物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一并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纳入收集范围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36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五、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" w:eastAsia="zh-CN"/>
        </w:rPr>
        <w:t>明确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试点收集单位应履行小微企业危险废物收集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应收尽收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责任，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不得违法违规对服务对象、危险废物种类进行选择性收集、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不得对收集服务附加不合理条件、不得以区域和整合为由进行收集和价格等垄断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鼓励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试点收集单位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为小微企业提供危险废物管理计划和管理台账制定、危险废物申报、危险废物标签二维码生成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、危险废物规范化管理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等危险废物方面的延伸服务。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36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六、实行试点收集单位动态管理机制，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除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符合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生态环境保护相关要求外，还应执行国家安全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生产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、职业健康、交通运输、消防等法律法规和标准的相关要求。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对不满足建设和运营管理要求的，非法收集转运和利用处置危险废物的，引发环境污染事故或者安全事故的，中止其试点收集，依法依规予以调查处理，对涉嫌犯罪的，依法移送公安机关。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七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、各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市州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"/>
        </w:rPr>
        <w:t>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强化对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试点收集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单位的环境监督管理，将收集单位纳入危险废物环境重点监管单位加强监管，并作为危险废物规范化环境管理评估重点。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同时，及时评估总结试点工作成效，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于2025年12月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15日前将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试点工作总结报送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省厅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firstLine="636" w:firstLineChars="200"/>
        <w:jc w:val="both"/>
        <w:textAlignment w:val="auto"/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本通知自公布之日起实施，有效期至2025年12月31日。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firstLine="636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firstLine="636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3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firstLine="5088" w:firstLineChars="16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湖南省生态环境厅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right="0" w:firstLine="5088" w:firstLineChars="1600"/>
        <w:jc w:val="both"/>
        <w:textAlignment w:val="auto"/>
        <w:rPr>
          <w:rFonts w:hint="default"/>
          <w:color w:val="auto"/>
          <w:lang w:val="en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2025年1月3日    </w:t>
      </w:r>
    </w:p>
    <w:p>
      <w:pPr>
        <w:snapToGrid w:val="0"/>
        <w:spacing w:line="580" w:lineRule="exact"/>
        <w:jc w:val="center"/>
        <w:rPr>
          <w:rFonts w:ascii="仿宋_GB2312" w:hAnsi="仿宋"/>
          <w:szCs w:val="32"/>
        </w:rPr>
      </w:pPr>
    </w:p>
    <w:p>
      <w:pPr>
        <w:snapToGrid w:val="0"/>
        <w:spacing w:line="580" w:lineRule="exact"/>
        <w:rPr>
          <w:rFonts w:ascii="仿宋_GB2312" w:hAnsi="仿宋"/>
          <w:szCs w:val="32"/>
        </w:rPr>
      </w:pPr>
    </w:p>
    <w:p>
      <w:pPr>
        <w:snapToGrid w:val="0"/>
        <w:spacing w:line="580" w:lineRule="exact"/>
        <w:rPr>
          <w:rFonts w:ascii="仿宋_GB2312" w:hAnsi="仿宋"/>
          <w:szCs w:val="32"/>
        </w:rPr>
      </w:pPr>
    </w:p>
    <w:p>
      <w:pPr>
        <w:pStyle w:val="2"/>
        <w:rPr>
          <w:rFonts w:ascii="仿宋_GB2312" w:hAnsi="仿宋"/>
          <w:szCs w:val="32"/>
        </w:rPr>
      </w:pPr>
    </w:p>
    <w:p>
      <w:pPr>
        <w:pStyle w:val="3"/>
        <w:rPr>
          <w:rFonts w:ascii="仿宋_GB2312" w:hAnsi="仿宋"/>
          <w:szCs w:val="32"/>
        </w:rPr>
      </w:pPr>
    </w:p>
    <w:p>
      <w:pPr>
        <w:rPr>
          <w:rFonts w:ascii="仿宋_GB2312" w:hAnsi="仿宋"/>
          <w:szCs w:val="32"/>
        </w:rPr>
      </w:pPr>
    </w:p>
    <w:p>
      <w:pPr>
        <w:pStyle w:val="2"/>
        <w:rPr>
          <w:rFonts w:ascii="仿宋_GB2312" w:hAnsi="仿宋"/>
          <w:szCs w:val="32"/>
        </w:rPr>
      </w:pPr>
    </w:p>
    <w:p>
      <w:pPr>
        <w:pStyle w:val="3"/>
        <w:rPr>
          <w:rFonts w:ascii="仿宋_GB2312" w:hAnsi="仿宋"/>
          <w:szCs w:val="32"/>
        </w:rPr>
      </w:pPr>
    </w:p>
    <w:p>
      <w:pPr>
        <w:rPr>
          <w:rFonts w:ascii="仿宋_GB2312" w:hAnsi="仿宋"/>
          <w:szCs w:val="32"/>
        </w:rPr>
      </w:pPr>
    </w:p>
    <w:p>
      <w:pPr>
        <w:pStyle w:val="2"/>
        <w:rPr>
          <w:rFonts w:ascii="仿宋_GB2312" w:hAnsi="仿宋"/>
          <w:szCs w:val="32"/>
        </w:rPr>
      </w:pPr>
    </w:p>
    <w:p>
      <w:pPr>
        <w:pStyle w:val="3"/>
        <w:rPr>
          <w:rFonts w:ascii="仿宋_GB2312" w:hAnsi="仿宋"/>
          <w:szCs w:val="32"/>
        </w:rPr>
      </w:pPr>
    </w:p>
    <w:p/>
    <w:p>
      <w:pPr>
        <w:pStyle w:val="2"/>
        <w:rPr>
          <w:rFonts w:ascii="仿宋_GB2312" w:hAnsi="仿宋"/>
          <w:szCs w:val="32"/>
        </w:rPr>
      </w:pPr>
    </w:p>
    <w:p>
      <w:pPr>
        <w:pStyle w:val="3"/>
        <w:spacing w:line="200" w:lineRule="exact"/>
        <w:ind w:left="0"/>
      </w:pPr>
    </w:p>
    <w:tbl>
      <w:tblPr>
        <w:tblStyle w:val="9"/>
        <w:tblW w:w="8845" w:type="dxa"/>
        <w:jc w:val="center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2"/>
        <w:gridCol w:w="3333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512" w:type="dxa"/>
            <w:vAlign w:val="center"/>
          </w:tcPr>
          <w:p>
            <w:pPr>
              <w:snapToGrid w:val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湖南省生态环境厅办公室</w:t>
            </w:r>
          </w:p>
        </w:tc>
        <w:tc>
          <w:tcPr>
            <w:tcW w:w="3333" w:type="dxa"/>
            <w:vAlign w:val="center"/>
          </w:tcPr>
          <w:p>
            <w:pPr>
              <w:snapToGrid w:val="0"/>
              <w:ind w:right="159" w:rightChars="50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2025年1月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印发　</w:t>
            </w:r>
          </w:p>
        </w:tc>
      </w:tr>
    </w:tbl>
    <w:p>
      <w:pPr>
        <w:snapToGrid w:val="0"/>
        <w:spacing w:line="20" w:lineRule="exact"/>
        <w:rPr>
          <w:rFonts w:ascii="仿宋_GB2312" w:hAnsi="仿宋"/>
          <w:szCs w:val="32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985" w:right="1474" w:bottom="1985" w:left="1531" w:header="851" w:footer="1247" w:gutter="0"/>
      <w:pgNumType w:fmt="numberInDash"/>
      <w:cols w:space="425" w:num="1"/>
      <w:titlePg/>
      <w:docGrid w:type="linesAndChars" w:linePitch="579" w:charSpace="-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wordWrap w:val="0"/>
                            <w:jc w:val="right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wordWrap w:val="0"/>
                      <w:jc w:val="right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tabs>
        <w:tab w:val="clear" w:pos="4153"/>
        <w:tab w:val="clear" w:pos="8306"/>
      </w:tabs>
      <w:ind w:left="350"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trackRevisions w:val="true"/>
  <w:documentProtection w:enforcement="0"/>
  <w:defaultTabStop w:val="420"/>
  <w:evenAndOddHeaders w:val="true"/>
  <w:drawingGridHorizontalSpacing w:val="159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1F"/>
    <w:rsid w:val="0002463F"/>
    <w:rsid w:val="00046FFC"/>
    <w:rsid w:val="000D421B"/>
    <w:rsid w:val="000F002F"/>
    <w:rsid w:val="00103156"/>
    <w:rsid w:val="0018581E"/>
    <w:rsid w:val="001B7B89"/>
    <w:rsid w:val="001D637E"/>
    <w:rsid w:val="00210E5D"/>
    <w:rsid w:val="0021142F"/>
    <w:rsid w:val="00225834"/>
    <w:rsid w:val="002569C4"/>
    <w:rsid w:val="00265411"/>
    <w:rsid w:val="002858D7"/>
    <w:rsid w:val="002E708B"/>
    <w:rsid w:val="003446CD"/>
    <w:rsid w:val="003D2BCA"/>
    <w:rsid w:val="00492FDA"/>
    <w:rsid w:val="004D3876"/>
    <w:rsid w:val="004D5D3C"/>
    <w:rsid w:val="00501A0E"/>
    <w:rsid w:val="00571B2A"/>
    <w:rsid w:val="00657C25"/>
    <w:rsid w:val="007075FE"/>
    <w:rsid w:val="00730B1E"/>
    <w:rsid w:val="00734B0F"/>
    <w:rsid w:val="00761658"/>
    <w:rsid w:val="007B7940"/>
    <w:rsid w:val="007C2CFD"/>
    <w:rsid w:val="007D13D3"/>
    <w:rsid w:val="008522D8"/>
    <w:rsid w:val="008B4592"/>
    <w:rsid w:val="008E28B6"/>
    <w:rsid w:val="008E3216"/>
    <w:rsid w:val="009703CE"/>
    <w:rsid w:val="009A7B6B"/>
    <w:rsid w:val="00A13100"/>
    <w:rsid w:val="00A73BC4"/>
    <w:rsid w:val="00A85E0A"/>
    <w:rsid w:val="00A93BCE"/>
    <w:rsid w:val="00AD7F40"/>
    <w:rsid w:val="00B926BF"/>
    <w:rsid w:val="00B948FB"/>
    <w:rsid w:val="00BA6C55"/>
    <w:rsid w:val="00BB42F4"/>
    <w:rsid w:val="00BB4E17"/>
    <w:rsid w:val="00C5168F"/>
    <w:rsid w:val="00C925DD"/>
    <w:rsid w:val="00CA567D"/>
    <w:rsid w:val="00CD25F6"/>
    <w:rsid w:val="00D47D1F"/>
    <w:rsid w:val="00D7681B"/>
    <w:rsid w:val="00D95457"/>
    <w:rsid w:val="00EC3822"/>
    <w:rsid w:val="00EE61B5"/>
    <w:rsid w:val="00F03766"/>
    <w:rsid w:val="00F0685D"/>
    <w:rsid w:val="00F42F7C"/>
    <w:rsid w:val="00F64505"/>
    <w:rsid w:val="00F730E5"/>
    <w:rsid w:val="02327544"/>
    <w:rsid w:val="03200E71"/>
    <w:rsid w:val="07315AFD"/>
    <w:rsid w:val="2C745756"/>
    <w:rsid w:val="3FA52E2E"/>
    <w:rsid w:val="5CBB1FB2"/>
    <w:rsid w:val="60BDBEA4"/>
    <w:rsid w:val="7B7F63F6"/>
    <w:rsid w:val="B1FFDF4E"/>
    <w:rsid w:val="BE55DC2B"/>
    <w:rsid w:val="EFCF957A"/>
    <w:rsid w:val="F3FF10D8"/>
    <w:rsid w:val="FF8FC135"/>
    <w:rsid w:val="FFEECEB2"/>
    <w:rsid w:val="FFF3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nhideWhenUsed="0" w:uiPriority="0" w:semiHidden="0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0"/>
      <w:sz w:val="32"/>
      <w:szCs w:val="20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index 7"/>
    <w:basedOn w:val="1"/>
    <w:next w:val="1"/>
    <w:qFormat/>
    <w:uiPriority w:val="0"/>
    <w:pPr>
      <w:widowControl w:val="0"/>
      <w:ind w:left="25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脚 Char"/>
    <w:basedOn w:val="10"/>
    <w:link w:val="5"/>
    <w:qFormat/>
    <w:uiPriority w:val="99"/>
    <w:rPr>
      <w:rFonts w:ascii="Times New Roman" w:hAnsi="Times New Roman" w:eastAsia="仿宋_GB2312" w:cs="Times New Roman"/>
      <w:sz w:val="18"/>
      <w:szCs w:val="20"/>
    </w:rPr>
  </w:style>
  <w:style w:type="character" w:customStyle="1" w:styleId="12">
    <w:name w:val="页眉 Char"/>
    <w:basedOn w:val="10"/>
    <w:link w:val="6"/>
    <w:qFormat/>
    <w:uiPriority w:val="0"/>
    <w:rPr>
      <w:rFonts w:ascii="Times New Roman" w:hAnsi="Times New Roman" w:eastAsia="仿宋_GB2312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47</Characters>
  <Lines>23</Lines>
  <Paragraphs>12</Paragraphs>
  <TotalTime>4</TotalTime>
  <ScaleCrop>false</ScaleCrop>
  <LinksUpToDate>false</LinksUpToDate>
  <CharactersWithSpaces>76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2017-03-07T06:02:00Z</dcterms:created>
  <dc:creator>陈炼</dc:creator>
  <cp:lastModifiedBy>kylin</cp:lastModifiedBy>
  <cp:lastPrinted>2017-03-10T19:07:00Z</cp:lastPrinted>
  <dcterms:modified xsi:type="dcterms:W3CDTF">2025-01-16T16:15:28Z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5F58A801862B3E4210C884676417CD01</vt:lpwstr>
  </property>
</Properties>
</file>