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4781" w:rsidRDefault="00000000">
      <w:pPr>
        <w:snapToGrid w:val="0"/>
        <w:spacing w:line="400" w:lineRule="exact"/>
        <w:rPr>
          <w:rFonts w:eastAsia="黑体" w:hAnsi="黑体"/>
          <w:lang w:val="en"/>
        </w:rPr>
      </w:pPr>
      <w:r>
        <w:rPr>
          <w:rFonts w:eastAsia="黑体" w:hAnsi="黑体"/>
          <w:lang w:val="en"/>
        </w:rPr>
        <w:t>HNPR-2022-13019</w:t>
      </w:r>
    </w:p>
    <w:p w:rsidR="00B74781" w:rsidRDefault="00B74781">
      <w:pPr>
        <w:snapToGrid w:val="0"/>
        <w:spacing w:line="300" w:lineRule="exact"/>
        <w:rPr>
          <w:rFonts w:eastAsia="黑体"/>
        </w:rPr>
      </w:pPr>
    </w:p>
    <w:p w:rsidR="00B74781" w:rsidRDefault="00B74781">
      <w:pPr>
        <w:snapToGrid w:val="0"/>
        <w:spacing w:line="300" w:lineRule="exact"/>
        <w:rPr>
          <w:rFonts w:eastAsia="黑体"/>
        </w:rPr>
      </w:pPr>
    </w:p>
    <w:p w:rsidR="00B74781" w:rsidRDefault="00B74781">
      <w:pPr>
        <w:snapToGrid w:val="0"/>
        <w:rPr>
          <w:rFonts w:eastAsia="黑体"/>
        </w:rPr>
      </w:pPr>
    </w:p>
    <w:p w:rsidR="00B74781" w:rsidRDefault="00B74781">
      <w:pPr>
        <w:spacing w:line="400" w:lineRule="exact"/>
      </w:pPr>
    </w:p>
    <w:p w:rsidR="00B74781" w:rsidRDefault="00000000">
      <w:pPr>
        <w:spacing w:afterLines="20" w:after="115"/>
        <w:jc w:val="center"/>
        <w:rPr>
          <w:rFonts w:ascii="仿宋_GB2312"/>
          <w:lang w:val="en"/>
        </w:rPr>
      </w:pPr>
      <w:proofErr w:type="gramStart"/>
      <w:r>
        <w:rPr>
          <w:rFonts w:ascii="仿宋_GB2312"/>
          <w:szCs w:val="32"/>
          <w:lang w:val="en"/>
        </w:rPr>
        <w:t>湘环发</w:t>
      </w:r>
      <w:proofErr w:type="gramEnd"/>
      <w:r>
        <w:rPr>
          <w:rFonts w:ascii="仿宋_GB2312"/>
          <w:szCs w:val="32"/>
          <w:lang w:val="en"/>
        </w:rPr>
        <w:t>〔2022〕98号</w:t>
      </w:r>
    </w:p>
    <w:p w:rsidR="00B74781" w:rsidRDefault="00000000">
      <w:pPr>
        <w:snapToGrid w:val="0"/>
        <w:spacing w:before="680" w:after="480" w:line="68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关于印发《</w:t>
      </w:r>
      <w:r>
        <w:rPr>
          <w:rFonts w:ascii="方正小标宋_GBK" w:eastAsia="方正小标宋_GBK" w:hAnsi="方正小标宋_GBK" w:cs="方正小标宋_GBK" w:hint="eastAsia"/>
          <w:sz w:val="40"/>
          <w:szCs w:val="40"/>
        </w:rPr>
        <w:t>湖南省重金属污染防控工作方案（2022-2025年）</w:t>
      </w:r>
      <w:r>
        <w:rPr>
          <w:rFonts w:ascii="方正小标宋_GBK" w:eastAsia="方正小标宋_GBK" w:hAnsi="方正小标宋_GBK" w:cs="方正小标宋_GBK" w:hint="eastAsia"/>
          <w:sz w:val="44"/>
          <w:szCs w:val="44"/>
        </w:rPr>
        <w:t>》的通知</w:t>
      </w:r>
    </w:p>
    <w:p w:rsidR="00B74781" w:rsidRDefault="00000000">
      <w:pPr>
        <w:pStyle w:val="Default"/>
        <w:spacing w:line="480" w:lineRule="exact"/>
        <w:jc w:val="both"/>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各市州生态环境局、发展改革委、工业和信息化局、财政局、自然资源和规划局、农业农村局、应急管理局、林业局、市场监督管理局、粮食和物资储备局：</w:t>
      </w:r>
    </w:p>
    <w:p w:rsidR="00B74781" w:rsidRDefault="00000000">
      <w:pPr>
        <w:pStyle w:val="Default"/>
        <w:spacing w:line="480" w:lineRule="exact"/>
        <w:ind w:firstLineChars="200" w:firstLine="636"/>
        <w:jc w:val="both"/>
        <w:rPr>
          <w:rFonts w:ascii="仿宋_GB2312" w:eastAsia="仿宋_GB2312" w:hAnsi="仿宋_GB2312" w:cs="仿宋_GB2312"/>
          <w:color w:val="auto"/>
          <w:kern w:val="2"/>
          <w:sz w:val="32"/>
          <w:szCs w:val="32"/>
        </w:rPr>
      </w:pPr>
      <w:r>
        <w:rPr>
          <w:rFonts w:ascii="仿宋_GB2312" w:eastAsia="仿宋_GB2312" w:hAnsi="仿宋_GB2312" w:cs="仿宋_GB2312" w:hint="eastAsia"/>
          <w:sz w:val="32"/>
          <w:szCs w:val="32"/>
        </w:rPr>
        <w:t>为贯彻落实生态环境部《关于进一步加强重金属污染防控的意见》（环固体〔2022〕17号）要求，进一步强化我省重金属污染物排放控制，有效防控涉重金属环境风险，我们制定了《湖南省重金属污染防控工作方案（2022-2025年）》</w:t>
      </w:r>
      <w:r>
        <w:rPr>
          <w:rFonts w:ascii="仿宋_GB2312" w:eastAsia="仿宋_GB2312" w:hAnsi="仿宋_GB2312" w:cs="仿宋_GB2312" w:hint="eastAsia"/>
          <w:color w:val="auto"/>
          <w:kern w:val="2"/>
          <w:sz w:val="32"/>
          <w:szCs w:val="32"/>
        </w:rPr>
        <w:t>，现印发你们，请结合实际认真组织实施。</w:t>
      </w:r>
    </w:p>
    <w:p w:rsidR="00B74781" w:rsidRDefault="00B74781">
      <w:pPr>
        <w:pStyle w:val="Default"/>
        <w:spacing w:line="560" w:lineRule="exact"/>
        <w:ind w:firstLineChars="200" w:firstLine="636"/>
        <w:jc w:val="both"/>
        <w:rPr>
          <w:rFonts w:ascii="仿宋_GB2312" w:eastAsia="仿宋_GB2312" w:hAnsi="仿宋_GB2312" w:cs="仿宋_GB2312"/>
          <w:color w:val="auto"/>
          <w:kern w:val="2"/>
          <w:sz w:val="32"/>
          <w:szCs w:val="32"/>
        </w:rPr>
      </w:pPr>
    </w:p>
    <w:p w:rsidR="00B74781" w:rsidRDefault="00B74781">
      <w:pPr>
        <w:pStyle w:val="Default"/>
        <w:spacing w:line="560" w:lineRule="exact"/>
        <w:ind w:firstLineChars="200" w:firstLine="636"/>
        <w:jc w:val="both"/>
        <w:rPr>
          <w:rFonts w:ascii="仿宋_GB2312" w:eastAsia="仿宋_GB2312" w:hAnsi="仿宋_GB2312" w:cs="仿宋_GB2312"/>
          <w:color w:val="auto"/>
          <w:kern w:val="2"/>
          <w:sz w:val="32"/>
          <w:szCs w:val="32"/>
        </w:rPr>
      </w:pPr>
    </w:p>
    <w:p w:rsidR="00B74781" w:rsidRDefault="00B74781">
      <w:pPr>
        <w:pStyle w:val="Default"/>
        <w:spacing w:line="560" w:lineRule="exact"/>
        <w:jc w:val="both"/>
        <w:rPr>
          <w:rFonts w:ascii="仿宋_GB2312" w:eastAsia="仿宋_GB2312" w:hAnsi="仿宋_GB2312" w:cs="仿宋_GB2312"/>
          <w:color w:val="auto"/>
          <w:kern w:val="2"/>
          <w:sz w:val="32"/>
          <w:szCs w:val="32"/>
        </w:rPr>
      </w:pPr>
    </w:p>
    <w:p w:rsidR="00B74781" w:rsidRDefault="00000000">
      <w:pPr>
        <w:tabs>
          <w:tab w:val="left" w:pos="7608"/>
        </w:tabs>
        <w:spacing w:line="800" w:lineRule="exact"/>
        <w:ind w:firstLineChars="200" w:firstLine="636"/>
        <w:jc w:val="left"/>
        <w:rPr>
          <w:rFonts w:ascii="仿宋_GB2312" w:hAnsi="仿宋_GB2312" w:cs="仿宋_GB2312"/>
          <w:szCs w:val="32"/>
        </w:rPr>
      </w:pPr>
      <w:r>
        <w:rPr>
          <w:rFonts w:ascii="仿宋_GB2312" w:hAnsi="仿宋_GB2312" w:cs="仿宋_GB2312" w:hint="eastAsia"/>
          <w:szCs w:val="32"/>
        </w:rPr>
        <w:t>湖南省生态环境厅            湖南省发展和改革委员会</w:t>
      </w:r>
    </w:p>
    <w:p w:rsidR="00B74781" w:rsidRDefault="00B74781">
      <w:pPr>
        <w:pStyle w:val="EndnoteText"/>
        <w:rPr>
          <w:rFonts w:ascii="仿宋_GB2312" w:hAnsi="仿宋_GB2312" w:cs="仿宋_GB2312"/>
          <w:szCs w:val="32"/>
        </w:rPr>
      </w:pPr>
    </w:p>
    <w:p w:rsidR="00B74781" w:rsidRDefault="00B74781">
      <w:pPr>
        <w:pStyle w:val="EndnoteText"/>
        <w:rPr>
          <w:rFonts w:ascii="仿宋_GB2312" w:hAnsi="仿宋_GB2312" w:cs="仿宋_GB2312"/>
          <w:szCs w:val="32"/>
        </w:rPr>
      </w:pPr>
    </w:p>
    <w:p w:rsidR="00B74781" w:rsidRDefault="00B74781">
      <w:pPr>
        <w:pStyle w:val="EndnoteText"/>
        <w:rPr>
          <w:rFonts w:ascii="仿宋_GB2312" w:hAnsi="仿宋_GB2312" w:cs="仿宋_GB2312"/>
          <w:szCs w:val="32"/>
        </w:rPr>
      </w:pPr>
    </w:p>
    <w:p w:rsidR="00B74781" w:rsidRDefault="00000000">
      <w:pPr>
        <w:tabs>
          <w:tab w:val="left" w:pos="7608"/>
        </w:tabs>
        <w:spacing w:line="800" w:lineRule="exact"/>
        <w:ind w:firstLineChars="200" w:firstLine="636"/>
        <w:jc w:val="left"/>
        <w:rPr>
          <w:rFonts w:ascii="仿宋_GB2312" w:hAnsi="仿宋_GB2312" w:cs="仿宋_GB2312"/>
          <w:szCs w:val="32"/>
        </w:rPr>
      </w:pPr>
      <w:r>
        <w:rPr>
          <w:rFonts w:ascii="仿宋_GB2312" w:hAnsi="仿宋_GB2312" w:cs="仿宋_GB2312" w:hint="eastAsia"/>
          <w:szCs w:val="32"/>
        </w:rPr>
        <w:t>湖南省工业和信息化厅             湖南省财政厅</w:t>
      </w:r>
    </w:p>
    <w:p w:rsidR="00B74781" w:rsidRDefault="00B74781">
      <w:pPr>
        <w:pStyle w:val="EndnoteText"/>
        <w:rPr>
          <w:rFonts w:ascii="仿宋_GB2312" w:hAnsi="仿宋_GB2312" w:cs="仿宋_GB2312"/>
          <w:szCs w:val="32"/>
        </w:rPr>
      </w:pPr>
    </w:p>
    <w:p w:rsidR="00B74781" w:rsidRDefault="00B74781">
      <w:pPr>
        <w:pStyle w:val="EndnoteText"/>
        <w:rPr>
          <w:rFonts w:ascii="仿宋_GB2312" w:hAnsi="仿宋_GB2312" w:cs="仿宋_GB2312"/>
          <w:szCs w:val="32"/>
        </w:rPr>
      </w:pPr>
    </w:p>
    <w:p w:rsidR="00B74781" w:rsidRDefault="00B74781">
      <w:pPr>
        <w:pStyle w:val="EndnoteText"/>
        <w:rPr>
          <w:rFonts w:ascii="仿宋_GB2312" w:hAnsi="仿宋_GB2312" w:cs="仿宋_GB2312"/>
          <w:szCs w:val="32"/>
        </w:rPr>
      </w:pPr>
    </w:p>
    <w:p w:rsidR="00B74781" w:rsidRDefault="00000000">
      <w:pPr>
        <w:tabs>
          <w:tab w:val="left" w:pos="7608"/>
        </w:tabs>
        <w:spacing w:line="800" w:lineRule="exact"/>
        <w:ind w:firstLineChars="200" w:firstLine="636"/>
        <w:jc w:val="left"/>
        <w:rPr>
          <w:rFonts w:ascii="仿宋_GB2312" w:hAnsi="仿宋_GB2312" w:cs="仿宋_GB2312"/>
          <w:szCs w:val="32"/>
        </w:rPr>
      </w:pPr>
      <w:r>
        <w:rPr>
          <w:rFonts w:ascii="仿宋_GB2312" w:hAnsi="仿宋_GB2312" w:cs="仿宋_GB2312" w:hint="eastAsia"/>
          <w:szCs w:val="32"/>
        </w:rPr>
        <w:t>湖南省自然资源厅               湖南省农业农村厅</w:t>
      </w:r>
    </w:p>
    <w:p w:rsidR="00B74781" w:rsidRDefault="00B74781">
      <w:pPr>
        <w:pStyle w:val="EndnoteText"/>
        <w:rPr>
          <w:rFonts w:ascii="仿宋_GB2312" w:hAnsi="仿宋_GB2312" w:cs="仿宋_GB2312"/>
          <w:szCs w:val="32"/>
        </w:rPr>
      </w:pPr>
    </w:p>
    <w:p w:rsidR="00B74781" w:rsidRDefault="00B74781">
      <w:pPr>
        <w:pStyle w:val="EndnoteText"/>
        <w:rPr>
          <w:rFonts w:ascii="仿宋_GB2312" w:hAnsi="仿宋_GB2312" w:cs="仿宋_GB2312"/>
          <w:szCs w:val="32"/>
        </w:rPr>
      </w:pPr>
    </w:p>
    <w:p w:rsidR="00B74781" w:rsidRDefault="00B74781">
      <w:pPr>
        <w:tabs>
          <w:tab w:val="left" w:pos="7608"/>
        </w:tabs>
        <w:spacing w:line="800" w:lineRule="exact"/>
        <w:jc w:val="left"/>
        <w:rPr>
          <w:rFonts w:ascii="仿宋_GB2312" w:hAnsi="仿宋_GB2312" w:cs="仿宋_GB2312"/>
          <w:szCs w:val="32"/>
        </w:rPr>
      </w:pPr>
    </w:p>
    <w:p w:rsidR="00B74781" w:rsidRDefault="00000000">
      <w:pPr>
        <w:tabs>
          <w:tab w:val="left" w:pos="7608"/>
        </w:tabs>
        <w:spacing w:line="800" w:lineRule="exact"/>
        <w:ind w:firstLineChars="200" w:firstLine="636"/>
        <w:jc w:val="left"/>
        <w:rPr>
          <w:rFonts w:ascii="仿宋_GB2312" w:hAnsi="仿宋_GB2312" w:cs="仿宋_GB2312"/>
          <w:szCs w:val="32"/>
        </w:rPr>
      </w:pPr>
      <w:r>
        <w:rPr>
          <w:rFonts w:ascii="仿宋_GB2312" w:hAnsi="仿宋_GB2312" w:cs="仿宋_GB2312" w:hint="eastAsia"/>
          <w:szCs w:val="32"/>
        </w:rPr>
        <w:t>湖南省应急管理厅                  湖南省林业局</w:t>
      </w:r>
    </w:p>
    <w:p w:rsidR="00B74781" w:rsidRDefault="00B74781">
      <w:pPr>
        <w:pStyle w:val="EndnoteText"/>
        <w:spacing w:line="800" w:lineRule="exact"/>
        <w:ind w:firstLineChars="200" w:firstLine="636"/>
        <w:jc w:val="left"/>
        <w:rPr>
          <w:rFonts w:ascii="仿宋_GB2312" w:hAnsi="仿宋_GB2312" w:cs="仿宋_GB2312"/>
          <w:szCs w:val="32"/>
        </w:rPr>
      </w:pPr>
    </w:p>
    <w:p w:rsidR="00B74781" w:rsidRDefault="00B74781">
      <w:pPr>
        <w:pStyle w:val="EndnoteText"/>
        <w:spacing w:line="600" w:lineRule="exact"/>
        <w:ind w:firstLineChars="200" w:firstLine="636"/>
        <w:jc w:val="left"/>
        <w:rPr>
          <w:rFonts w:ascii="仿宋_GB2312" w:hAnsi="仿宋_GB2312" w:cs="仿宋_GB2312"/>
          <w:szCs w:val="32"/>
        </w:rPr>
      </w:pPr>
    </w:p>
    <w:p w:rsidR="00B74781" w:rsidRDefault="00B74781">
      <w:pPr>
        <w:pStyle w:val="EndnoteText"/>
        <w:spacing w:line="600" w:lineRule="exact"/>
        <w:jc w:val="left"/>
        <w:rPr>
          <w:rFonts w:ascii="仿宋_GB2312" w:hAnsi="仿宋_GB2312" w:cs="仿宋_GB2312"/>
          <w:szCs w:val="32"/>
        </w:rPr>
      </w:pPr>
    </w:p>
    <w:p w:rsidR="00B74781" w:rsidRDefault="00000000">
      <w:pPr>
        <w:pStyle w:val="EndnoteText"/>
        <w:spacing w:line="600" w:lineRule="exact"/>
        <w:ind w:firstLineChars="200" w:firstLine="636"/>
        <w:jc w:val="left"/>
        <w:rPr>
          <w:rFonts w:ascii="仿宋_GB2312" w:hAnsi="仿宋_GB2312" w:cs="仿宋_GB2312"/>
          <w:szCs w:val="32"/>
        </w:rPr>
      </w:pPr>
      <w:r>
        <w:rPr>
          <w:rFonts w:ascii="仿宋_GB2312" w:hAnsi="仿宋_GB2312" w:cs="仿宋_GB2312" w:hint="eastAsia"/>
          <w:szCs w:val="32"/>
        </w:rPr>
        <w:t>湖南省市场监督管理局         湖南省粮食和物资储备局</w:t>
      </w:r>
    </w:p>
    <w:p w:rsidR="00B74781" w:rsidRDefault="00000000">
      <w:pPr>
        <w:spacing w:line="600" w:lineRule="exact"/>
        <w:ind w:firstLineChars="1800" w:firstLine="5722"/>
        <w:jc w:val="left"/>
        <w:rPr>
          <w:rFonts w:ascii="仿宋_GB2312" w:hAnsi="仿宋_GB2312" w:cs="仿宋_GB2312"/>
          <w:szCs w:val="32"/>
        </w:rPr>
      </w:pPr>
      <w:r>
        <w:rPr>
          <w:rFonts w:ascii="仿宋_GB2312" w:hAnsi="仿宋_GB2312" w:cs="仿宋_GB2312" w:hint="eastAsia"/>
          <w:szCs w:val="32"/>
        </w:rPr>
        <w:t>2022年1</w:t>
      </w:r>
      <w:r>
        <w:rPr>
          <w:rFonts w:ascii="仿宋_GB2312" w:hAnsi="仿宋_GB2312" w:cs="仿宋_GB2312"/>
          <w:szCs w:val="32"/>
          <w:lang w:val="en"/>
        </w:rPr>
        <w:t>1</w:t>
      </w:r>
      <w:r>
        <w:rPr>
          <w:rFonts w:ascii="仿宋_GB2312" w:hAnsi="仿宋_GB2312" w:cs="仿宋_GB2312" w:hint="eastAsia"/>
          <w:szCs w:val="32"/>
        </w:rPr>
        <w:t>月</w:t>
      </w:r>
      <w:r>
        <w:rPr>
          <w:rFonts w:ascii="仿宋_GB2312" w:hAnsi="仿宋_GB2312" w:cs="仿宋_GB2312"/>
          <w:szCs w:val="32"/>
          <w:lang w:val="en"/>
        </w:rPr>
        <w:t>23</w:t>
      </w:r>
      <w:r>
        <w:rPr>
          <w:rFonts w:ascii="仿宋_GB2312" w:hAnsi="仿宋_GB2312" w:cs="仿宋_GB2312" w:hint="eastAsia"/>
          <w:szCs w:val="32"/>
        </w:rPr>
        <w:t>日</w:t>
      </w:r>
    </w:p>
    <w:p w:rsidR="00B74781" w:rsidRDefault="00B74781">
      <w:pPr>
        <w:pStyle w:val="EndnoteText"/>
      </w:pPr>
    </w:p>
    <w:p w:rsidR="00B74781" w:rsidRDefault="00B74781">
      <w:pPr>
        <w:jc w:val="center"/>
        <w:rPr>
          <w:rFonts w:ascii="方正小标宋_GBK" w:eastAsia="方正小标宋_GBK" w:hAnsi="方正小标宋_GBK" w:cs="方正小标宋_GBK"/>
          <w:sz w:val="40"/>
          <w:szCs w:val="40"/>
        </w:rPr>
      </w:pPr>
    </w:p>
    <w:p w:rsidR="00B74781" w:rsidRDefault="00B74781">
      <w:pPr>
        <w:jc w:val="center"/>
        <w:rPr>
          <w:rFonts w:ascii="方正小标宋_GBK" w:eastAsia="方正小标宋_GBK" w:hAnsi="方正小标宋_GBK" w:cs="方正小标宋_GBK"/>
          <w:sz w:val="40"/>
          <w:szCs w:val="40"/>
        </w:rPr>
      </w:pPr>
    </w:p>
    <w:p w:rsidR="00B74781" w:rsidRDefault="00000000">
      <w:pPr>
        <w:adjustRightInd w:val="0"/>
        <w:snapToGrid w:val="0"/>
        <w:spacing w:line="700" w:lineRule="exact"/>
        <w:jc w:val="center"/>
        <w:rPr>
          <w:rFonts w:ascii="方正小标宋_GBK" w:eastAsia="方正小标宋_GBK" w:hAnsi="方正小标宋_GBK" w:cs="方正小标宋_GBK"/>
          <w:sz w:val="40"/>
          <w:szCs w:val="40"/>
        </w:rPr>
      </w:pPr>
      <w:r>
        <w:rPr>
          <w:rFonts w:ascii="方正小标宋_GBK" w:eastAsia="方正小标宋_GBK" w:hAnsi="方正小标宋_GBK" w:cs="方正小标宋_GBK" w:hint="eastAsia"/>
          <w:sz w:val="40"/>
          <w:szCs w:val="40"/>
        </w:rPr>
        <w:lastRenderedPageBreak/>
        <w:t>湖南省重金属污染防控工作方案（2022-2025年）</w:t>
      </w:r>
    </w:p>
    <w:p w:rsidR="00B74781" w:rsidRDefault="00B74781">
      <w:pPr>
        <w:tabs>
          <w:tab w:val="left" w:pos="7655"/>
        </w:tabs>
        <w:snapToGrid w:val="0"/>
        <w:spacing w:line="600" w:lineRule="exact"/>
        <w:rPr>
          <w:rFonts w:ascii="仿宋_GB2312" w:hAnsi="华文仿宋"/>
          <w:szCs w:val="32"/>
        </w:rPr>
      </w:pPr>
    </w:p>
    <w:p w:rsidR="00B74781" w:rsidRDefault="00000000">
      <w:pPr>
        <w:tabs>
          <w:tab w:val="left" w:pos="7655"/>
        </w:tabs>
        <w:snapToGrid w:val="0"/>
        <w:spacing w:line="580" w:lineRule="exact"/>
        <w:ind w:firstLineChars="200" w:firstLine="636"/>
        <w:rPr>
          <w:rFonts w:ascii="仿宋_GB2312" w:hAnsi="仿宋_GB2312" w:cs="仿宋_GB2312"/>
          <w:szCs w:val="32"/>
        </w:rPr>
      </w:pPr>
      <w:r>
        <w:rPr>
          <w:rFonts w:ascii="仿宋_GB2312" w:hAnsi="仿宋_GB2312" w:cs="仿宋_GB2312" w:hint="eastAsia"/>
          <w:szCs w:val="32"/>
        </w:rPr>
        <w:t>湖南是全国重金属污染防治任务最为繁重的省份之一，长期以来，在国家有关部委大力支持下，省委、省政府高度重视重金属污染防控、防范环境风险，并取得积极成效，但由于</w:t>
      </w:r>
      <w:r>
        <w:rPr>
          <w:rFonts w:ascii="仿宋_GB2312" w:hAnsi="仿宋_GB2312" w:cs="仿宋_GB2312" w:hint="eastAsia"/>
          <w:szCs w:val="32"/>
          <w:lang w:bidi="ar"/>
        </w:rPr>
        <w:t>涉重金属产业历史悠</w:t>
      </w:r>
      <w:r>
        <w:rPr>
          <w:rFonts w:ascii="仿宋_GB2312" w:hAnsi="仿宋_GB2312" w:cs="仿宋_GB2312" w:hint="eastAsia"/>
          <w:szCs w:val="32"/>
        </w:rPr>
        <w:t>久等原因，重金属污染防控形势仍然严峻，防治任务依然十分繁重。为持续、深入推进重金属污染防治工作，消除环境风险隐患，保障人民群众生命健康，根据生态环境部《关于进一步加强重金属污染防控的意见》（环固体〔2022〕17号）文件，组织编制了湖南省重金属污染防控工作方案（2022-2025年）。</w:t>
      </w:r>
    </w:p>
    <w:p w:rsidR="00B74781" w:rsidRDefault="00000000">
      <w:pPr>
        <w:tabs>
          <w:tab w:val="left" w:pos="7655"/>
        </w:tabs>
        <w:snapToGrid w:val="0"/>
        <w:spacing w:line="580" w:lineRule="exact"/>
        <w:ind w:firstLineChars="200" w:firstLine="636"/>
        <w:rPr>
          <w:rFonts w:ascii="黑体" w:eastAsia="黑体" w:hAnsi="黑体" w:cs="黑体"/>
          <w:szCs w:val="32"/>
        </w:rPr>
      </w:pPr>
      <w:r>
        <w:rPr>
          <w:rFonts w:ascii="黑体" w:eastAsia="黑体" w:hAnsi="黑体" w:cs="黑体" w:hint="eastAsia"/>
          <w:szCs w:val="32"/>
        </w:rPr>
        <w:t>一、指导思想</w:t>
      </w:r>
    </w:p>
    <w:p w:rsidR="00B74781" w:rsidRDefault="00000000">
      <w:pPr>
        <w:tabs>
          <w:tab w:val="left" w:pos="7655"/>
        </w:tabs>
        <w:snapToGrid w:val="0"/>
        <w:spacing w:line="580" w:lineRule="exact"/>
        <w:ind w:firstLineChars="200" w:firstLine="636"/>
        <w:rPr>
          <w:rFonts w:ascii="仿宋_GB2312" w:hAnsi="仿宋_GB2312" w:cs="仿宋_GB2312"/>
          <w:szCs w:val="32"/>
        </w:rPr>
      </w:pPr>
      <w:r>
        <w:rPr>
          <w:rFonts w:ascii="仿宋_GB2312" w:hAnsi="仿宋_GB2312" w:cs="仿宋_GB2312" w:hint="eastAsia"/>
          <w:szCs w:val="32"/>
        </w:rPr>
        <w:t>以习近平新时代中国特色社会主义思想为指导，全面贯彻落实党的二十大精神，深入贯彻落</w:t>
      </w:r>
      <w:proofErr w:type="gramStart"/>
      <w:r>
        <w:rPr>
          <w:rFonts w:ascii="仿宋_GB2312" w:hAnsi="仿宋_GB2312" w:cs="仿宋_GB2312" w:hint="eastAsia"/>
          <w:szCs w:val="32"/>
        </w:rPr>
        <w:t>实习近</w:t>
      </w:r>
      <w:proofErr w:type="gramEnd"/>
      <w:r>
        <w:rPr>
          <w:rFonts w:ascii="仿宋_GB2312" w:hAnsi="仿宋_GB2312" w:cs="仿宋_GB2312" w:hint="eastAsia"/>
          <w:szCs w:val="32"/>
        </w:rPr>
        <w:t>平生态文明思想，立足新发展阶段，完整、准确、全面贯彻新发展理念，服务构建新发展格局，把握减</w:t>
      </w:r>
      <w:proofErr w:type="gramStart"/>
      <w:r>
        <w:rPr>
          <w:rFonts w:ascii="仿宋_GB2312" w:hAnsi="仿宋_GB2312" w:cs="仿宋_GB2312" w:hint="eastAsia"/>
          <w:szCs w:val="32"/>
        </w:rPr>
        <w:t>污降碳</w:t>
      </w:r>
      <w:proofErr w:type="gramEnd"/>
      <w:r>
        <w:rPr>
          <w:rFonts w:ascii="仿宋_GB2312" w:hAnsi="仿宋_GB2312" w:cs="仿宋_GB2312" w:hint="eastAsia"/>
          <w:szCs w:val="32"/>
        </w:rPr>
        <w:t>协同增效总要求，</w:t>
      </w:r>
      <w:r>
        <w:rPr>
          <w:rFonts w:ascii="仿宋_GB2312" w:hAnsi="仿宋_GB2312" w:cs="仿宋_GB2312" w:hint="eastAsia"/>
          <w:szCs w:val="32"/>
          <w:lang w:bidi="ar"/>
        </w:rPr>
        <w:t>全面落实“三高四新”战略定位和使命任务，</w:t>
      </w:r>
      <w:r>
        <w:rPr>
          <w:rFonts w:ascii="仿宋_GB2312" w:hAnsi="仿宋_GB2312" w:cs="仿宋_GB2312" w:hint="eastAsia"/>
          <w:szCs w:val="32"/>
        </w:rPr>
        <w:t>以改善生态环境质量为核心，以有效防控重金属环境风险为目标，以重点</w:t>
      </w:r>
      <w:proofErr w:type="gramStart"/>
      <w:r>
        <w:rPr>
          <w:rFonts w:ascii="仿宋_GB2312" w:hAnsi="仿宋_GB2312" w:cs="仿宋_GB2312" w:hint="eastAsia"/>
          <w:szCs w:val="32"/>
        </w:rPr>
        <w:t>重金属污染物减排为</w:t>
      </w:r>
      <w:proofErr w:type="gramEnd"/>
      <w:r>
        <w:rPr>
          <w:rFonts w:ascii="仿宋_GB2312" w:hAnsi="仿宋_GB2312" w:cs="仿宋_GB2312" w:hint="eastAsia"/>
          <w:szCs w:val="32"/>
        </w:rPr>
        <w:t>抓手，坚持精准治污、科学治污、依法治污，深入开展重点行业重金属污染综合治理，有效管</w:t>
      </w:r>
      <w:proofErr w:type="gramStart"/>
      <w:r>
        <w:rPr>
          <w:rFonts w:ascii="仿宋_GB2312" w:hAnsi="仿宋_GB2312" w:cs="仿宋_GB2312" w:hint="eastAsia"/>
          <w:szCs w:val="32"/>
        </w:rPr>
        <w:t>控重点</w:t>
      </w:r>
      <w:proofErr w:type="gramEnd"/>
      <w:r>
        <w:rPr>
          <w:rFonts w:ascii="仿宋_GB2312" w:hAnsi="仿宋_GB2312" w:cs="仿宋_GB2312" w:hint="eastAsia"/>
          <w:szCs w:val="32"/>
        </w:rPr>
        <w:t>区域重金属污染，切实维护生态环境安全和人民群众健康。</w:t>
      </w:r>
    </w:p>
    <w:p w:rsidR="00B74781" w:rsidRDefault="00B74781">
      <w:pPr>
        <w:tabs>
          <w:tab w:val="left" w:pos="7655"/>
        </w:tabs>
        <w:snapToGrid w:val="0"/>
        <w:spacing w:line="580" w:lineRule="exact"/>
        <w:ind w:firstLineChars="200" w:firstLine="636"/>
        <w:rPr>
          <w:rFonts w:ascii="黑体" w:eastAsia="黑体" w:hAnsi="黑体" w:cs="黑体"/>
          <w:szCs w:val="32"/>
        </w:rPr>
      </w:pPr>
    </w:p>
    <w:p w:rsidR="00B74781" w:rsidRDefault="00000000">
      <w:pPr>
        <w:tabs>
          <w:tab w:val="left" w:pos="7655"/>
        </w:tabs>
        <w:snapToGrid w:val="0"/>
        <w:spacing w:line="580" w:lineRule="exact"/>
        <w:ind w:firstLineChars="200" w:firstLine="636"/>
        <w:rPr>
          <w:rFonts w:ascii="黑体" w:eastAsia="黑体" w:hAnsi="黑体" w:cs="黑体"/>
          <w:szCs w:val="32"/>
        </w:rPr>
      </w:pPr>
      <w:r>
        <w:rPr>
          <w:rFonts w:ascii="黑体" w:eastAsia="黑体" w:hAnsi="黑体" w:cs="黑体" w:hint="eastAsia"/>
          <w:szCs w:val="32"/>
        </w:rPr>
        <w:lastRenderedPageBreak/>
        <w:t>二、防控重点</w:t>
      </w:r>
    </w:p>
    <w:p w:rsidR="00B74781" w:rsidRDefault="00000000">
      <w:pPr>
        <w:tabs>
          <w:tab w:val="left" w:pos="7655"/>
        </w:tabs>
        <w:snapToGrid w:val="0"/>
        <w:spacing w:line="580" w:lineRule="exact"/>
        <w:ind w:firstLineChars="200" w:firstLine="636"/>
        <w:rPr>
          <w:rFonts w:ascii="仿宋_GB2312" w:hAnsi="仿宋_GB2312" w:cs="仿宋_GB2312"/>
          <w:szCs w:val="32"/>
        </w:rPr>
      </w:pPr>
      <w:r>
        <w:rPr>
          <w:rFonts w:ascii="仿宋_GB2312" w:hAnsi="仿宋_GB2312" w:cs="仿宋_GB2312" w:hint="eastAsia"/>
          <w:b/>
          <w:bCs/>
          <w:szCs w:val="32"/>
        </w:rPr>
        <w:t>重点重金属污染物。</w:t>
      </w:r>
      <w:r>
        <w:rPr>
          <w:rFonts w:ascii="仿宋_GB2312" w:hAnsi="仿宋_GB2312" w:cs="仿宋_GB2312" w:hint="eastAsia"/>
          <w:szCs w:val="32"/>
        </w:rPr>
        <w:t>重点防控的重金属污染物是铅、汞、镉、铬、砷、铊和</w:t>
      </w:r>
      <w:proofErr w:type="gramStart"/>
      <w:r>
        <w:rPr>
          <w:rFonts w:ascii="仿宋_GB2312" w:hAnsi="仿宋_GB2312" w:cs="仿宋_GB2312" w:hint="eastAsia"/>
          <w:szCs w:val="32"/>
        </w:rPr>
        <w:t>锑,</w:t>
      </w:r>
      <w:proofErr w:type="gramEnd"/>
      <w:r>
        <w:rPr>
          <w:rFonts w:ascii="仿宋_GB2312" w:hAnsi="仿宋_GB2312" w:cs="仿宋_GB2312" w:hint="eastAsia"/>
          <w:szCs w:val="32"/>
        </w:rPr>
        <w:t>并对铅、汞、镉、铬和</w:t>
      </w:r>
      <w:proofErr w:type="gramStart"/>
      <w:r>
        <w:rPr>
          <w:rFonts w:ascii="仿宋_GB2312" w:hAnsi="仿宋_GB2312" w:cs="仿宋_GB2312" w:hint="eastAsia"/>
          <w:szCs w:val="32"/>
        </w:rPr>
        <w:t>砷五种</w:t>
      </w:r>
      <w:proofErr w:type="gramEnd"/>
      <w:r>
        <w:rPr>
          <w:rFonts w:ascii="仿宋_GB2312" w:hAnsi="仿宋_GB2312" w:cs="仿宋_GB2312" w:hint="eastAsia"/>
          <w:szCs w:val="32"/>
        </w:rPr>
        <w:t>重点重金属污染物排放量实施总量控制。</w:t>
      </w:r>
    </w:p>
    <w:p w:rsidR="00B74781" w:rsidRDefault="00000000">
      <w:pPr>
        <w:tabs>
          <w:tab w:val="left" w:pos="7655"/>
        </w:tabs>
        <w:snapToGrid w:val="0"/>
        <w:spacing w:line="580" w:lineRule="exact"/>
        <w:ind w:firstLineChars="200" w:firstLine="636"/>
        <w:rPr>
          <w:rFonts w:ascii="仿宋_GB2312" w:hAnsi="仿宋_GB2312" w:cs="仿宋_GB2312"/>
          <w:szCs w:val="32"/>
        </w:rPr>
      </w:pPr>
      <w:r>
        <w:rPr>
          <w:rFonts w:ascii="仿宋_GB2312" w:hAnsi="仿宋_GB2312" w:cs="仿宋_GB2312" w:hint="eastAsia"/>
          <w:b/>
          <w:bCs/>
          <w:szCs w:val="32"/>
        </w:rPr>
        <w:t>重点行业。</w:t>
      </w:r>
      <w:r>
        <w:rPr>
          <w:rFonts w:ascii="仿宋_GB2312" w:hAnsi="仿宋_GB2312" w:cs="仿宋_GB2312" w:hint="eastAsia"/>
          <w:szCs w:val="32"/>
          <w:lang w:bidi="ar"/>
        </w:rPr>
        <w:t>国家重点行业：</w:t>
      </w:r>
      <w:r>
        <w:rPr>
          <w:rFonts w:ascii="仿宋_GB2312" w:hAnsi="仿宋_GB2312" w:cs="仿宋_GB2312" w:hint="eastAsia"/>
          <w:szCs w:val="32"/>
        </w:rPr>
        <w:t>包括重有色金属矿采选业(铜、铅锌、镍钴、锡、锑和汞矿采选),重有色金属冶炼业(铜、铅锌、镍钴、锡、锑和汞冶炼),铅蓄电池制造业,电镀行业,化学原料及化学制品制造业(电石法(聚)氯乙烯制造、铬盐制造、以工业固体废物为原料的锌无机化合物工业),皮革鞣制加工业等6个行业。</w:t>
      </w:r>
    </w:p>
    <w:p w:rsidR="00B74781" w:rsidRDefault="00000000">
      <w:pPr>
        <w:widowControl/>
        <w:spacing w:line="580" w:lineRule="exact"/>
        <w:ind w:firstLineChars="200" w:firstLine="636"/>
        <w:rPr>
          <w:rFonts w:ascii="仿宋_GB2312" w:hAnsi="仿宋_GB2312" w:cs="仿宋_GB2312"/>
          <w:szCs w:val="32"/>
        </w:rPr>
      </w:pPr>
      <w:r>
        <w:rPr>
          <w:rFonts w:ascii="仿宋_GB2312" w:hAnsi="仿宋_GB2312" w:cs="仿宋_GB2312" w:hint="eastAsia"/>
          <w:szCs w:val="32"/>
          <w:lang w:bidi="ar"/>
        </w:rPr>
        <w:t>省级重点行业：黑色金属冶炼、电解锰、电子设备拆解等行业。不纳入国家重点重金属总量控制。</w:t>
      </w:r>
    </w:p>
    <w:p w:rsidR="00B74781" w:rsidRDefault="00000000">
      <w:pPr>
        <w:tabs>
          <w:tab w:val="left" w:pos="7655"/>
        </w:tabs>
        <w:snapToGrid w:val="0"/>
        <w:spacing w:line="580" w:lineRule="exact"/>
        <w:ind w:firstLineChars="200" w:firstLine="636"/>
        <w:rPr>
          <w:rFonts w:ascii="仿宋_GB2312" w:hAnsi="仿宋_GB2312" w:cs="仿宋_GB2312"/>
          <w:szCs w:val="32"/>
        </w:rPr>
      </w:pPr>
      <w:r>
        <w:rPr>
          <w:rFonts w:ascii="仿宋_GB2312" w:hAnsi="仿宋_GB2312" w:cs="仿宋_GB2312" w:hint="eastAsia"/>
          <w:b/>
          <w:bCs/>
          <w:szCs w:val="32"/>
        </w:rPr>
        <w:t>重点区域。</w:t>
      </w:r>
      <w:r>
        <w:rPr>
          <w:rFonts w:ascii="仿宋_GB2312" w:hAnsi="仿宋_GB2312" w:cs="仿宋_GB2312" w:hint="eastAsia"/>
          <w:szCs w:val="32"/>
          <w:lang w:bidi="ar"/>
        </w:rPr>
        <w:t>国家重点区域：</w:t>
      </w:r>
      <w:r>
        <w:rPr>
          <w:rFonts w:ascii="仿宋_GB2312" w:hAnsi="仿宋_GB2312" w:cs="仿宋_GB2312" w:hint="eastAsia"/>
          <w:szCs w:val="32"/>
        </w:rPr>
        <w:t>花垣县、常宁市、汨罗市、资兴市、桂阳县、永兴县、冷水江市共7个县市区。</w:t>
      </w:r>
    </w:p>
    <w:p w:rsidR="00B74781" w:rsidRDefault="00000000">
      <w:pPr>
        <w:widowControl/>
        <w:spacing w:line="580" w:lineRule="exact"/>
        <w:ind w:firstLineChars="200" w:firstLine="636"/>
        <w:rPr>
          <w:rFonts w:ascii="仿宋_GB2312" w:hAnsi="仿宋_GB2312" w:cs="仿宋_GB2312"/>
          <w:szCs w:val="32"/>
          <w:lang w:bidi="ar"/>
        </w:rPr>
      </w:pPr>
      <w:r>
        <w:rPr>
          <w:rFonts w:ascii="仿宋_GB2312" w:hAnsi="仿宋_GB2312" w:cs="仿宋_GB2312" w:hint="eastAsia"/>
          <w:szCs w:val="32"/>
          <w:lang w:bidi="ar"/>
        </w:rPr>
        <w:t>省级重点区域：矿产资源开发活动集中区域、安全利用类、严格管</w:t>
      </w:r>
      <w:proofErr w:type="gramStart"/>
      <w:r>
        <w:rPr>
          <w:rFonts w:ascii="仿宋_GB2312" w:hAnsi="仿宋_GB2312" w:cs="仿宋_GB2312" w:hint="eastAsia"/>
          <w:szCs w:val="32"/>
          <w:lang w:bidi="ar"/>
        </w:rPr>
        <w:t>控类耕地</w:t>
      </w:r>
      <w:proofErr w:type="gramEnd"/>
      <w:r>
        <w:rPr>
          <w:rFonts w:ascii="仿宋_GB2312" w:hAnsi="仿宋_GB2312" w:cs="仿宋_GB2312" w:hint="eastAsia"/>
          <w:szCs w:val="32"/>
          <w:lang w:bidi="ar"/>
        </w:rPr>
        <w:t>集中区域和矿涌水重点超标区域，具体由省人民政府确定。</w:t>
      </w:r>
    </w:p>
    <w:p w:rsidR="00B74781" w:rsidRDefault="00000000">
      <w:pPr>
        <w:tabs>
          <w:tab w:val="left" w:pos="7655"/>
        </w:tabs>
        <w:snapToGrid w:val="0"/>
        <w:spacing w:line="580" w:lineRule="exact"/>
        <w:ind w:firstLineChars="200" w:firstLine="636"/>
        <w:rPr>
          <w:rFonts w:ascii="黑体" w:eastAsia="黑体" w:hAnsi="黑体" w:cs="黑体"/>
          <w:szCs w:val="32"/>
        </w:rPr>
      </w:pPr>
      <w:r>
        <w:rPr>
          <w:rFonts w:ascii="黑体" w:eastAsia="黑体" w:hAnsi="黑体" w:cs="黑体" w:hint="eastAsia"/>
          <w:szCs w:val="32"/>
        </w:rPr>
        <w:t>三、主要目标</w:t>
      </w:r>
    </w:p>
    <w:p w:rsidR="00B74781" w:rsidRDefault="00000000">
      <w:pPr>
        <w:tabs>
          <w:tab w:val="left" w:pos="7655"/>
        </w:tabs>
        <w:snapToGrid w:val="0"/>
        <w:spacing w:line="580" w:lineRule="exact"/>
        <w:ind w:firstLineChars="200" w:firstLine="636"/>
        <w:rPr>
          <w:rFonts w:ascii="仿宋_GB2312" w:hAnsi="仿宋_GB2312" w:cs="仿宋_GB2312"/>
          <w:szCs w:val="32"/>
        </w:rPr>
      </w:pPr>
      <w:r>
        <w:rPr>
          <w:rFonts w:ascii="仿宋_GB2312" w:hAnsi="仿宋_GB2312" w:cs="仿宋_GB2312" w:hint="eastAsia"/>
          <w:szCs w:val="32"/>
        </w:rPr>
        <w:t>到2025年,全省重点行业重点重金属污染物排放量比2020年下降7%,重点行业绿色发展水平较快提升,重金属环境管理能力进一步增强,推进治理一批突出历史遗留重金属污染问题。</w:t>
      </w:r>
    </w:p>
    <w:p w:rsidR="00B74781" w:rsidRDefault="00000000">
      <w:pPr>
        <w:tabs>
          <w:tab w:val="left" w:pos="7655"/>
        </w:tabs>
        <w:snapToGrid w:val="0"/>
        <w:spacing w:line="580" w:lineRule="exact"/>
        <w:ind w:firstLineChars="200" w:firstLine="636"/>
        <w:rPr>
          <w:rFonts w:ascii="仿宋_GB2312" w:hAnsi="仿宋_GB2312" w:cs="仿宋_GB2312"/>
          <w:szCs w:val="32"/>
        </w:rPr>
      </w:pPr>
      <w:r>
        <w:rPr>
          <w:rFonts w:ascii="仿宋_GB2312" w:hAnsi="仿宋_GB2312" w:cs="仿宋_GB2312" w:hint="eastAsia"/>
          <w:szCs w:val="32"/>
        </w:rPr>
        <w:t>到2035年,建立健全重金属污染</w:t>
      </w:r>
      <w:proofErr w:type="gramStart"/>
      <w:r>
        <w:rPr>
          <w:rFonts w:ascii="仿宋_GB2312" w:hAnsi="仿宋_GB2312" w:cs="仿宋_GB2312" w:hint="eastAsia"/>
          <w:szCs w:val="32"/>
        </w:rPr>
        <w:t>防控制</w:t>
      </w:r>
      <w:proofErr w:type="gramEnd"/>
      <w:r>
        <w:rPr>
          <w:rFonts w:ascii="仿宋_GB2312" w:hAnsi="仿宋_GB2312" w:cs="仿宋_GB2312" w:hint="eastAsia"/>
          <w:szCs w:val="32"/>
        </w:rPr>
        <w:t>度和长效机制,重金属污染治理能力、环境风险防控能力和环境监管能力得到全面提</w:t>
      </w:r>
      <w:r>
        <w:rPr>
          <w:rFonts w:ascii="仿宋_GB2312" w:hAnsi="仿宋_GB2312" w:cs="仿宋_GB2312" w:hint="eastAsia"/>
          <w:szCs w:val="32"/>
        </w:rPr>
        <w:lastRenderedPageBreak/>
        <w:t>升,重金属环境风险得到全面有效管控。</w:t>
      </w:r>
    </w:p>
    <w:p w:rsidR="00B74781" w:rsidRDefault="00000000">
      <w:pPr>
        <w:tabs>
          <w:tab w:val="left" w:pos="7655"/>
        </w:tabs>
        <w:snapToGrid w:val="0"/>
        <w:spacing w:line="580" w:lineRule="exact"/>
        <w:ind w:firstLineChars="200" w:firstLine="636"/>
        <w:rPr>
          <w:rFonts w:ascii="黑体" w:eastAsia="黑体" w:hAnsi="黑体" w:cs="黑体"/>
          <w:szCs w:val="32"/>
        </w:rPr>
      </w:pPr>
      <w:r>
        <w:rPr>
          <w:rFonts w:ascii="黑体" w:eastAsia="黑体" w:hAnsi="黑体" w:cs="黑体" w:hint="eastAsia"/>
          <w:szCs w:val="32"/>
        </w:rPr>
        <w:t>四、工作任务及职责分工</w:t>
      </w:r>
    </w:p>
    <w:p w:rsidR="00B74781" w:rsidRDefault="00000000">
      <w:pPr>
        <w:tabs>
          <w:tab w:val="left" w:pos="7655"/>
        </w:tabs>
        <w:snapToGrid w:val="0"/>
        <w:spacing w:line="580" w:lineRule="exact"/>
        <w:ind w:firstLineChars="200" w:firstLine="636"/>
        <w:rPr>
          <w:rFonts w:ascii="CESI楷体-GB2312" w:eastAsia="CESI楷体-GB2312" w:hAnsi="CESI楷体-GB2312" w:cs="CESI楷体-GB2312"/>
          <w:szCs w:val="32"/>
        </w:rPr>
      </w:pPr>
      <w:r>
        <w:rPr>
          <w:rFonts w:ascii="CESI楷体-GB2312" w:eastAsia="CESI楷体-GB2312" w:hAnsi="CESI楷体-GB2312" w:cs="CESI楷体-GB2312" w:hint="eastAsia"/>
          <w:szCs w:val="32"/>
        </w:rPr>
        <w:t>（一）分类管理,完善重金属污染物排放管理制度</w:t>
      </w:r>
    </w:p>
    <w:p w:rsidR="00B74781" w:rsidRDefault="00000000">
      <w:pPr>
        <w:tabs>
          <w:tab w:val="left" w:pos="7655"/>
        </w:tabs>
        <w:snapToGrid w:val="0"/>
        <w:spacing w:line="580" w:lineRule="exact"/>
        <w:ind w:firstLineChars="200" w:firstLine="636"/>
        <w:rPr>
          <w:rFonts w:ascii="仿宋_GB2312" w:hAnsi="仿宋_GB2312" w:cs="仿宋_GB2312"/>
          <w:w w:val="98"/>
          <w:szCs w:val="32"/>
        </w:rPr>
      </w:pPr>
      <w:r>
        <w:rPr>
          <w:rFonts w:ascii="仿宋_GB2312" w:hAnsi="仿宋_GB2312" w:cs="仿宋_GB2312" w:hint="eastAsia"/>
          <w:b/>
          <w:bCs/>
          <w:szCs w:val="32"/>
        </w:rPr>
        <w:t>1.</w:t>
      </w:r>
      <w:proofErr w:type="gramStart"/>
      <w:r>
        <w:rPr>
          <w:rFonts w:ascii="仿宋_GB2312" w:hAnsi="仿宋_GB2312" w:cs="仿宋_GB2312" w:hint="eastAsia"/>
          <w:b/>
          <w:bCs/>
          <w:szCs w:val="32"/>
        </w:rPr>
        <w:t>完善全</w:t>
      </w:r>
      <w:proofErr w:type="gramEnd"/>
      <w:r>
        <w:rPr>
          <w:rFonts w:ascii="仿宋_GB2312" w:hAnsi="仿宋_GB2312" w:cs="仿宋_GB2312" w:hint="eastAsia"/>
          <w:b/>
          <w:bCs/>
          <w:szCs w:val="32"/>
        </w:rPr>
        <w:t>口径清单动态调整机制</w:t>
      </w:r>
      <w:r>
        <w:rPr>
          <w:rFonts w:ascii="仿宋_GB2312" w:hAnsi="仿宋_GB2312" w:cs="仿宋_GB2312" w:hint="eastAsia"/>
          <w:szCs w:val="32"/>
        </w:rPr>
        <w:t>。全面排查以工业固体废物为原料的锌无机化合物工业企业信息,将其纳入全口径涉重金属重点行业企业清单（以下</w:t>
      </w:r>
      <w:proofErr w:type="gramStart"/>
      <w:r>
        <w:rPr>
          <w:rFonts w:ascii="仿宋_GB2312" w:hAnsi="仿宋_GB2312" w:cs="仿宋_GB2312" w:hint="eastAsia"/>
          <w:szCs w:val="32"/>
        </w:rPr>
        <w:t>简称全</w:t>
      </w:r>
      <w:proofErr w:type="gramEnd"/>
      <w:r>
        <w:rPr>
          <w:rFonts w:ascii="仿宋_GB2312" w:hAnsi="仿宋_GB2312" w:cs="仿宋_GB2312" w:hint="eastAsia"/>
          <w:szCs w:val="32"/>
        </w:rPr>
        <w:t>口径清单）;梳理排查以国家重点行业企业为主的工业园区,建立涉重金属工业园区清单;及时增补新、改、扩建企业信息和漏报企业信息,动态</w:t>
      </w:r>
      <w:proofErr w:type="gramStart"/>
      <w:r>
        <w:rPr>
          <w:rFonts w:ascii="仿宋_GB2312" w:hAnsi="仿宋_GB2312" w:cs="仿宋_GB2312" w:hint="eastAsia"/>
          <w:szCs w:val="32"/>
        </w:rPr>
        <w:t>更新全</w:t>
      </w:r>
      <w:proofErr w:type="gramEnd"/>
      <w:r>
        <w:rPr>
          <w:rFonts w:ascii="仿宋_GB2312" w:hAnsi="仿宋_GB2312" w:cs="仿宋_GB2312" w:hint="eastAsia"/>
          <w:szCs w:val="32"/>
        </w:rPr>
        <w:t>口径清单,并在省生态环境厅网站上公布。依法将国家重点行业企业纳入重点排污单位名录。</w:t>
      </w:r>
      <w:r>
        <w:rPr>
          <w:rFonts w:ascii="仿宋_GB2312" w:hAnsi="仿宋_GB2312" w:cs="仿宋_GB2312" w:hint="eastAsia"/>
          <w:w w:val="98"/>
          <w:szCs w:val="32"/>
        </w:rPr>
        <w:t>（</w:t>
      </w:r>
      <w:r>
        <w:rPr>
          <w:rFonts w:ascii="仿宋_GB2312" w:hAnsi="仿宋_GB2312" w:cs="仿宋_GB2312" w:hint="eastAsia"/>
          <w:b/>
          <w:bCs/>
          <w:w w:val="98"/>
          <w:szCs w:val="32"/>
        </w:rPr>
        <w:t>省生态环境厅牵头督导，各市州、县市区人民政府相关部门负责落实，以下工作均需市州、县市区人民政府相关部门负责落实，不再重复</w:t>
      </w:r>
      <w:r>
        <w:rPr>
          <w:rFonts w:ascii="仿宋_GB2312" w:hAnsi="仿宋_GB2312" w:cs="仿宋_GB2312" w:hint="eastAsia"/>
          <w:w w:val="98"/>
          <w:szCs w:val="32"/>
        </w:rPr>
        <w:t>）</w:t>
      </w:r>
    </w:p>
    <w:p w:rsidR="00B74781" w:rsidRDefault="00000000">
      <w:pPr>
        <w:tabs>
          <w:tab w:val="left" w:pos="7655"/>
        </w:tabs>
        <w:snapToGrid w:val="0"/>
        <w:spacing w:line="580" w:lineRule="exact"/>
        <w:ind w:firstLineChars="200" w:firstLine="636"/>
        <w:rPr>
          <w:rFonts w:ascii="仿宋_GB2312" w:hAnsi="仿宋_GB2312" w:cs="仿宋_GB2312"/>
          <w:b/>
          <w:bCs/>
          <w:szCs w:val="32"/>
        </w:rPr>
      </w:pPr>
      <w:r>
        <w:rPr>
          <w:rFonts w:ascii="仿宋_GB2312" w:hAnsi="仿宋_GB2312" w:cs="仿宋_GB2312" w:hint="eastAsia"/>
          <w:b/>
          <w:bCs/>
          <w:szCs w:val="32"/>
        </w:rPr>
        <w:t>2.加强</w:t>
      </w:r>
      <w:proofErr w:type="gramStart"/>
      <w:r>
        <w:rPr>
          <w:rFonts w:ascii="仿宋_GB2312" w:hAnsi="仿宋_GB2312" w:cs="仿宋_GB2312" w:hint="eastAsia"/>
          <w:b/>
          <w:bCs/>
          <w:szCs w:val="32"/>
        </w:rPr>
        <w:t>重金属污染物减排</w:t>
      </w:r>
      <w:proofErr w:type="gramEnd"/>
      <w:r>
        <w:rPr>
          <w:rFonts w:ascii="仿宋_GB2312" w:hAnsi="仿宋_GB2312" w:cs="仿宋_GB2312" w:hint="eastAsia"/>
          <w:b/>
          <w:bCs/>
          <w:szCs w:val="32"/>
        </w:rPr>
        <w:t>分类管理。</w:t>
      </w:r>
      <w:r>
        <w:rPr>
          <w:rFonts w:ascii="仿宋_GB2312" w:hAnsi="仿宋_GB2312" w:cs="仿宋_GB2312" w:hint="eastAsia"/>
          <w:szCs w:val="32"/>
        </w:rPr>
        <w:t>根据各市州重金属污染物排放量基数和减</w:t>
      </w:r>
      <w:proofErr w:type="gramStart"/>
      <w:r>
        <w:rPr>
          <w:rFonts w:ascii="仿宋_GB2312" w:hAnsi="仿宋_GB2312" w:cs="仿宋_GB2312" w:hint="eastAsia"/>
          <w:szCs w:val="32"/>
        </w:rPr>
        <w:t>排潜力</w:t>
      </w:r>
      <w:proofErr w:type="gramEnd"/>
      <w:r>
        <w:rPr>
          <w:rFonts w:ascii="仿宋_GB2312" w:hAnsi="仿宋_GB2312" w:cs="仿宋_GB2312" w:hint="eastAsia"/>
          <w:szCs w:val="32"/>
        </w:rPr>
        <w:t>,分档确定减排目标;</w:t>
      </w:r>
      <w:proofErr w:type="gramStart"/>
      <w:r>
        <w:rPr>
          <w:rFonts w:ascii="仿宋_GB2312" w:hAnsi="仿宋_GB2312" w:cs="仿宋_GB2312" w:hint="eastAsia"/>
          <w:szCs w:val="32"/>
        </w:rPr>
        <w:t>按重点</w:t>
      </w:r>
      <w:proofErr w:type="gramEnd"/>
      <w:r>
        <w:rPr>
          <w:rFonts w:ascii="仿宋_GB2312" w:hAnsi="仿宋_GB2312" w:cs="仿宋_GB2312" w:hint="eastAsia"/>
          <w:szCs w:val="32"/>
        </w:rPr>
        <w:t>区域、重点行业以及重点重金属,实施</w:t>
      </w:r>
      <w:proofErr w:type="gramStart"/>
      <w:r>
        <w:rPr>
          <w:rFonts w:ascii="仿宋_GB2312" w:hAnsi="仿宋_GB2312" w:cs="仿宋_GB2312" w:hint="eastAsia"/>
          <w:szCs w:val="32"/>
        </w:rPr>
        <w:t>差别化减排</w:t>
      </w:r>
      <w:proofErr w:type="gramEnd"/>
      <w:r>
        <w:rPr>
          <w:rFonts w:ascii="仿宋_GB2312" w:hAnsi="仿宋_GB2312" w:cs="仿宋_GB2312" w:hint="eastAsia"/>
          <w:szCs w:val="32"/>
        </w:rPr>
        <w:t>政策。各地生态环境部门应进一步摸排企业情况,挖掘减</w:t>
      </w:r>
      <w:proofErr w:type="gramStart"/>
      <w:r>
        <w:rPr>
          <w:rFonts w:ascii="仿宋_GB2312" w:hAnsi="仿宋_GB2312" w:cs="仿宋_GB2312" w:hint="eastAsia"/>
          <w:szCs w:val="32"/>
        </w:rPr>
        <w:t>排潜力</w:t>
      </w:r>
      <w:proofErr w:type="gramEnd"/>
      <w:r>
        <w:rPr>
          <w:rFonts w:ascii="仿宋_GB2312" w:hAnsi="仿宋_GB2312" w:cs="仿宋_GB2312" w:hint="eastAsia"/>
          <w:szCs w:val="32"/>
        </w:rPr>
        <w:t>,以结构调整、升级改造和深度治理为主要手段,将减排目标任务落实到具体企业,推动实施一批重金属减排工程,持续减少重金属污染物排放。依据</w:t>
      </w:r>
      <w:r>
        <w:rPr>
          <w:rFonts w:ascii="仿宋_GB2312" w:hAnsi="仿宋_GB2312" w:cs="仿宋_GB2312" w:hint="eastAsia"/>
          <w:szCs w:val="32"/>
          <w:lang w:val="en"/>
        </w:rPr>
        <w:t>2020年底生态环境部核定的基础排</w:t>
      </w:r>
      <w:r>
        <w:rPr>
          <w:rFonts w:ascii="仿宋_GB2312" w:hAnsi="仿宋_GB2312" w:cs="仿宋_GB2312" w:hint="eastAsia"/>
          <w:szCs w:val="32"/>
        </w:rPr>
        <w:t>放量，按比例分解各市州“十四五”</w:t>
      </w:r>
      <w:proofErr w:type="gramStart"/>
      <w:r>
        <w:rPr>
          <w:rFonts w:ascii="仿宋_GB2312" w:hAnsi="仿宋_GB2312" w:cs="仿宋_GB2312" w:hint="eastAsia"/>
          <w:szCs w:val="32"/>
        </w:rPr>
        <w:t>期间减</w:t>
      </w:r>
      <w:proofErr w:type="gramEnd"/>
      <w:r>
        <w:rPr>
          <w:rFonts w:ascii="仿宋_GB2312" w:hAnsi="仿宋_GB2312" w:cs="仿宋_GB2312" w:hint="eastAsia"/>
          <w:szCs w:val="32"/>
        </w:rPr>
        <w:t>排任务（附件）。</w:t>
      </w:r>
      <w:r>
        <w:rPr>
          <w:rFonts w:ascii="仿宋_GB2312" w:hAnsi="仿宋_GB2312" w:cs="仿宋_GB2312" w:hint="eastAsia"/>
          <w:b/>
          <w:bCs/>
          <w:w w:val="98"/>
          <w:szCs w:val="32"/>
        </w:rPr>
        <w:t>（省生态环境厅牵头督导）</w:t>
      </w:r>
    </w:p>
    <w:p w:rsidR="00B74781" w:rsidRDefault="00000000">
      <w:pPr>
        <w:tabs>
          <w:tab w:val="left" w:pos="7655"/>
        </w:tabs>
        <w:snapToGrid w:val="0"/>
        <w:spacing w:line="580" w:lineRule="exact"/>
        <w:ind w:firstLineChars="200" w:firstLine="636"/>
        <w:rPr>
          <w:rFonts w:ascii="仿宋_GB2312" w:hAnsi="仿宋_GB2312" w:cs="仿宋_GB2312"/>
          <w:b/>
          <w:bCs/>
          <w:szCs w:val="32"/>
        </w:rPr>
      </w:pPr>
      <w:r>
        <w:rPr>
          <w:rFonts w:ascii="仿宋_GB2312" w:hAnsi="仿宋_GB2312" w:cs="仿宋_GB2312" w:hint="eastAsia"/>
          <w:b/>
          <w:bCs/>
          <w:szCs w:val="32"/>
        </w:rPr>
        <w:t>3.推行企业重金属污染物排放总量控制制度</w:t>
      </w:r>
      <w:r>
        <w:rPr>
          <w:rFonts w:ascii="仿宋_GB2312" w:hAnsi="仿宋_GB2312" w:cs="仿宋_GB2312" w:hint="eastAsia"/>
          <w:szCs w:val="32"/>
        </w:rPr>
        <w:t>。</w:t>
      </w:r>
      <w:r>
        <w:rPr>
          <w:rFonts w:ascii="仿宋_GB2312" w:hAnsi="仿宋_GB2312" w:cs="仿宋_GB2312" w:hint="eastAsia"/>
          <w:szCs w:val="32"/>
          <w:lang w:bidi="ar"/>
        </w:rPr>
        <w:t>各市州</w:t>
      </w:r>
      <w:r>
        <w:rPr>
          <w:rFonts w:ascii="仿宋_GB2312" w:hAnsi="仿宋_GB2312" w:cs="仿宋_GB2312" w:hint="eastAsia"/>
          <w:szCs w:val="32"/>
        </w:rPr>
        <w:t>依法将国家重点行业企业纳入排污许可管理。对于实施排污许可重点管</w:t>
      </w:r>
      <w:r>
        <w:rPr>
          <w:rFonts w:ascii="仿宋_GB2312" w:hAnsi="仿宋_GB2312" w:cs="仿宋_GB2312" w:hint="eastAsia"/>
          <w:szCs w:val="32"/>
        </w:rPr>
        <w:lastRenderedPageBreak/>
        <w:t>理的企业，排污许可证应当明确重金属污染物排放种类、许可排放浓度、许可排放量等。</w:t>
      </w:r>
      <w:r>
        <w:rPr>
          <w:rFonts w:ascii="仿宋_GB2312" w:hAnsi="仿宋_GB2312" w:cs="仿宋_GB2312" w:hint="eastAsia"/>
          <w:szCs w:val="32"/>
          <w:lang w:bidi="ar"/>
        </w:rPr>
        <w:t>各市州生态环境部门</w:t>
      </w:r>
      <w:r>
        <w:rPr>
          <w:rFonts w:ascii="仿宋_GB2312" w:hAnsi="仿宋_GB2312" w:cs="仿宋_GB2312" w:hint="eastAsia"/>
          <w:szCs w:val="32"/>
        </w:rPr>
        <w:t>探索将重点行业减排企业重金属污染物排放总量要求落实到排污许可证,减排企业在执行国家和地方污染物排放标准的同时,应当遵守分解落实到本单位的重金属排放总量控制要求。重点行业企业适用的污染物排放标准、重点污染物总量控制要求发生变化,需要对排污许可证进行变更的,审批部门可以依法对排污许可证相应事项进行变更,并载明削减措施、减排量,作为总量替代来源的还应载明出让量和出让去向。到2025年，企业排污许可证环境管理台账、自行监测和执行报告</w:t>
      </w:r>
      <w:r>
        <w:rPr>
          <w:rFonts w:ascii="仿宋_GB2312" w:hAnsi="仿宋_GB2312" w:cs="仿宋_GB2312" w:hint="eastAsia"/>
          <w:spacing w:val="-10"/>
          <w:szCs w:val="32"/>
        </w:rPr>
        <w:t>数据基本实现完整、可信,有效支撑重点行业企业排放量管理。</w:t>
      </w:r>
      <w:r>
        <w:rPr>
          <w:rFonts w:ascii="仿宋_GB2312" w:hAnsi="仿宋_GB2312" w:cs="仿宋_GB2312" w:hint="eastAsia"/>
          <w:b/>
          <w:bCs/>
          <w:szCs w:val="32"/>
        </w:rPr>
        <w:t>（</w:t>
      </w:r>
      <w:r>
        <w:rPr>
          <w:rFonts w:ascii="仿宋_GB2312" w:hAnsi="仿宋_GB2312" w:cs="仿宋_GB2312" w:hint="eastAsia"/>
          <w:b/>
          <w:bCs/>
          <w:w w:val="98"/>
          <w:szCs w:val="32"/>
        </w:rPr>
        <w:t>省生态环境厅牵头督导）</w:t>
      </w:r>
    </w:p>
    <w:p w:rsidR="00B74781" w:rsidRDefault="00000000">
      <w:pPr>
        <w:tabs>
          <w:tab w:val="left" w:pos="7655"/>
        </w:tabs>
        <w:snapToGrid w:val="0"/>
        <w:spacing w:line="580" w:lineRule="exact"/>
        <w:ind w:firstLineChars="200" w:firstLine="612"/>
        <w:rPr>
          <w:rFonts w:ascii="仿宋_GB2312" w:hAnsi="仿宋_GB2312" w:cs="仿宋_GB2312"/>
          <w:b/>
          <w:bCs/>
          <w:szCs w:val="32"/>
        </w:rPr>
      </w:pPr>
      <w:r>
        <w:rPr>
          <w:rFonts w:ascii="仿宋_GB2312" w:hAnsi="仿宋_GB2312" w:cs="仿宋_GB2312" w:hint="eastAsia"/>
          <w:b/>
          <w:bCs/>
          <w:spacing w:val="-6"/>
          <w:szCs w:val="32"/>
        </w:rPr>
        <w:t>4.探索重金属污染物排放总量替代管理豁免。</w:t>
      </w:r>
      <w:r>
        <w:rPr>
          <w:rFonts w:ascii="仿宋_GB2312" w:hAnsi="仿宋_GB2312" w:cs="仿宋_GB2312" w:hint="eastAsia"/>
          <w:spacing w:val="-6"/>
          <w:szCs w:val="32"/>
        </w:rPr>
        <w:t>在统筹区域环境质量改善目标和重金属环境风险防控水平、高标准落实重金属污染治理要求并严格审批前提下，对实施国家重大发展战略直接相</w:t>
      </w:r>
      <w:r>
        <w:rPr>
          <w:rFonts w:ascii="仿宋_GB2312" w:hAnsi="仿宋_GB2312" w:cs="仿宋_GB2312" w:hint="eastAsia"/>
          <w:spacing w:val="-1"/>
          <w:szCs w:val="32"/>
        </w:rPr>
        <w:t>关的重点项目,可在环评审</w:t>
      </w:r>
      <w:proofErr w:type="gramStart"/>
      <w:r>
        <w:rPr>
          <w:rFonts w:ascii="仿宋_GB2312" w:hAnsi="仿宋_GB2312" w:cs="仿宋_GB2312" w:hint="eastAsia"/>
          <w:spacing w:val="-1"/>
          <w:szCs w:val="32"/>
        </w:rPr>
        <w:t>批程序</w:t>
      </w:r>
      <w:proofErr w:type="gramEnd"/>
      <w:r>
        <w:rPr>
          <w:rFonts w:ascii="仿宋_GB2312" w:hAnsi="仿宋_GB2312" w:cs="仿宋_GB2312" w:hint="eastAsia"/>
          <w:spacing w:val="-1"/>
          <w:szCs w:val="32"/>
        </w:rPr>
        <w:t>实行重金属污染物排放总量替</w:t>
      </w:r>
      <w:r>
        <w:rPr>
          <w:rFonts w:ascii="仿宋_GB2312" w:hAnsi="仿宋_GB2312" w:cs="仿宋_GB2312" w:hint="eastAsia"/>
          <w:spacing w:val="-6"/>
          <w:szCs w:val="32"/>
        </w:rPr>
        <w:t>代管理豁免。对利用涉重金属固体废物的重点行业建设项目，特</w:t>
      </w:r>
      <w:r>
        <w:rPr>
          <w:rFonts w:ascii="仿宋_GB2312" w:hAnsi="仿宋_GB2312" w:cs="仿宋_GB2312" w:hint="eastAsia"/>
          <w:spacing w:val="-1"/>
          <w:szCs w:val="32"/>
        </w:rPr>
        <w:t>别是以历史遗留涉重金属固体废物为原料的,在满足利用固体废</w:t>
      </w:r>
      <w:r>
        <w:rPr>
          <w:rFonts w:ascii="仿宋_GB2312" w:hAnsi="仿宋_GB2312" w:cs="仿宋_GB2312" w:hint="eastAsia"/>
          <w:spacing w:val="-6"/>
          <w:szCs w:val="32"/>
        </w:rPr>
        <w:t>物种类、原料来源、建设地点、工艺设备和污染治理水平等必要</w:t>
      </w:r>
      <w:r>
        <w:rPr>
          <w:rFonts w:ascii="仿宋_GB2312" w:hAnsi="仿宋_GB2312" w:cs="仿宋_GB2312" w:hint="eastAsia"/>
          <w:szCs w:val="32"/>
        </w:rPr>
        <w:t>条件并严格审批前提下,可在环评审</w:t>
      </w:r>
      <w:proofErr w:type="gramStart"/>
      <w:r>
        <w:rPr>
          <w:rFonts w:ascii="仿宋_GB2312" w:hAnsi="仿宋_GB2312" w:cs="仿宋_GB2312" w:hint="eastAsia"/>
          <w:szCs w:val="32"/>
        </w:rPr>
        <w:t>批程序</w:t>
      </w:r>
      <w:proofErr w:type="gramEnd"/>
      <w:r>
        <w:rPr>
          <w:rFonts w:ascii="仿宋_GB2312" w:hAnsi="仿宋_GB2312" w:cs="仿宋_GB2312" w:hint="eastAsia"/>
          <w:szCs w:val="32"/>
        </w:rPr>
        <w:t>实行重金属污染物排</w:t>
      </w:r>
      <w:r>
        <w:rPr>
          <w:rFonts w:ascii="仿宋_GB2312" w:hAnsi="仿宋_GB2312" w:cs="仿宋_GB2312" w:hint="eastAsia"/>
          <w:spacing w:val="-10"/>
          <w:szCs w:val="32"/>
        </w:rPr>
        <w:t>放总量替代管理豁免。</w:t>
      </w:r>
      <w:r>
        <w:rPr>
          <w:rFonts w:ascii="仿宋_GB2312" w:hAnsi="仿宋_GB2312" w:cs="仿宋_GB2312" w:hint="eastAsia"/>
          <w:b/>
          <w:bCs/>
          <w:szCs w:val="32"/>
        </w:rPr>
        <w:t>（</w:t>
      </w:r>
      <w:r>
        <w:rPr>
          <w:rFonts w:ascii="仿宋_GB2312" w:hAnsi="仿宋_GB2312" w:cs="仿宋_GB2312" w:hint="eastAsia"/>
          <w:b/>
          <w:bCs/>
          <w:w w:val="98"/>
          <w:szCs w:val="32"/>
        </w:rPr>
        <w:t>省生态环境厅牵头督导）</w:t>
      </w:r>
    </w:p>
    <w:p w:rsidR="00B74781" w:rsidRDefault="00000000">
      <w:pPr>
        <w:tabs>
          <w:tab w:val="left" w:pos="7655"/>
        </w:tabs>
        <w:snapToGrid w:val="0"/>
        <w:spacing w:line="580" w:lineRule="exact"/>
        <w:ind w:firstLineChars="200" w:firstLine="636"/>
        <w:rPr>
          <w:rFonts w:ascii="CESI楷体-GB2312" w:eastAsia="CESI楷体-GB2312" w:hAnsi="CESI楷体-GB2312" w:cs="CESI楷体-GB2312"/>
          <w:szCs w:val="32"/>
        </w:rPr>
      </w:pPr>
      <w:r>
        <w:rPr>
          <w:rFonts w:ascii="CESI楷体-GB2312" w:eastAsia="CESI楷体-GB2312" w:hAnsi="CESI楷体-GB2312" w:cs="CESI楷体-GB2312" w:hint="eastAsia"/>
          <w:szCs w:val="32"/>
        </w:rPr>
        <w:t>（二）严格准入,优化涉重金属产业结构和布局</w:t>
      </w:r>
    </w:p>
    <w:p w:rsidR="00B74781" w:rsidRDefault="00000000">
      <w:pPr>
        <w:tabs>
          <w:tab w:val="left" w:pos="7655"/>
        </w:tabs>
        <w:snapToGrid w:val="0"/>
        <w:spacing w:line="580" w:lineRule="exact"/>
        <w:ind w:firstLineChars="200" w:firstLine="612"/>
        <w:rPr>
          <w:rFonts w:ascii="仿宋_GB2312" w:hAnsi="仿宋_GB2312" w:cs="仿宋_GB2312"/>
          <w:b/>
          <w:bCs/>
          <w:w w:val="98"/>
          <w:szCs w:val="32"/>
        </w:rPr>
      </w:pPr>
      <w:r>
        <w:rPr>
          <w:rFonts w:ascii="仿宋_GB2312" w:hAnsi="仿宋_GB2312" w:cs="仿宋_GB2312" w:hint="eastAsia"/>
          <w:b/>
          <w:bCs/>
          <w:spacing w:val="-6"/>
          <w:szCs w:val="32"/>
        </w:rPr>
        <w:t>5.严格重点行业企业准入管理</w:t>
      </w:r>
      <w:r>
        <w:rPr>
          <w:rFonts w:ascii="仿宋_GB2312" w:hAnsi="仿宋_GB2312" w:cs="仿宋_GB2312" w:hint="eastAsia"/>
          <w:spacing w:val="-6"/>
          <w:szCs w:val="32"/>
        </w:rPr>
        <w:t>。新、改、扩建</w:t>
      </w:r>
      <w:r>
        <w:rPr>
          <w:rFonts w:ascii="仿宋_GB2312" w:hAnsi="仿宋_GB2312" w:cs="仿宋_GB2312" w:hint="eastAsia"/>
          <w:szCs w:val="32"/>
        </w:rPr>
        <w:t>国家</w:t>
      </w:r>
      <w:r>
        <w:rPr>
          <w:rFonts w:ascii="仿宋_GB2312" w:hAnsi="仿宋_GB2312" w:cs="仿宋_GB2312" w:hint="eastAsia"/>
          <w:spacing w:val="-6"/>
          <w:szCs w:val="32"/>
        </w:rPr>
        <w:t>重点行业建</w:t>
      </w:r>
      <w:r>
        <w:rPr>
          <w:rFonts w:ascii="仿宋_GB2312" w:hAnsi="仿宋_GB2312" w:cs="仿宋_GB2312" w:hint="eastAsia"/>
          <w:spacing w:val="-6"/>
          <w:szCs w:val="32"/>
        </w:rPr>
        <w:lastRenderedPageBreak/>
        <w:t>设项目应进入省级及以上产业园区（矿产资源、能源开发等对选址有特殊要求的项目除外），符合"三线</w:t>
      </w:r>
      <w:proofErr w:type="gramStart"/>
      <w:r>
        <w:rPr>
          <w:rFonts w:ascii="仿宋_GB2312" w:hAnsi="仿宋_GB2312" w:cs="仿宋_GB2312" w:hint="eastAsia"/>
          <w:spacing w:val="-6"/>
          <w:szCs w:val="32"/>
        </w:rPr>
        <w:t>一</w:t>
      </w:r>
      <w:proofErr w:type="gramEnd"/>
      <w:r>
        <w:rPr>
          <w:rFonts w:ascii="仿宋_GB2312" w:hAnsi="仿宋_GB2312" w:cs="仿宋_GB2312" w:hint="eastAsia"/>
          <w:spacing w:val="-6"/>
          <w:szCs w:val="32"/>
        </w:rPr>
        <w:t>单"、产业政策、</w:t>
      </w:r>
      <w:proofErr w:type="gramStart"/>
      <w:r>
        <w:rPr>
          <w:rFonts w:ascii="仿宋_GB2312" w:hAnsi="仿宋_GB2312" w:cs="仿宋_GB2312" w:hint="eastAsia"/>
          <w:spacing w:val="-6"/>
          <w:szCs w:val="32"/>
        </w:rPr>
        <w:t>区域环</w:t>
      </w:r>
      <w:proofErr w:type="gramEnd"/>
      <w:r>
        <w:rPr>
          <w:rFonts w:ascii="仿宋_GB2312" w:hAnsi="仿宋_GB2312" w:cs="仿宋_GB2312" w:hint="eastAsia"/>
          <w:spacing w:val="-6"/>
          <w:szCs w:val="32"/>
        </w:rPr>
        <w:t>评、规划环评和行业环境准入管控要求，坚决遏制高耗能高排放低水平项目盲目发展。国家重点区域的新、改、扩建重点行业建设项目应遵循重点重金属污染物排放"减量替代"原则,减量替代比例不低于1.2:1;其他区域遵循"等量替代"原则。建设单位在提交环境影响评价文件时应明确重点重金属污染物排放总量及来源。无明确具体总量来源的,各级生态环境部门不得批准相关环境影响评价文件。总量来源原则上应是同一重点行业内企业削减的重点重金属污染物排放量,当同一重点行业内企业削减量无法满足时可从其他重点行业调剂。严格重点行业建设项目环境影响评价审批,审慎下放审批权限,不得以改革试点为名降低审批要求。</w:t>
      </w:r>
      <w:r>
        <w:rPr>
          <w:rFonts w:ascii="仿宋_GB2312" w:hAnsi="仿宋_GB2312" w:cs="仿宋_GB2312" w:hint="eastAsia"/>
          <w:b/>
          <w:bCs/>
          <w:w w:val="98"/>
          <w:szCs w:val="32"/>
        </w:rPr>
        <w:t>（省发展改革委、省工业和信息化厅、省自然资源厅、省生态环境厅按职责分工督导）</w:t>
      </w:r>
    </w:p>
    <w:p w:rsidR="00B74781" w:rsidRDefault="00000000">
      <w:pPr>
        <w:tabs>
          <w:tab w:val="left" w:pos="7655"/>
        </w:tabs>
        <w:snapToGrid w:val="0"/>
        <w:spacing w:line="580" w:lineRule="exact"/>
        <w:ind w:firstLineChars="200" w:firstLine="612"/>
        <w:rPr>
          <w:rFonts w:ascii="仿宋_GB2312" w:hAnsi="仿宋_GB2312" w:cs="仿宋_GB2312"/>
          <w:b/>
          <w:bCs/>
          <w:spacing w:val="-6"/>
          <w:szCs w:val="32"/>
        </w:rPr>
      </w:pPr>
      <w:r>
        <w:rPr>
          <w:rFonts w:ascii="仿宋_GB2312" w:hAnsi="仿宋_GB2312" w:cs="仿宋_GB2312" w:hint="eastAsia"/>
          <w:b/>
          <w:bCs/>
          <w:spacing w:val="-6"/>
          <w:szCs w:val="32"/>
        </w:rPr>
        <w:t>6.依法依规推动落后产能退出。</w:t>
      </w:r>
      <w:r>
        <w:rPr>
          <w:rFonts w:ascii="仿宋_GB2312" w:hAnsi="仿宋_GB2312" w:cs="仿宋_GB2312" w:hint="eastAsia"/>
          <w:spacing w:val="-6"/>
          <w:szCs w:val="32"/>
        </w:rPr>
        <w:t>根据《产业结构调整指导目录》 《限期淘汰产生严重污染环境的工业固体废物的落后生产工艺设备名录》等要求,推动依法淘汰涉重金属落后产能和化解过剩产能。严格执行生态环境保护等相关法规标准,推动经整改仍达不到要求的产能依法依规关闭退出。</w:t>
      </w:r>
      <w:r>
        <w:rPr>
          <w:rFonts w:ascii="仿宋_GB2312" w:hAnsi="仿宋_GB2312" w:cs="仿宋_GB2312" w:hint="eastAsia"/>
          <w:b/>
          <w:bCs/>
          <w:w w:val="98"/>
          <w:szCs w:val="32"/>
        </w:rPr>
        <w:t>（省工业和信息化厅、省发展改革委牵头督导，省生态环境厅配合）</w:t>
      </w:r>
    </w:p>
    <w:p w:rsidR="00B74781" w:rsidRDefault="00000000">
      <w:pPr>
        <w:tabs>
          <w:tab w:val="left" w:pos="7655"/>
        </w:tabs>
        <w:snapToGrid w:val="0"/>
        <w:spacing w:line="580" w:lineRule="exact"/>
        <w:ind w:firstLineChars="200" w:firstLine="612"/>
        <w:rPr>
          <w:rFonts w:ascii="仿宋_GB2312" w:hAnsi="仿宋_GB2312" w:cs="仿宋_GB2312"/>
          <w:b/>
          <w:bCs/>
          <w:w w:val="98"/>
          <w:szCs w:val="32"/>
        </w:rPr>
      </w:pPr>
      <w:r>
        <w:rPr>
          <w:rFonts w:ascii="仿宋_GB2312" w:hAnsi="仿宋_GB2312" w:cs="仿宋_GB2312" w:hint="eastAsia"/>
          <w:b/>
          <w:bCs/>
          <w:spacing w:val="-6"/>
          <w:szCs w:val="32"/>
        </w:rPr>
        <w:t>7.优化重点行业企业布局</w:t>
      </w:r>
      <w:r>
        <w:rPr>
          <w:rFonts w:ascii="仿宋_GB2312" w:hAnsi="仿宋_GB2312" w:cs="仿宋_GB2312" w:hint="eastAsia"/>
          <w:spacing w:val="-6"/>
          <w:szCs w:val="32"/>
        </w:rPr>
        <w:t>。推动涉重金属产业集中优化发展,禁止低端落后产能向省内转移。禁止新建用汞的电石法(聚)氯乙烯生产工艺。新建、扩建的重有色金属冶炼、电镀、制革企业优先选择</w:t>
      </w:r>
      <w:r>
        <w:rPr>
          <w:rFonts w:ascii="仿宋_GB2312" w:hAnsi="仿宋_GB2312" w:cs="仿宋_GB2312" w:hint="eastAsia"/>
          <w:spacing w:val="-6"/>
          <w:szCs w:val="32"/>
        </w:rPr>
        <w:lastRenderedPageBreak/>
        <w:t>布设在依法合</w:t>
      </w:r>
      <w:proofErr w:type="gramStart"/>
      <w:r>
        <w:rPr>
          <w:rFonts w:ascii="仿宋_GB2312" w:hAnsi="仿宋_GB2312" w:cs="仿宋_GB2312" w:hint="eastAsia"/>
          <w:spacing w:val="-6"/>
          <w:szCs w:val="32"/>
        </w:rPr>
        <w:t>规</w:t>
      </w:r>
      <w:proofErr w:type="gramEnd"/>
      <w:r>
        <w:rPr>
          <w:rFonts w:ascii="仿宋_GB2312" w:hAnsi="仿宋_GB2312" w:cs="仿宋_GB2312" w:hint="eastAsia"/>
          <w:spacing w:val="-6"/>
          <w:szCs w:val="32"/>
        </w:rPr>
        <w:t>设立并经规划环评的产业园区。全面推进工业园区</w:t>
      </w:r>
      <w:proofErr w:type="gramStart"/>
      <w:r>
        <w:rPr>
          <w:rFonts w:ascii="仿宋_GB2312" w:hAnsi="仿宋_GB2312" w:cs="仿宋_GB2312" w:hint="eastAsia"/>
          <w:spacing w:val="-6"/>
          <w:szCs w:val="32"/>
        </w:rPr>
        <w:t>外危险</w:t>
      </w:r>
      <w:proofErr w:type="gramEnd"/>
      <w:r>
        <w:rPr>
          <w:rFonts w:ascii="仿宋_GB2312" w:hAnsi="仿宋_GB2312" w:cs="仿宋_GB2312" w:hint="eastAsia"/>
          <w:spacing w:val="-6"/>
          <w:szCs w:val="32"/>
        </w:rPr>
        <w:t>废物经营企业搬迁入园（危险废物（含</w:t>
      </w:r>
      <w:proofErr w:type="gramStart"/>
      <w:r>
        <w:rPr>
          <w:rFonts w:ascii="仿宋_GB2312" w:hAnsi="仿宋_GB2312" w:cs="仿宋_GB2312" w:hint="eastAsia"/>
          <w:spacing w:val="-6"/>
          <w:szCs w:val="32"/>
        </w:rPr>
        <w:t>医</w:t>
      </w:r>
      <w:proofErr w:type="gramEnd"/>
      <w:r>
        <w:rPr>
          <w:rFonts w:ascii="仿宋_GB2312" w:hAnsi="仿宋_GB2312" w:cs="仿宋_GB2312" w:hint="eastAsia"/>
          <w:spacing w:val="-6"/>
          <w:szCs w:val="32"/>
        </w:rPr>
        <w:t>废）处置中心和水泥窑协同处置企业及特别批准除外）。</w:t>
      </w:r>
      <w:r>
        <w:rPr>
          <w:rFonts w:ascii="仿宋_GB2312" w:hAnsi="仿宋_GB2312" w:cs="仿宋_GB2312" w:hint="eastAsia"/>
          <w:b/>
          <w:bCs/>
          <w:w w:val="98"/>
          <w:szCs w:val="32"/>
        </w:rPr>
        <w:t>（省发展改革委牵头督导，省工业和信息化厅、省生态环境厅配合）</w:t>
      </w:r>
    </w:p>
    <w:p w:rsidR="00B74781" w:rsidRDefault="00000000">
      <w:pPr>
        <w:tabs>
          <w:tab w:val="left" w:pos="7655"/>
        </w:tabs>
        <w:snapToGrid w:val="0"/>
        <w:spacing w:line="580" w:lineRule="exact"/>
        <w:ind w:firstLineChars="200" w:firstLine="636"/>
        <w:rPr>
          <w:rFonts w:ascii="CESI楷体-GB2312" w:eastAsia="CESI楷体-GB2312" w:hAnsi="CESI楷体-GB2312" w:cs="CESI楷体-GB2312"/>
          <w:szCs w:val="32"/>
        </w:rPr>
      </w:pPr>
      <w:r>
        <w:rPr>
          <w:rFonts w:ascii="CESI楷体-GB2312" w:eastAsia="CESI楷体-GB2312" w:hAnsi="CESI楷体-GB2312" w:cs="CESI楷体-GB2312" w:hint="eastAsia"/>
          <w:szCs w:val="32"/>
        </w:rPr>
        <w:t>（三）突出重点，深化重点行业重金属污染治理</w:t>
      </w:r>
    </w:p>
    <w:p w:rsidR="00B74781" w:rsidRDefault="00000000">
      <w:pPr>
        <w:widowControl/>
        <w:spacing w:line="580" w:lineRule="exact"/>
        <w:ind w:firstLineChars="200" w:firstLine="636"/>
        <w:rPr>
          <w:rFonts w:ascii="仿宋_GB2312" w:hAnsi="仿宋_GB2312" w:cs="仿宋_GB2312"/>
          <w:szCs w:val="32"/>
        </w:rPr>
      </w:pPr>
      <w:r>
        <w:rPr>
          <w:rFonts w:ascii="仿宋_GB2312" w:hAnsi="仿宋_GB2312" w:cs="仿宋_GB2312" w:hint="eastAsia"/>
          <w:b/>
          <w:bCs/>
          <w:szCs w:val="32"/>
          <w:lang w:bidi="ar"/>
        </w:rPr>
        <w:t>8.加强重点行业企业清洁生产改造。</w:t>
      </w:r>
      <w:r>
        <w:rPr>
          <w:rFonts w:ascii="仿宋_GB2312" w:hAnsi="仿宋_GB2312" w:cs="仿宋_GB2312" w:hint="eastAsia"/>
          <w:szCs w:val="32"/>
          <w:lang w:bidi="ar"/>
        </w:rPr>
        <w:t>加强重点行业清洁生产工艺的开发和应用。</w:t>
      </w:r>
      <w:r>
        <w:rPr>
          <w:rFonts w:ascii="仿宋_GB2312" w:hAnsi="仿宋_GB2312" w:cs="仿宋_GB2312" w:hint="eastAsia"/>
          <w:szCs w:val="32"/>
        </w:rPr>
        <w:t>国家</w:t>
      </w:r>
      <w:r>
        <w:rPr>
          <w:rFonts w:ascii="仿宋_GB2312" w:hAnsi="仿宋_GB2312" w:cs="仿宋_GB2312" w:hint="eastAsia"/>
          <w:szCs w:val="32"/>
          <w:lang w:bidi="ar"/>
        </w:rPr>
        <w:t>重点行业企业“十四五”期间依法至少开展一轮强制性清洁生产审核。到2025年底，</w:t>
      </w:r>
      <w:r>
        <w:rPr>
          <w:rFonts w:ascii="仿宋_GB2312" w:hAnsi="仿宋_GB2312" w:cs="仿宋_GB2312" w:hint="eastAsia"/>
          <w:szCs w:val="32"/>
        </w:rPr>
        <w:t>国家</w:t>
      </w:r>
      <w:r>
        <w:rPr>
          <w:rFonts w:ascii="仿宋_GB2312" w:hAnsi="仿宋_GB2312" w:cs="仿宋_GB2312" w:hint="eastAsia"/>
          <w:szCs w:val="32"/>
          <w:lang w:bidi="ar"/>
        </w:rPr>
        <w:t>重点行业企业基本达到国内清洁生产先进水平。加强重金属污染源头防控，减少使用高镉、高砷或高铊的矿石原料。加大重有色金属冶炼行业企业生产工艺设备清洁生产改造力度，积极推动竖罐炼锌设备替代改造和</w:t>
      </w:r>
      <w:proofErr w:type="gramStart"/>
      <w:r>
        <w:rPr>
          <w:rFonts w:ascii="仿宋_GB2312" w:hAnsi="仿宋_GB2312" w:cs="仿宋_GB2312" w:hint="eastAsia"/>
          <w:szCs w:val="32"/>
          <w:lang w:bidi="ar"/>
        </w:rPr>
        <w:t>铜冶炼</w:t>
      </w:r>
      <w:proofErr w:type="gramEnd"/>
      <w:r>
        <w:rPr>
          <w:rFonts w:ascii="仿宋_GB2312" w:hAnsi="仿宋_GB2312" w:cs="仿宋_GB2312" w:hint="eastAsia"/>
          <w:szCs w:val="32"/>
          <w:lang w:bidi="ar"/>
        </w:rPr>
        <w:t>转炉吹炼工艺提升改造。电石法（聚）氯乙烯生产企业生产每吨聚氯乙烯用汞量不得超过49.14克，并确保持续稳中有降。</w:t>
      </w:r>
      <w:r>
        <w:rPr>
          <w:rFonts w:ascii="仿宋_GB2312" w:hAnsi="仿宋_GB2312" w:cs="仿宋_GB2312" w:hint="eastAsia"/>
          <w:b/>
          <w:bCs/>
          <w:w w:val="98"/>
          <w:szCs w:val="32"/>
        </w:rPr>
        <w:t>（省生态环境厅牵头督导，省工业和信息化厅、省发展改革委配合）</w:t>
      </w:r>
      <w:r>
        <w:rPr>
          <w:rFonts w:ascii="仿宋_GB2312" w:hAnsi="仿宋_GB2312" w:cs="仿宋_GB2312" w:hint="eastAsia"/>
          <w:szCs w:val="32"/>
          <w:lang w:bidi="ar"/>
        </w:rPr>
        <w:t xml:space="preserve"> </w:t>
      </w:r>
    </w:p>
    <w:p w:rsidR="00B74781" w:rsidRDefault="00000000">
      <w:pPr>
        <w:spacing w:line="580" w:lineRule="exact"/>
        <w:ind w:firstLineChars="200" w:firstLine="636"/>
        <w:textAlignment w:val="baseline"/>
        <w:rPr>
          <w:rFonts w:ascii="仿宋_GB2312" w:hAnsi="仿宋_GB2312" w:cs="仿宋_GB2312"/>
          <w:b/>
          <w:bCs/>
          <w:szCs w:val="32"/>
          <w:lang w:bidi="ar"/>
        </w:rPr>
      </w:pPr>
      <w:r>
        <w:rPr>
          <w:rFonts w:ascii="仿宋_GB2312" w:hAnsi="仿宋_GB2312" w:cs="仿宋_GB2312" w:hint="eastAsia"/>
          <w:b/>
          <w:bCs/>
          <w:szCs w:val="32"/>
          <w:lang w:bidi="ar"/>
        </w:rPr>
        <w:t>9.推进重金属污染深度治理。</w:t>
      </w:r>
      <w:r>
        <w:rPr>
          <w:rFonts w:ascii="仿宋_GB2312" w:hAnsi="仿宋_GB2312" w:cs="仿宋_GB2312" w:hint="eastAsia"/>
          <w:szCs w:val="32"/>
          <w:lang w:bidi="ar"/>
        </w:rPr>
        <w:t>在前期相关区域、相关行业已执行污染物特别排放限值的基础上，自2023年起，国家重点区域铅锌冶炼和</w:t>
      </w:r>
      <w:proofErr w:type="gramStart"/>
      <w:r>
        <w:rPr>
          <w:rFonts w:ascii="仿宋_GB2312" w:hAnsi="仿宋_GB2312" w:cs="仿宋_GB2312" w:hint="eastAsia"/>
          <w:szCs w:val="32"/>
          <w:lang w:bidi="ar"/>
        </w:rPr>
        <w:t>铜冶炼</w:t>
      </w:r>
      <w:proofErr w:type="gramEnd"/>
      <w:r>
        <w:rPr>
          <w:rFonts w:ascii="仿宋_GB2312" w:hAnsi="仿宋_GB2312" w:cs="仿宋_GB2312" w:hint="eastAsia"/>
          <w:szCs w:val="32"/>
          <w:lang w:bidi="ar"/>
        </w:rPr>
        <w:t>行业企业，执行颗粒物和重点重金属污染</w:t>
      </w:r>
      <w:proofErr w:type="gramStart"/>
      <w:r>
        <w:rPr>
          <w:rFonts w:ascii="仿宋_GB2312" w:hAnsi="仿宋_GB2312" w:cs="仿宋_GB2312" w:hint="eastAsia"/>
          <w:szCs w:val="32"/>
          <w:lang w:bidi="ar"/>
        </w:rPr>
        <w:t>物特别</w:t>
      </w:r>
      <w:proofErr w:type="gramEnd"/>
      <w:r>
        <w:rPr>
          <w:rFonts w:ascii="仿宋_GB2312" w:hAnsi="仿宋_GB2312" w:cs="仿宋_GB2312" w:hint="eastAsia"/>
          <w:szCs w:val="32"/>
          <w:lang w:bidi="ar"/>
        </w:rPr>
        <w:t>排放限值。根据排放标准相关规定和重金属污染防控需求，省人民政府可增加执行特别排放限值的地域范围。上述执行特别排放限值的地域范围，由省人民政府通过公告或印发相关文件等适当方式予以公布。重有色金属冶炼企业应加强生产车间低空逸</w:t>
      </w:r>
      <w:r>
        <w:rPr>
          <w:rFonts w:ascii="仿宋_GB2312" w:hAnsi="仿宋_GB2312" w:cs="仿宋_GB2312" w:hint="eastAsia"/>
          <w:szCs w:val="32"/>
          <w:lang w:bidi="ar"/>
        </w:rPr>
        <w:lastRenderedPageBreak/>
        <w:t>散烟气收集处理，有效减少无组织排放。重有色金属矿采选企业要按照规定完善废石堆场、排土场周边雨污分流设施，</w:t>
      </w:r>
      <w:r>
        <w:rPr>
          <w:rFonts w:ascii="仿宋_GB2312" w:hAnsi="仿宋_GB2312" w:cs="仿宋_GB2312" w:hint="eastAsia"/>
          <w:sz w:val="31"/>
          <w:szCs w:val="31"/>
          <w:lang w:bidi="ar"/>
        </w:rPr>
        <w:t>选厂应做好初期雨水收集处理，</w:t>
      </w:r>
      <w:r>
        <w:rPr>
          <w:rFonts w:ascii="仿宋_GB2312" w:hAnsi="仿宋_GB2312" w:cs="仿宋_GB2312" w:hint="eastAsia"/>
          <w:szCs w:val="32"/>
          <w:lang w:bidi="ar"/>
        </w:rPr>
        <w:t>建设酸性废水收集与处理设施，处理达标后排放。采用洒水、旋风等简易除尘治理工艺的重有色金属矿采选企业，应加强废气收集，实施过滤除尘等颗粒物治理升级改造工程。开展电镀行业重金属污染综合整治，推进专业电镀园区、专业电镀企业重金属污染深度治理。排放</w:t>
      </w:r>
      <w:proofErr w:type="gramStart"/>
      <w:r>
        <w:rPr>
          <w:rFonts w:ascii="仿宋_GB2312" w:hAnsi="仿宋_GB2312" w:cs="仿宋_GB2312" w:hint="eastAsia"/>
          <w:szCs w:val="32"/>
          <w:lang w:bidi="ar"/>
        </w:rPr>
        <w:t>汞及汞</w:t>
      </w:r>
      <w:proofErr w:type="gramEnd"/>
      <w:r>
        <w:rPr>
          <w:rFonts w:ascii="仿宋_GB2312" w:hAnsi="仿宋_GB2312" w:cs="仿宋_GB2312" w:hint="eastAsia"/>
          <w:szCs w:val="32"/>
          <w:lang w:bidi="ar"/>
        </w:rPr>
        <w:t>化合物的企业应当采用最佳可行技术和最佳环境实践，控制并减少</w:t>
      </w:r>
      <w:proofErr w:type="gramStart"/>
      <w:r>
        <w:rPr>
          <w:rFonts w:ascii="仿宋_GB2312" w:hAnsi="仿宋_GB2312" w:cs="仿宋_GB2312" w:hint="eastAsia"/>
          <w:szCs w:val="32"/>
          <w:lang w:bidi="ar"/>
        </w:rPr>
        <w:t>汞及汞</w:t>
      </w:r>
      <w:proofErr w:type="gramEnd"/>
      <w:r>
        <w:rPr>
          <w:rFonts w:ascii="仿宋_GB2312" w:hAnsi="仿宋_GB2312" w:cs="仿宋_GB2312" w:hint="eastAsia"/>
          <w:szCs w:val="32"/>
          <w:lang w:bidi="ar"/>
        </w:rPr>
        <w:t>化合物的排放和释放。</w:t>
      </w:r>
      <w:r>
        <w:rPr>
          <w:rFonts w:ascii="仿宋_GB2312" w:hAnsi="仿宋_GB2312" w:cs="仿宋_GB2312" w:hint="eastAsia"/>
          <w:b/>
          <w:bCs/>
          <w:w w:val="98"/>
          <w:szCs w:val="32"/>
        </w:rPr>
        <w:t>（</w:t>
      </w:r>
      <w:r>
        <w:rPr>
          <w:rFonts w:ascii="仿宋_GB2312" w:hAnsi="仿宋_GB2312" w:cs="仿宋_GB2312" w:hint="eastAsia"/>
          <w:b/>
          <w:bCs/>
          <w:w w:val="98"/>
          <w:kern w:val="2"/>
          <w:szCs w:val="32"/>
        </w:rPr>
        <w:t>省生态环境厅</w:t>
      </w:r>
      <w:r>
        <w:rPr>
          <w:rFonts w:ascii="仿宋_GB2312" w:hAnsi="仿宋_GB2312" w:cs="仿宋_GB2312" w:hint="eastAsia"/>
          <w:b/>
          <w:bCs/>
          <w:w w:val="98"/>
          <w:szCs w:val="32"/>
        </w:rPr>
        <w:t>牵头</w:t>
      </w:r>
      <w:r>
        <w:rPr>
          <w:rFonts w:ascii="仿宋_GB2312" w:hAnsi="仿宋_GB2312" w:cs="仿宋_GB2312" w:hint="eastAsia"/>
          <w:b/>
          <w:bCs/>
          <w:w w:val="98"/>
          <w:kern w:val="2"/>
          <w:szCs w:val="32"/>
        </w:rPr>
        <w:t>督导，省工业和信息化厅配合）</w:t>
      </w:r>
    </w:p>
    <w:p w:rsidR="00B74781" w:rsidRDefault="00000000">
      <w:pPr>
        <w:widowControl/>
        <w:spacing w:line="580" w:lineRule="exact"/>
        <w:ind w:firstLineChars="200" w:firstLine="636"/>
        <w:rPr>
          <w:rFonts w:ascii="仿宋_GB2312" w:hAnsi="仿宋_GB2312" w:cs="仿宋_GB2312"/>
          <w:b/>
          <w:bCs/>
          <w:w w:val="98"/>
          <w:szCs w:val="32"/>
        </w:rPr>
      </w:pPr>
      <w:r>
        <w:rPr>
          <w:rFonts w:ascii="仿宋_GB2312" w:hAnsi="仿宋_GB2312" w:cs="仿宋_GB2312" w:hint="eastAsia"/>
          <w:b/>
          <w:bCs/>
          <w:szCs w:val="32"/>
          <w:lang w:bidi="ar"/>
        </w:rPr>
        <w:t>10.开展涉</w:t>
      </w:r>
      <w:proofErr w:type="gramStart"/>
      <w:r>
        <w:rPr>
          <w:rFonts w:ascii="仿宋_GB2312" w:hAnsi="仿宋_GB2312" w:cs="仿宋_GB2312" w:hint="eastAsia"/>
          <w:b/>
          <w:bCs/>
          <w:szCs w:val="32"/>
          <w:lang w:bidi="ar"/>
        </w:rPr>
        <w:t>镉企业</w:t>
      </w:r>
      <w:proofErr w:type="gramEnd"/>
      <w:r>
        <w:rPr>
          <w:rFonts w:ascii="仿宋_GB2312" w:hAnsi="仿宋_GB2312" w:cs="仿宋_GB2312" w:hint="eastAsia"/>
          <w:b/>
          <w:bCs/>
          <w:szCs w:val="32"/>
          <w:lang w:bidi="ar"/>
        </w:rPr>
        <w:t>排查整治行动。</w:t>
      </w:r>
      <w:r>
        <w:rPr>
          <w:rFonts w:ascii="仿宋_GB2312" w:hAnsi="仿宋_GB2312" w:cs="仿宋_GB2312" w:hint="eastAsia"/>
          <w:szCs w:val="32"/>
          <w:lang w:bidi="ar"/>
        </w:rPr>
        <w:t>开展农用地土壤镉等重金属污染源头防治行动，持续推进耕地周边涉镉等重金属行业企业排查整治。开展涉镉等重金属行业企业排查整治“回头看”，及时更新重点区域和污染源整治清单；加强土壤污染重点监管单位周边农用地调查，持续开展耕地土壤污染成因排查，探索开展土壤污染源头防控成效评估，加强粮食质量安全风险监测，建立信息共享会商机制，降低粮食等农产品中重金属超标风险。</w:t>
      </w:r>
      <w:r>
        <w:rPr>
          <w:rFonts w:ascii="仿宋_GB2312" w:hAnsi="仿宋_GB2312" w:cs="仿宋_GB2312" w:hint="eastAsia"/>
          <w:b/>
          <w:bCs/>
          <w:w w:val="98"/>
          <w:szCs w:val="32"/>
        </w:rPr>
        <w:t>（省生态环境厅牵头督导，省财政厅、省自然资源厅、省农业农村厅、省粮食和物资储备局、省林业局配合）</w:t>
      </w:r>
    </w:p>
    <w:p w:rsidR="00B74781" w:rsidRDefault="00000000">
      <w:pPr>
        <w:widowControl/>
        <w:spacing w:line="580" w:lineRule="exact"/>
        <w:ind w:firstLineChars="200" w:firstLine="636"/>
        <w:rPr>
          <w:rFonts w:ascii="仿宋_GB2312" w:hAnsi="仿宋_GB2312" w:cs="仿宋_GB2312"/>
          <w:szCs w:val="32"/>
          <w:lang w:bidi="ar"/>
        </w:rPr>
      </w:pPr>
      <w:r>
        <w:rPr>
          <w:rFonts w:ascii="仿宋_GB2312" w:hAnsi="仿宋_GB2312" w:cs="仿宋_GB2312" w:hint="eastAsia"/>
          <w:b/>
          <w:bCs/>
          <w:szCs w:val="32"/>
          <w:lang w:bidi="ar"/>
        </w:rPr>
        <w:t>11.持续推进涉</w:t>
      </w:r>
      <w:proofErr w:type="gramStart"/>
      <w:r>
        <w:rPr>
          <w:rFonts w:ascii="仿宋_GB2312" w:hAnsi="仿宋_GB2312" w:cs="仿宋_GB2312" w:hint="eastAsia"/>
          <w:b/>
          <w:bCs/>
          <w:szCs w:val="32"/>
          <w:lang w:bidi="ar"/>
        </w:rPr>
        <w:t>铊企业</w:t>
      </w:r>
      <w:proofErr w:type="gramEnd"/>
      <w:r>
        <w:rPr>
          <w:rFonts w:ascii="仿宋_GB2312" w:hAnsi="仿宋_GB2312" w:cs="仿宋_GB2312" w:hint="eastAsia"/>
          <w:b/>
          <w:bCs/>
          <w:szCs w:val="32"/>
          <w:lang w:bidi="ar"/>
        </w:rPr>
        <w:t>排查整治行动。</w:t>
      </w:r>
      <w:r>
        <w:rPr>
          <w:rFonts w:ascii="仿宋_GB2312" w:hAnsi="仿宋_GB2312" w:cs="仿宋_GB2312" w:hint="eastAsia"/>
          <w:szCs w:val="32"/>
          <w:lang w:bidi="ar"/>
        </w:rPr>
        <w:t>以确保饮用水安全为核心，坚持问题和目标导向，突出重点、分步推进，全面排查涉铊企业，指导督促涉</w:t>
      </w:r>
      <w:proofErr w:type="gramStart"/>
      <w:r>
        <w:rPr>
          <w:rFonts w:ascii="仿宋_GB2312" w:hAnsi="仿宋_GB2312" w:cs="仿宋_GB2312" w:hint="eastAsia"/>
          <w:szCs w:val="32"/>
          <w:lang w:bidi="ar"/>
        </w:rPr>
        <w:t>铊企业建立铊</w:t>
      </w:r>
      <w:proofErr w:type="gramEnd"/>
      <w:r>
        <w:rPr>
          <w:rFonts w:ascii="仿宋_GB2312" w:hAnsi="仿宋_GB2312" w:cs="仿宋_GB2312" w:hint="eastAsia"/>
          <w:szCs w:val="32"/>
          <w:lang w:bidi="ar"/>
        </w:rPr>
        <w:t>污染风险问题</w:t>
      </w:r>
      <w:proofErr w:type="gramStart"/>
      <w:r>
        <w:rPr>
          <w:rFonts w:ascii="仿宋_GB2312" w:hAnsi="仿宋_GB2312" w:cs="仿宋_GB2312" w:hint="eastAsia"/>
          <w:szCs w:val="32"/>
          <w:lang w:bidi="ar"/>
        </w:rPr>
        <w:t>台账并制定</w:t>
      </w:r>
      <w:proofErr w:type="gramEnd"/>
      <w:r>
        <w:rPr>
          <w:rFonts w:ascii="仿宋_GB2312" w:hAnsi="仿宋_GB2312" w:cs="仿宋_GB2312" w:hint="eastAsia"/>
          <w:szCs w:val="32"/>
          <w:lang w:bidi="ar"/>
        </w:rPr>
        <w:t>问题</w:t>
      </w:r>
      <w:r>
        <w:rPr>
          <w:rFonts w:ascii="仿宋_GB2312" w:hAnsi="仿宋_GB2312" w:cs="仿宋_GB2312" w:hint="eastAsia"/>
          <w:szCs w:val="32"/>
          <w:lang w:bidi="ar"/>
        </w:rPr>
        <w:lastRenderedPageBreak/>
        <w:t>整改方案。在全面摸清底数、建立涉</w:t>
      </w:r>
      <w:proofErr w:type="gramStart"/>
      <w:r>
        <w:rPr>
          <w:rFonts w:ascii="仿宋_GB2312" w:hAnsi="仿宋_GB2312" w:cs="仿宋_GB2312" w:hint="eastAsia"/>
          <w:szCs w:val="32"/>
          <w:lang w:bidi="ar"/>
        </w:rPr>
        <w:t>铊风险</w:t>
      </w:r>
      <w:proofErr w:type="gramEnd"/>
      <w:r>
        <w:rPr>
          <w:rFonts w:ascii="仿宋_GB2312" w:hAnsi="仿宋_GB2312" w:cs="仿宋_GB2312" w:hint="eastAsia"/>
          <w:szCs w:val="32"/>
          <w:lang w:bidi="ar"/>
        </w:rPr>
        <w:t>源清单的基础上，聚焦涉</w:t>
      </w:r>
      <w:proofErr w:type="gramStart"/>
      <w:r>
        <w:rPr>
          <w:rFonts w:ascii="仿宋_GB2312" w:hAnsi="仿宋_GB2312" w:cs="仿宋_GB2312" w:hint="eastAsia"/>
          <w:szCs w:val="32"/>
          <w:lang w:bidi="ar"/>
        </w:rPr>
        <w:t>铊工业</w:t>
      </w:r>
      <w:proofErr w:type="gramEnd"/>
      <w:r>
        <w:rPr>
          <w:rFonts w:ascii="仿宋_GB2312" w:hAnsi="仿宋_GB2312" w:cs="仿宋_GB2312" w:hint="eastAsia"/>
          <w:szCs w:val="32"/>
          <w:lang w:bidi="ar"/>
        </w:rPr>
        <w:t>企业和工业园区，集中开展专项整治。</w:t>
      </w:r>
    </w:p>
    <w:p w:rsidR="00B74781" w:rsidRDefault="00000000">
      <w:pPr>
        <w:widowControl/>
        <w:spacing w:line="580" w:lineRule="exact"/>
        <w:ind w:firstLineChars="200" w:firstLine="636"/>
        <w:rPr>
          <w:rFonts w:ascii="仿宋_GB2312" w:hAnsi="仿宋_GB2312" w:cs="仿宋_GB2312"/>
          <w:b/>
          <w:bCs/>
          <w:szCs w:val="32"/>
          <w:lang w:bidi="ar"/>
        </w:rPr>
      </w:pPr>
      <w:r>
        <w:rPr>
          <w:rFonts w:ascii="仿宋_GB2312" w:hAnsi="仿宋_GB2312" w:cs="仿宋_GB2312" w:hint="eastAsia"/>
          <w:szCs w:val="32"/>
          <w:lang w:bidi="ar"/>
        </w:rPr>
        <w:t>开展重有色金属冶炼、钢铁等典型涉</w:t>
      </w:r>
      <w:proofErr w:type="gramStart"/>
      <w:r>
        <w:rPr>
          <w:rFonts w:ascii="仿宋_GB2312" w:hAnsi="仿宋_GB2312" w:cs="仿宋_GB2312" w:hint="eastAsia"/>
          <w:szCs w:val="32"/>
          <w:lang w:bidi="ar"/>
        </w:rPr>
        <w:t>铊企业</w:t>
      </w:r>
      <w:proofErr w:type="gramEnd"/>
      <w:r>
        <w:rPr>
          <w:rFonts w:ascii="仿宋_GB2312" w:hAnsi="仿宋_GB2312" w:cs="仿宋_GB2312" w:hint="eastAsia"/>
          <w:szCs w:val="32"/>
          <w:lang w:bidi="ar"/>
        </w:rPr>
        <w:t>废水治理设施除铊升级改造，严格执行车间或生产设施废水排放口达标要求。相关市州生态环境部门构建涉</w:t>
      </w:r>
      <w:proofErr w:type="gramStart"/>
      <w:r>
        <w:rPr>
          <w:rFonts w:ascii="仿宋_GB2312" w:hAnsi="仿宋_GB2312" w:cs="仿宋_GB2312" w:hint="eastAsia"/>
          <w:szCs w:val="32"/>
          <w:lang w:bidi="ar"/>
        </w:rPr>
        <w:t>铊企业</w:t>
      </w:r>
      <w:proofErr w:type="gramEnd"/>
      <w:r>
        <w:rPr>
          <w:rFonts w:ascii="仿宋_GB2312" w:hAnsi="仿宋_GB2312" w:cs="仿宋_GB2312" w:hint="eastAsia"/>
          <w:szCs w:val="32"/>
          <w:lang w:bidi="ar"/>
        </w:rPr>
        <w:t>全链条闭环管理体系，督促企业对矿石原料、主副产品和生产废物中铊成分进行检测分析，实现</w:t>
      </w:r>
      <w:proofErr w:type="gramStart"/>
      <w:r>
        <w:rPr>
          <w:rFonts w:ascii="仿宋_GB2312" w:hAnsi="仿宋_GB2312" w:cs="仿宋_GB2312" w:hint="eastAsia"/>
          <w:szCs w:val="32"/>
          <w:lang w:bidi="ar"/>
        </w:rPr>
        <w:t>铊</w:t>
      </w:r>
      <w:proofErr w:type="gramEnd"/>
      <w:r>
        <w:rPr>
          <w:rFonts w:ascii="仿宋_GB2312" w:hAnsi="仿宋_GB2312" w:cs="仿宋_GB2312" w:hint="eastAsia"/>
          <w:szCs w:val="32"/>
          <w:lang w:bidi="ar"/>
        </w:rPr>
        <w:t>元素可核算可追踪。在资源化利用的基础上，</w:t>
      </w:r>
      <w:proofErr w:type="gramStart"/>
      <w:r>
        <w:rPr>
          <w:rFonts w:ascii="仿宋_GB2312" w:hAnsi="仿宋_GB2312" w:cs="仿宋_GB2312" w:hint="eastAsia"/>
          <w:szCs w:val="32"/>
          <w:lang w:bidi="ar"/>
        </w:rPr>
        <w:t>做好涉重污泥</w:t>
      </w:r>
      <w:proofErr w:type="gramEnd"/>
      <w:r>
        <w:rPr>
          <w:rFonts w:ascii="仿宋_GB2312" w:hAnsi="仿宋_GB2312" w:cs="仿宋_GB2312" w:hint="eastAsia"/>
          <w:szCs w:val="32"/>
          <w:lang w:bidi="ar"/>
        </w:rPr>
        <w:t>安全处置，积极推进“绿岛”项目建设。强化涉</w:t>
      </w:r>
      <w:proofErr w:type="gramStart"/>
      <w:r>
        <w:rPr>
          <w:rFonts w:ascii="仿宋_GB2312" w:hAnsi="仿宋_GB2312" w:cs="仿宋_GB2312" w:hint="eastAsia"/>
          <w:szCs w:val="32"/>
          <w:lang w:bidi="ar"/>
        </w:rPr>
        <w:t>铊企业</w:t>
      </w:r>
      <w:proofErr w:type="gramEnd"/>
      <w:r>
        <w:rPr>
          <w:rFonts w:ascii="仿宋_GB2312" w:hAnsi="仿宋_GB2312" w:cs="仿宋_GB2312" w:hint="eastAsia"/>
          <w:szCs w:val="32"/>
          <w:lang w:bidi="ar"/>
        </w:rPr>
        <w:t>综合整治，严防</w:t>
      </w:r>
      <w:proofErr w:type="gramStart"/>
      <w:r>
        <w:rPr>
          <w:rFonts w:ascii="仿宋_GB2312" w:hAnsi="仿宋_GB2312" w:cs="仿宋_GB2312" w:hint="eastAsia"/>
          <w:szCs w:val="32"/>
          <w:lang w:bidi="ar"/>
        </w:rPr>
        <w:t>铊</w:t>
      </w:r>
      <w:proofErr w:type="gramEnd"/>
      <w:r>
        <w:rPr>
          <w:rFonts w:ascii="仿宋_GB2312" w:hAnsi="仿宋_GB2312" w:cs="仿宋_GB2312" w:hint="eastAsia"/>
          <w:szCs w:val="32"/>
          <w:lang w:bidi="ar"/>
        </w:rPr>
        <w:t>污染问题发生。</w:t>
      </w:r>
      <w:r>
        <w:rPr>
          <w:rFonts w:ascii="仿宋_GB2312" w:hAnsi="仿宋_GB2312" w:cs="仿宋_GB2312" w:hint="eastAsia"/>
          <w:b/>
          <w:bCs/>
          <w:w w:val="98"/>
          <w:szCs w:val="32"/>
        </w:rPr>
        <w:t>（省生态环境厅牵头督导，省工业和信息化厅配合）</w:t>
      </w:r>
    </w:p>
    <w:p w:rsidR="00B74781" w:rsidRDefault="00000000">
      <w:pPr>
        <w:widowControl/>
        <w:spacing w:line="580" w:lineRule="exact"/>
        <w:ind w:firstLineChars="200" w:firstLine="636"/>
        <w:rPr>
          <w:rFonts w:ascii="仿宋_GB2312" w:hAnsi="仿宋_GB2312" w:cs="仿宋_GB2312"/>
          <w:szCs w:val="32"/>
        </w:rPr>
      </w:pPr>
      <w:r>
        <w:rPr>
          <w:rFonts w:ascii="仿宋_GB2312" w:hAnsi="仿宋_GB2312" w:cs="仿宋_GB2312" w:hint="eastAsia"/>
          <w:b/>
          <w:bCs/>
          <w:szCs w:val="32"/>
          <w:lang w:bidi="ar"/>
        </w:rPr>
        <w:t>12.加强涉重金属固体废物环境管理。</w:t>
      </w:r>
      <w:r>
        <w:rPr>
          <w:rFonts w:ascii="仿宋_GB2312" w:hAnsi="仿宋_GB2312" w:cs="仿宋_GB2312" w:hint="eastAsia"/>
          <w:szCs w:val="32"/>
          <w:lang w:bidi="ar"/>
        </w:rPr>
        <w:t>深入推进危险废物专项整治行动，完善危险废物环境重点监管单位清单，建立健全危险废物全过程信息化监管。加强重点行业企业废渣场环境管理，</w:t>
      </w:r>
      <w:proofErr w:type="gramStart"/>
      <w:r>
        <w:rPr>
          <w:rFonts w:ascii="仿宋_GB2312" w:hAnsi="仿宋_GB2312" w:cs="仿宋_GB2312" w:hint="eastAsia"/>
          <w:szCs w:val="32"/>
          <w:lang w:bidi="ar"/>
        </w:rPr>
        <w:t>完善防</w:t>
      </w:r>
      <w:proofErr w:type="gramEnd"/>
      <w:r>
        <w:rPr>
          <w:rFonts w:ascii="仿宋_GB2312" w:hAnsi="仿宋_GB2312" w:cs="仿宋_GB2312" w:hint="eastAsia"/>
          <w:szCs w:val="32"/>
          <w:lang w:bidi="ar"/>
        </w:rPr>
        <w:t>渗漏、防流失、防扬散等措施。推动</w:t>
      </w:r>
      <w:proofErr w:type="gramStart"/>
      <w:r>
        <w:rPr>
          <w:rFonts w:ascii="仿宋_GB2312" w:hAnsi="仿宋_GB2312" w:cs="仿宋_GB2312" w:hint="eastAsia"/>
          <w:szCs w:val="32"/>
          <w:lang w:bidi="ar"/>
        </w:rPr>
        <w:t>锌</w:t>
      </w:r>
      <w:proofErr w:type="gramEnd"/>
      <w:r>
        <w:rPr>
          <w:rFonts w:ascii="仿宋_GB2312" w:hAnsi="仿宋_GB2312" w:cs="仿宋_GB2312" w:hint="eastAsia"/>
          <w:szCs w:val="32"/>
          <w:lang w:bidi="ar"/>
        </w:rPr>
        <w:t>湿法冶炼工艺按有关规定配套建设浸出渣无害化处理系统</w:t>
      </w:r>
      <w:proofErr w:type="gramStart"/>
      <w:r>
        <w:rPr>
          <w:rFonts w:ascii="仿宋_GB2312" w:hAnsi="仿宋_GB2312" w:cs="仿宋_GB2312" w:hint="eastAsia"/>
          <w:szCs w:val="32"/>
          <w:lang w:bidi="ar"/>
        </w:rPr>
        <w:t>及硫渣处理</w:t>
      </w:r>
      <w:proofErr w:type="gramEnd"/>
      <w:r>
        <w:rPr>
          <w:rFonts w:ascii="仿宋_GB2312" w:hAnsi="仿宋_GB2312" w:cs="仿宋_GB2312" w:hint="eastAsia"/>
          <w:szCs w:val="32"/>
          <w:lang w:bidi="ar"/>
        </w:rPr>
        <w:t>设施。加强尾矿污染防控</w:t>
      </w:r>
      <w:r>
        <w:rPr>
          <w:rFonts w:ascii="仿宋_GB2312" w:hAnsi="仿宋_GB2312" w:cs="仿宋_GB2312" w:hint="eastAsia"/>
          <w:sz w:val="31"/>
          <w:szCs w:val="31"/>
          <w:lang w:bidi="ar"/>
        </w:rPr>
        <w:t>及日常监管，</w:t>
      </w:r>
      <w:r>
        <w:rPr>
          <w:rFonts w:ascii="仿宋_GB2312" w:hAnsi="仿宋_GB2312" w:cs="仿宋_GB2312" w:hint="eastAsia"/>
          <w:szCs w:val="32"/>
          <w:lang w:bidi="ar"/>
        </w:rPr>
        <w:t>开展尾矿</w:t>
      </w:r>
      <w:proofErr w:type="gramStart"/>
      <w:r>
        <w:rPr>
          <w:rFonts w:ascii="仿宋_GB2312" w:hAnsi="仿宋_GB2312" w:cs="仿宋_GB2312" w:hint="eastAsia"/>
          <w:szCs w:val="32"/>
          <w:lang w:bidi="ar"/>
        </w:rPr>
        <w:t>库污染</w:t>
      </w:r>
      <w:proofErr w:type="gramEnd"/>
      <w:r>
        <w:rPr>
          <w:rFonts w:ascii="仿宋_GB2312" w:hAnsi="仿宋_GB2312" w:cs="仿宋_GB2312" w:hint="eastAsia"/>
          <w:szCs w:val="32"/>
          <w:lang w:bidi="ar"/>
        </w:rPr>
        <w:t>治理“回头看”，全面排查突出环境问题，持续推进整治工作。</w:t>
      </w:r>
      <w:proofErr w:type="gramStart"/>
      <w:r>
        <w:rPr>
          <w:rFonts w:ascii="仿宋_GB2312" w:hAnsi="仿宋_GB2312" w:cs="仿宋_GB2312" w:hint="eastAsia"/>
          <w:szCs w:val="32"/>
          <w:lang w:bidi="ar"/>
        </w:rPr>
        <w:t>严格废</w:t>
      </w:r>
      <w:proofErr w:type="gramEnd"/>
      <w:r>
        <w:rPr>
          <w:rFonts w:ascii="仿宋_GB2312" w:hAnsi="仿宋_GB2312" w:cs="仿宋_GB2312" w:hint="eastAsia"/>
          <w:szCs w:val="32"/>
          <w:lang w:bidi="ar"/>
        </w:rPr>
        <w:t>铅蓄电池、冶炼灰渣、钢厂烟灰等含重金属固体废物收集、贮存、转移、利用处置过程的环境管理，防止二次污染。</w:t>
      </w:r>
      <w:r>
        <w:rPr>
          <w:rFonts w:ascii="仿宋_GB2312" w:hAnsi="仿宋_GB2312" w:cs="仿宋_GB2312" w:hint="eastAsia"/>
          <w:b/>
          <w:bCs/>
          <w:w w:val="98"/>
          <w:szCs w:val="32"/>
        </w:rPr>
        <w:t>（省生态环境厅牵头督导，省应急管理厅、省工业和信息化厅配合）</w:t>
      </w:r>
    </w:p>
    <w:p w:rsidR="00B74781" w:rsidRDefault="00000000">
      <w:pPr>
        <w:tabs>
          <w:tab w:val="left" w:pos="7655"/>
        </w:tabs>
        <w:snapToGrid w:val="0"/>
        <w:spacing w:line="580" w:lineRule="exact"/>
        <w:ind w:firstLineChars="200" w:firstLine="636"/>
        <w:rPr>
          <w:rFonts w:ascii="仿宋_GB2312" w:hAnsi="仿宋_GB2312" w:cs="仿宋_GB2312"/>
          <w:b/>
          <w:bCs/>
          <w:szCs w:val="32"/>
        </w:rPr>
      </w:pPr>
      <w:r>
        <w:rPr>
          <w:rFonts w:ascii="仿宋_GB2312" w:hAnsi="仿宋_GB2312" w:cs="仿宋_GB2312" w:hint="eastAsia"/>
          <w:b/>
          <w:bCs/>
          <w:szCs w:val="32"/>
          <w:lang w:bidi="ar"/>
        </w:rPr>
        <w:t>13.推动“锰三角”矿业污染综合整治。</w:t>
      </w:r>
      <w:r>
        <w:rPr>
          <w:rFonts w:ascii="仿宋_GB2312" w:hAnsi="仿宋_GB2312" w:cs="仿宋_GB2312" w:hint="eastAsia"/>
          <w:szCs w:val="32"/>
          <w:lang w:bidi="ar"/>
        </w:rPr>
        <w:t>系统排查花垣县“锰三角”地区锰采选冶、铅锌</w:t>
      </w:r>
      <w:proofErr w:type="gramStart"/>
      <w:r>
        <w:rPr>
          <w:rFonts w:ascii="仿宋_GB2312" w:hAnsi="仿宋_GB2312" w:cs="仿宋_GB2312" w:hint="eastAsia"/>
          <w:szCs w:val="32"/>
          <w:lang w:bidi="ar"/>
        </w:rPr>
        <w:t>采选冶和采</w:t>
      </w:r>
      <w:proofErr w:type="gramEnd"/>
      <w:r>
        <w:rPr>
          <w:rFonts w:ascii="仿宋_GB2312" w:hAnsi="仿宋_GB2312" w:cs="仿宋_GB2312" w:hint="eastAsia"/>
          <w:szCs w:val="32"/>
          <w:lang w:bidi="ar"/>
        </w:rPr>
        <w:t>山砂（石）等领域存在的</w:t>
      </w:r>
      <w:r>
        <w:rPr>
          <w:rFonts w:ascii="仿宋_GB2312" w:hAnsi="仿宋_GB2312" w:cs="仿宋_GB2312" w:hint="eastAsia"/>
          <w:szCs w:val="32"/>
          <w:lang w:bidi="ar"/>
        </w:rPr>
        <w:lastRenderedPageBreak/>
        <w:t>污染问题，加快推动锰产业结构调整，全面提升锌锰冶炼企业清洁生产水平，系统开展锰污染治理和生态修复，高标准整治</w:t>
      </w:r>
      <w:proofErr w:type="gramStart"/>
      <w:r>
        <w:rPr>
          <w:rFonts w:ascii="仿宋_GB2312" w:hAnsi="仿宋_GB2312" w:cs="仿宋_GB2312" w:hint="eastAsia"/>
          <w:szCs w:val="32"/>
          <w:lang w:bidi="ar"/>
        </w:rPr>
        <w:t>锰渣库和</w:t>
      </w:r>
      <w:proofErr w:type="gramEnd"/>
      <w:r>
        <w:rPr>
          <w:rFonts w:ascii="仿宋_GB2312" w:hAnsi="仿宋_GB2312" w:cs="仿宋_GB2312" w:hint="eastAsia"/>
          <w:szCs w:val="32"/>
          <w:lang w:bidi="ar"/>
        </w:rPr>
        <w:t>铅锌尾矿库，严格管控退出企业重点污染场地，积极推动历史遗留废渣治理。2025年底前有效解决该区域生态环境问题，实现标本兼治和绿色转型。举一反三，开展全省其他地区</w:t>
      </w:r>
      <w:proofErr w:type="gramStart"/>
      <w:r>
        <w:rPr>
          <w:rFonts w:ascii="仿宋_GB2312" w:hAnsi="仿宋_GB2312" w:cs="仿宋_GB2312" w:hint="eastAsia"/>
          <w:szCs w:val="32"/>
          <w:lang w:bidi="ar"/>
        </w:rPr>
        <w:t>涉锰企业</w:t>
      </w:r>
      <w:proofErr w:type="gramEnd"/>
      <w:r>
        <w:rPr>
          <w:rFonts w:ascii="仿宋_GB2312" w:hAnsi="仿宋_GB2312" w:cs="仿宋_GB2312" w:hint="eastAsia"/>
          <w:szCs w:val="32"/>
          <w:lang w:bidi="ar"/>
        </w:rPr>
        <w:t>污染整治。</w:t>
      </w:r>
      <w:r>
        <w:rPr>
          <w:rFonts w:ascii="仿宋_GB2312" w:hAnsi="仿宋_GB2312" w:cs="仿宋_GB2312" w:hint="eastAsia"/>
          <w:b/>
          <w:bCs/>
          <w:w w:val="98"/>
          <w:szCs w:val="32"/>
        </w:rPr>
        <w:t>（省生态环境厅牵头，省发展改革委、省工业和信息化厅、省自然资源厅等配合）</w:t>
      </w:r>
    </w:p>
    <w:p w:rsidR="00B74781" w:rsidRDefault="00000000">
      <w:pPr>
        <w:widowControl/>
        <w:spacing w:line="580" w:lineRule="exact"/>
        <w:ind w:firstLineChars="200" w:firstLine="636"/>
        <w:rPr>
          <w:rFonts w:ascii="仿宋_GB2312" w:hAnsi="仿宋_GB2312" w:cs="仿宋_GB2312"/>
          <w:szCs w:val="32"/>
          <w:lang w:bidi="ar"/>
        </w:rPr>
      </w:pPr>
      <w:r>
        <w:rPr>
          <w:rFonts w:ascii="仿宋_GB2312" w:hAnsi="仿宋_GB2312" w:cs="仿宋_GB2312" w:hint="eastAsia"/>
          <w:b/>
          <w:bCs/>
          <w:szCs w:val="32"/>
          <w:lang w:bidi="ar"/>
        </w:rPr>
        <w:t>14.持续推进历史遗留固体废物排查。</w:t>
      </w:r>
      <w:r>
        <w:rPr>
          <w:rFonts w:ascii="仿宋_GB2312" w:hAnsi="仿宋_GB2312" w:cs="仿宋_GB2312" w:hint="eastAsia"/>
          <w:szCs w:val="32"/>
          <w:lang w:bidi="ar"/>
        </w:rPr>
        <w:t>坚持问题导向，举一反三，结合农用地土壤镉等重金属污染防治、清</w:t>
      </w:r>
      <w:proofErr w:type="gramStart"/>
      <w:r>
        <w:rPr>
          <w:rFonts w:ascii="仿宋_GB2312" w:hAnsi="仿宋_GB2312" w:cs="仿宋_GB2312" w:hint="eastAsia"/>
          <w:szCs w:val="32"/>
          <w:lang w:bidi="ar"/>
        </w:rPr>
        <w:t>废行动</w:t>
      </w:r>
      <w:proofErr w:type="gramEnd"/>
      <w:r>
        <w:rPr>
          <w:rFonts w:ascii="仿宋_GB2312" w:hAnsi="仿宋_GB2312" w:cs="仿宋_GB2312" w:hint="eastAsia"/>
          <w:szCs w:val="32"/>
          <w:lang w:bidi="ar"/>
        </w:rPr>
        <w:t>等专项工作，开展废渣、底泥等突出历史遗留重金属污染问题排查。按照“先试先行、全面覆盖”的原则，分级分类分阶段开展全省历史遗留工业固体废物（含底泥）调查排查工作。2022年底各市州建立首批试点县、示范县市污染源头防控清单，编制区域涉镉等重金属历史遗留固体废物污染治理方案；2023年底完成调查成果报告，形成全省历史遗留固体废物源头防控清单及“全省一张图”管理。以防</w:t>
      </w:r>
      <w:proofErr w:type="gramStart"/>
      <w:r>
        <w:rPr>
          <w:rFonts w:ascii="仿宋_GB2312" w:hAnsi="仿宋_GB2312" w:cs="仿宋_GB2312" w:hint="eastAsia"/>
          <w:szCs w:val="32"/>
          <w:lang w:bidi="ar"/>
        </w:rPr>
        <w:t>控环境</w:t>
      </w:r>
      <w:proofErr w:type="gramEnd"/>
      <w:r>
        <w:rPr>
          <w:rFonts w:ascii="仿宋_GB2312" w:hAnsi="仿宋_GB2312" w:cs="仿宋_GB2312" w:hint="eastAsia"/>
          <w:szCs w:val="32"/>
          <w:lang w:bidi="ar"/>
        </w:rPr>
        <w:t>风险为核心实施分类整治。对问题复杂、短期难以彻底解决的问题，以保障人体健康为优先目标做好污染阻隔等风险管控措施，防止污染饮用水水源地、耕地等环境敏感目标。鼓励有条件的地方利用卫星遥感、无人机、大数据等手段开展历史遗留重金属污染问题排查。</w:t>
      </w:r>
      <w:r>
        <w:rPr>
          <w:rFonts w:ascii="仿宋_GB2312" w:hAnsi="仿宋_GB2312" w:cs="仿宋_GB2312" w:hint="eastAsia"/>
          <w:b/>
          <w:bCs/>
          <w:w w:val="98"/>
          <w:szCs w:val="32"/>
        </w:rPr>
        <w:t>（省生态环境厅牵头督导，省自然资源厅、省农业农村厅、省林业局配合）</w:t>
      </w:r>
    </w:p>
    <w:p w:rsidR="00B74781" w:rsidRDefault="00000000">
      <w:pPr>
        <w:widowControl/>
        <w:spacing w:line="580" w:lineRule="exact"/>
        <w:ind w:firstLineChars="200" w:firstLine="636"/>
        <w:rPr>
          <w:rFonts w:ascii="仿宋_GB2312" w:hAnsi="仿宋_GB2312" w:cs="仿宋_GB2312"/>
          <w:szCs w:val="32"/>
        </w:rPr>
      </w:pPr>
      <w:r>
        <w:rPr>
          <w:rFonts w:ascii="仿宋_GB2312" w:hAnsi="仿宋_GB2312" w:cs="仿宋_GB2312" w:hint="eastAsia"/>
          <w:b/>
          <w:bCs/>
          <w:szCs w:val="32"/>
          <w:lang w:bidi="ar"/>
        </w:rPr>
        <w:lastRenderedPageBreak/>
        <w:t>15.推进资江流域</w:t>
      </w:r>
      <w:proofErr w:type="gramStart"/>
      <w:r>
        <w:rPr>
          <w:rFonts w:ascii="仿宋_GB2312" w:hAnsi="仿宋_GB2312" w:cs="仿宋_GB2312" w:hint="eastAsia"/>
          <w:b/>
          <w:bCs/>
          <w:szCs w:val="32"/>
          <w:lang w:bidi="ar"/>
        </w:rPr>
        <w:t>锑</w:t>
      </w:r>
      <w:proofErr w:type="gramEnd"/>
      <w:r>
        <w:rPr>
          <w:rFonts w:ascii="仿宋_GB2312" w:hAnsi="仿宋_GB2312" w:cs="仿宋_GB2312" w:hint="eastAsia"/>
          <w:b/>
          <w:bCs/>
          <w:szCs w:val="32"/>
          <w:lang w:bidi="ar"/>
        </w:rPr>
        <w:t>污染综合整治。</w:t>
      </w:r>
      <w:r>
        <w:rPr>
          <w:rFonts w:ascii="仿宋_GB2312" w:hAnsi="仿宋_GB2312" w:cs="仿宋_GB2312" w:hint="eastAsia"/>
          <w:szCs w:val="32"/>
          <w:lang w:bidi="ar"/>
        </w:rPr>
        <w:t>对新邵县、新宁县、安化县、冷水江市等涉</w:t>
      </w:r>
      <w:proofErr w:type="gramStart"/>
      <w:r>
        <w:rPr>
          <w:rFonts w:ascii="仿宋_GB2312" w:hAnsi="仿宋_GB2312" w:cs="仿宋_GB2312" w:hint="eastAsia"/>
          <w:szCs w:val="32"/>
          <w:lang w:bidi="ar"/>
        </w:rPr>
        <w:t>锑产业</w:t>
      </w:r>
      <w:proofErr w:type="gramEnd"/>
      <w:r>
        <w:rPr>
          <w:rFonts w:ascii="仿宋_GB2312" w:hAnsi="仿宋_GB2312" w:cs="仿宋_GB2312" w:hint="eastAsia"/>
          <w:szCs w:val="32"/>
          <w:lang w:bidi="ar"/>
        </w:rPr>
        <w:t>进一步整合升级，推进涉</w:t>
      </w:r>
      <w:proofErr w:type="gramStart"/>
      <w:r>
        <w:rPr>
          <w:rFonts w:ascii="仿宋_GB2312" w:hAnsi="仿宋_GB2312" w:cs="仿宋_GB2312" w:hint="eastAsia"/>
          <w:szCs w:val="32"/>
          <w:lang w:bidi="ar"/>
        </w:rPr>
        <w:t>锑企业</w:t>
      </w:r>
      <w:proofErr w:type="gramEnd"/>
      <w:r>
        <w:rPr>
          <w:rFonts w:ascii="仿宋_GB2312" w:hAnsi="仿宋_GB2312" w:cs="仿宋_GB2312" w:hint="eastAsia"/>
          <w:szCs w:val="32"/>
          <w:lang w:bidi="ar"/>
        </w:rPr>
        <w:t>污染深度治理及绿色升级改造，加强涉锑固体废物和污染地块的管理。深入开展流域污染源调查与评估。推进重点水体治理、历史遗留废渣风险管控、矿井涌水治理、饮用水水源地保护、矿山生态修复等突出重点问题的综合整治。确保资江干流及主要支流县级及以上集中式饮用水水源地</w:t>
      </w:r>
      <w:proofErr w:type="gramStart"/>
      <w:r>
        <w:rPr>
          <w:rFonts w:ascii="仿宋_GB2312" w:hAnsi="仿宋_GB2312" w:cs="仿宋_GB2312" w:hint="eastAsia"/>
          <w:szCs w:val="32"/>
          <w:lang w:bidi="ar"/>
        </w:rPr>
        <w:t>锑</w:t>
      </w:r>
      <w:proofErr w:type="gramEnd"/>
      <w:r>
        <w:rPr>
          <w:rFonts w:ascii="仿宋_GB2312" w:hAnsi="仿宋_GB2312" w:cs="仿宋_GB2312" w:hint="eastAsia"/>
          <w:szCs w:val="32"/>
          <w:lang w:bidi="ar"/>
        </w:rPr>
        <w:t>浓度达到国家标准，重点断面</w:t>
      </w:r>
      <w:proofErr w:type="gramStart"/>
      <w:r>
        <w:rPr>
          <w:rFonts w:ascii="仿宋_GB2312" w:hAnsi="仿宋_GB2312" w:cs="仿宋_GB2312" w:hint="eastAsia"/>
          <w:szCs w:val="32"/>
          <w:lang w:bidi="ar"/>
        </w:rPr>
        <w:t>锑</w:t>
      </w:r>
      <w:proofErr w:type="gramEnd"/>
      <w:r>
        <w:rPr>
          <w:rFonts w:ascii="仿宋_GB2312" w:hAnsi="仿宋_GB2312" w:cs="仿宋_GB2312" w:hint="eastAsia"/>
          <w:szCs w:val="32"/>
          <w:lang w:bidi="ar"/>
        </w:rPr>
        <w:t>浓度持续下降。</w:t>
      </w:r>
      <w:r>
        <w:rPr>
          <w:rFonts w:ascii="仿宋_GB2312" w:hAnsi="仿宋_GB2312" w:cs="仿宋_GB2312" w:hint="eastAsia"/>
          <w:b/>
          <w:bCs/>
          <w:w w:val="98"/>
          <w:szCs w:val="32"/>
        </w:rPr>
        <w:t>（省生态环境厅牵头督导，省发展改革委、省工业和信息化厅、省自然资源厅等配合）</w:t>
      </w:r>
    </w:p>
    <w:p w:rsidR="00B74781" w:rsidRDefault="00000000">
      <w:pPr>
        <w:tabs>
          <w:tab w:val="left" w:pos="7655"/>
        </w:tabs>
        <w:snapToGrid w:val="0"/>
        <w:spacing w:line="580" w:lineRule="exact"/>
        <w:ind w:firstLineChars="200" w:firstLine="636"/>
        <w:rPr>
          <w:rFonts w:ascii="CESI楷体-GB2312" w:eastAsia="CESI楷体-GB2312" w:hAnsi="CESI楷体-GB2312" w:cs="CESI楷体-GB2312"/>
          <w:szCs w:val="32"/>
        </w:rPr>
      </w:pPr>
      <w:r>
        <w:rPr>
          <w:rFonts w:ascii="CESI楷体-GB2312" w:eastAsia="CESI楷体-GB2312" w:hAnsi="CESI楷体-GB2312" w:cs="CESI楷体-GB2312" w:hint="eastAsia"/>
          <w:szCs w:val="32"/>
        </w:rPr>
        <w:t>（四）健全标准，加强重金属污染监管执法</w:t>
      </w:r>
    </w:p>
    <w:p w:rsidR="00B74781" w:rsidRDefault="00000000">
      <w:pPr>
        <w:spacing w:line="580" w:lineRule="exact"/>
        <w:ind w:firstLineChars="200" w:firstLine="636"/>
        <w:textAlignment w:val="baseline"/>
        <w:rPr>
          <w:rFonts w:ascii="仿宋_GB2312" w:hAnsi="仿宋_GB2312" w:cs="仿宋_GB2312"/>
          <w:szCs w:val="32"/>
          <w:lang w:bidi="ar"/>
        </w:rPr>
      </w:pPr>
      <w:r>
        <w:rPr>
          <w:rFonts w:ascii="仿宋_GB2312" w:hAnsi="仿宋_GB2312" w:cs="仿宋_GB2312" w:hint="eastAsia"/>
          <w:b/>
          <w:bCs/>
          <w:szCs w:val="32"/>
          <w:lang w:bidi="ar"/>
        </w:rPr>
        <w:t>16.完善重金属污染物标准体系。</w:t>
      </w:r>
      <w:r>
        <w:rPr>
          <w:rFonts w:ascii="仿宋_GB2312" w:hAnsi="仿宋_GB2312" w:cs="仿宋_GB2312" w:hint="eastAsia"/>
          <w:szCs w:val="32"/>
          <w:lang w:bidi="ar"/>
        </w:rPr>
        <w:t>配合国家研究修订铅锌、电镀等行业污染物排放标准，制定出台废水重金属在线监测系统安装、运行、验收技术规范。配合国家修订《重点重金属污染物排放量控制目标完成情况评估细则（试行）》。积极推动涉</w:t>
      </w:r>
      <w:proofErr w:type="gramStart"/>
      <w:r>
        <w:rPr>
          <w:rFonts w:ascii="仿宋_GB2312" w:hAnsi="仿宋_GB2312" w:cs="仿宋_GB2312" w:hint="eastAsia"/>
          <w:szCs w:val="32"/>
          <w:lang w:bidi="ar"/>
        </w:rPr>
        <w:t>铊工业</w:t>
      </w:r>
      <w:proofErr w:type="gramEnd"/>
      <w:r>
        <w:rPr>
          <w:rFonts w:ascii="仿宋_GB2312" w:hAnsi="仿宋_GB2312" w:cs="仿宋_GB2312" w:hint="eastAsia"/>
          <w:szCs w:val="32"/>
          <w:lang w:bidi="ar"/>
        </w:rPr>
        <w:t>企业生产过程控制技术规范等地方生态环境标准出台，探索开展地表水非饮用水源地锑环境质量等标准的研究，推动解决我省区域性、特色行业污染问题。</w:t>
      </w:r>
      <w:r>
        <w:rPr>
          <w:rFonts w:ascii="仿宋_GB2312" w:hAnsi="仿宋_GB2312" w:cs="仿宋_GB2312" w:hint="eastAsia"/>
          <w:b/>
          <w:bCs/>
          <w:w w:val="98"/>
          <w:szCs w:val="32"/>
        </w:rPr>
        <w:t>（</w:t>
      </w:r>
      <w:r>
        <w:rPr>
          <w:rFonts w:ascii="仿宋_GB2312" w:hAnsi="仿宋_GB2312" w:cs="仿宋_GB2312" w:hint="eastAsia"/>
          <w:b/>
          <w:bCs/>
          <w:w w:val="98"/>
          <w:kern w:val="2"/>
          <w:szCs w:val="32"/>
        </w:rPr>
        <w:t>省生态环境厅</w:t>
      </w:r>
      <w:r>
        <w:rPr>
          <w:rFonts w:ascii="仿宋_GB2312" w:hAnsi="仿宋_GB2312" w:cs="仿宋_GB2312" w:hint="eastAsia"/>
          <w:b/>
          <w:bCs/>
          <w:w w:val="98"/>
          <w:szCs w:val="32"/>
        </w:rPr>
        <w:t>、省市场监督管理局按职责分工</w:t>
      </w:r>
      <w:r>
        <w:rPr>
          <w:rFonts w:ascii="仿宋_GB2312" w:hAnsi="仿宋_GB2312" w:cs="仿宋_GB2312" w:hint="eastAsia"/>
          <w:b/>
          <w:bCs/>
          <w:w w:val="98"/>
          <w:kern w:val="2"/>
          <w:szCs w:val="32"/>
        </w:rPr>
        <w:t>督导</w:t>
      </w:r>
      <w:r>
        <w:rPr>
          <w:rFonts w:ascii="仿宋_GB2312" w:hAnsi="仿宋_GB2312" w:cs="仿宋_GB2312" w:hint="eastAsia"/>
          <w:b/>
          <w:bCs/>
          <w:w w:val="98"/>
          <w:szCs w:val="32"/>
        </w:rPr>
        <w:t>）</w:t>
      </w:r>
    </w:p>
    <w:p w:rsidR="00B74781" w:rsidRDefault="00000000">
      <w:pPr>
        <w:widowControl/>
        <w:spacing w:line="580" w:lineRule="exact"/>
        <w:ind w:firstLineChars="200" w:firstLine="636"/>
        <w:rPr>
          <w:rFonts w:ascii="仿宋_GB2312" w:hAnsi="仿宋_GB2312" w:cs="仿宋_GB2312"/>
          <w:b/>
          <w:bCs/>
          <w:szCs w:val="32"/>
          <w:lang w:bidi="ar"/>
        </w:rPr>
      </w:pPr>
      <w:r>
        <w:rPr>
          <w:rFonts w:ascii="仿宋_GB2312" w:hAnsi="仿宋_GB2312" w:cs="仿宋_GB2312" w:hint="eastAsia"/>
          <w:b/>
          <w:bCs/>
          <w:szCs w:val="32"/>
          <w:lang w:bidi="ar"/>
        </w:rPr>
        <w:t>17.强化重金属污染监控预警。</w:t>
      </w:r>
      <w:r>
        <w:rPr>
          <w:rFonts w:ascii="仿宋_GB2312" w:hAnsi="仿宋_GB2312" w:cs="仿宋_GB2312" w:hint="eastAsia"/>
          <w:szCs w:val="32"/>
          <w:lang w:bidi="ar"/>
        </w:rPr>
        <w:t>加快推进废水、废气重金属在线监测技术、设备的研发与应用。建立健全重金属污染监控预警体系，提升信息化监管水平。各地生态环境部门在涉</w:t>
      </w:r>
      <w:proofErr w:type="gramStart"/>
      <w:r>
        <w:rPr>
          <w:rFonts w:ascii="仿宋_GB2312" w:hAnsi="仿宋_GB2312" w:cs="仿宋_GB2312" w:hint="eastAsia"/>
          <w:szCs w:val="32"/>
          <w:lang w:bidi="ar"/>
        </w:rPr>
        <w:t>铊涉锑行业</w:t>
      </w:r>
      <w:proofErr w:type="gramEnd"/>
      <w:r>
        <w:rPr>
          <w:rFonts w:ascii="仿宋_GB2312" w:hAnsi="仿宋_GB2312" w:cs="仿宋_GB2312" w:hint="eastAsia"/>
          <w:szCs w:val="32"/>
          <w:lang w:bidi="ar"/>
        </w:rPr>
        <w:t>企业分布密集区域下游，依托水质自动监测站加装铊、锑等特</w:t>
      </w:r>
      <w:r>
        <w:rPr>
          <w:rFonts w:ascii="仿宋_GB2312" w:hAnsi="仿宋_GB2312" w:cs="仿宋_GB2312" w:hint="eastAsia"/>
          <w:szCs w:val="32"/>
          <w:lang w:bidi="ar"/>
        </w:rPr>
        <w:lastRenderedPageBreak/>
        <w:t>征重金属污染物自动监测系统。根据需要在湘江流域和</w:t>
      </w:r>
      <w:proofErr w:type="gramStart"/>
      <w:r>
        <w:rPr>
          <w:rFonts w:ascii="仿宋_GB2312" w:hAnsi="仿宋_GB2312" w:cs="仿宋_GB2312" w:hint="eastAsia"/>
          <w:szCs w:val="32"/>
          <w:lang w:bidi="ar"/>
        </w:rPr>
        <w:t>资江</w:t>
      </w:r>
      <w:proofErr w:type="gramEnd"/>
      <w:r>
        <w:rPr>
          <w:rFonts w:ascii="仿宋_GB2312" w:hAnsi="仿宋_GB2312" w:cs="仿宋_GB2312" w:hint="eastAsia"/>
          <w:szCs w:val="32"/>
          <w:lang w:bidi="ar"/>
        </w:rPr>
        <w:t>流域重要干支流依托水质自动监测站加装铊、锑等特征重金属污染物自动监测系统，力争支撑流域铊、锑重金属污染防治及风险预警。排放镉等重金属的企业，应依法对周边大气镉等重金属沉降及耕地土壤重金属进行定期监测，评估大气重金属沉降造成耕地土壤中镉等重金属累积的风险，并采取防控措施。</w:t>
      </w:r>
      <w:r>
        <w:rPr>
          <w:shd w:val="clear" w:color="auto" w:fill="FFFFFF"/>
        </w:rPr>
        <w:t>实施排污许可重点管理的排污单位</w:t>
      </w:r>
      <w:r>
        <w:rPr>
          <w:rFonts w:ascii="仿宋_GB2312" w:hAnsi="仿宋_GB2312" w:cs="仿宋_GB2312" w:hint="eastAsia"/>
          <w:szCs w:val="32"/>
          <w:lang w:bidi="ar"/>
        </w:rPr>
        <w:t>在重点部位和关键节点应安装重金属污染物自动监测，鼓励重点行业企业采用视频监控和用电（能）监控等智能监控手段。</w:t>
      </w:r>
      <w:r>
        <w:rPr>
          <w:rFonts w:ascii="仿宋_GB2312" w:hAnsi="仿宋_GB2312" w:cs="仿宋_GB2312" w:hint="eastAsia"/>
          <w:b/>
          <w:bCs/>
          <w:w w:val="98"/>
          <w:szCs w:val="32"/>
        </w:rPr>
        <w:t>（省生态环境厅牵头督导）</w:t>
      </w:r>
    </w:p>
    <w:p w:rsidR="00B74781" w:rsidRDefault="00000000">
      <w:pPr>
        <w:tabs>
          <w:tab w:val="left" w:pos="7655"/>
        </w:tabs>
        <w:snapToGrid w:val="0"/>
        <w:spacing w:line="580" w:lineRule="exact"/>
        <w:ind w:firstLineChars="200" w:firstLine="636"/>
        <w:rPr>
          <w:rFonts w:ascii="仿宋_GB2312" w:hAnsi="仿宋_GB2312" w:cs="仿宋_GB2312"/>
          <w:kern w:val="2"/>
          <w:szCs w:val="32"/>
        </w:rPr>
      </w:pPr>
      <w:r>
        <w:rPr>
          <w:rFonts w:ascii="仿宋_GB2312" w:hAnsi="仿宋_GB2312" w:cs="仿宋_GB2312" w:hint="eastAsia"/>
          <w:b/>
          <w:bCs/>
          <w:szCs w:val="32"/>
          <w:lang w:bidi="ar"/>
        </w:rPr>
        <w:t>18.强化涉重金属执法监督力度。</w:t>
      </w:r>
      <w:r>
        <w:rPr>
          <w:rFonts w:ascii="仿宋_GB2312" w:hAnsi="仿宋_GB2312" w:cs="仿宋_GB2312" w:hint="eastAsia"/>
          <w:kern w:val="2"/>
          <w:szCs w:val="32"/>
        </w:rPr>
        <w:t>将重点行业企业及相关堆场、尾矿库等设施纳入“双随机、</w:t>
      </w:r>
      <w:proofErr w:type="gramStart"/>
      <w:r>
        <w:rPr>
          <w:rFonts w:ascii="仿宋_GB2312" w:hAnsi="仿宋_GB2312" w:cs="仿宋_GB2312" w:hint="eastAsia"/>
          <w:kern w:val="2"/>
          <w:szCs w:val="32"/>
        </w:rPr>
        <w:t>一</w:t>
      </w:r>
      <w:proofErr w:type="gramEnd"/>
      <w:r>
        <w:rPr>
          <w:rFonts w:ascii="仿宋_GB2312" w:hAnsi="仿宋_GB2312" w:cs="仿宋_GB2312" w:hint="eastAsia"/>
          <w:kern w:val="2"/>
          <w:szCs w:val="32"/>
        </w:rPr>
        <w:t>公开”抽查检查对象范围，进行重点监管。加大排污许可证后监管力度，对重金属污染</w:t>
      </w:r>
      <w:proofErr w:type="gramStart"/>
      <w:r>
        <w:rPr>
          <w:rFonts w:ascii="仿宋_GB2312" w:hAnsi="仿宋_GB2312" w:cs="仿宋_GB2312" w:hint="eastAsia"/>
          <w:kern w:val="2"/>
          <w:szCs w:val="32"/>
        </w:rPr>
        <w:t>物实际</w:t>
      </w:r>
      <w:proofErr w:type="gramEnd"/>
      <w:r>
        <w:rPr>
          <w:rFonts w:ascii="仿宋_GB2312" w:hAnsi="仿宋_GB2312" w:cs="仿宋_GB2312" w:hint="eastAsia"/>
          <w:kern w:val="2"/>
          <w:szCs w:val="32"/>
        </w:rPr>
        <w:t>排放量超出许可排放量的企业依法依规处理。将对涉重金属行业专项执法检查纳入污染防治攻坚战监督检查考核工作，依法严厉打击超标排放、不正常运行污染治理设施、非法排放、倾倒、收集、贮存、转移、利用、处置含重金属危险废物等违法违规行为，涉嫌犯罪的，依法移送公安机关依法追究刑事责任。</w:t>
      </w:r>
      <w:r>
        <w:rPr>
          <w:rFonts w:ascii="仿宋_GB2312" w:hAnsi="仿宋_GB2312" w:cs="仿宋_GB2312" w:hint="eastAsia"/>
          <w:b/>
          <w:bCs/>
          <w:szCs w:val="32"/>
        </w:rPr>
        <w:t>（</w:t>
      </w:r>
      <w:r>
        <w:rPr>
          <w:rFonts w:ascii="仿宋_GB2312" w:hAnsi="仿宋_GB2312" w:cs="仿宋_GB2312" w:hint="eastAsia"/>
          <w:b/>
          <w:bCs/>
          <w:w w:val="98"/>
          <w:szCs w:val="32"/>
        </w:rPr>
        <w:t>省生态环境厅牵头督导）</w:t>
      </w:r>
    </w:p>
    <w:p w:rsidR="00B74781" w:rsidRDefault="00000000">
      <w:pPr>
        <w:widowControl/>
        <w:spacing w:line="580" w:lineRule="exact"/>
        <w:ind w:firstLineChars="200" w:firstLine="636"/>
        <w:rPr>
          <w:rFonts w:ascii="仿宋_GB2312" w:hAnsi="仿宋_GB2312" w:cs="仿宋_GB2312"/>
          <w:szCs w:val="32"/>
        </w:rPr>
      </w:pPr>
      <w:r>
        <w:rPr>
          <w:rFonts w:ascii="仿宋_GB2312" w:hAnsi="仿宋_GB2312" w:cs="仿宋_GB2312" w:hint="eastAsia"/>
          <w:b/>
          <w:bCs/>
          <w:szCs w:val="32"/>
          <w:lang w:bidi="ar"/>
        </w:rPr>
        <w:t>19.强化涉重金属污染应急管理。</w:t>
      </w:r>
      <w:r>
        <w:rPr>
          <w:rFonts w:ascii="仿宋_GB2312" w:hAnsi="仿宋_GB2312" w:cs="仿宋_GB2312" w:hint="eastAsia"/>
          <w:szCs w:val="32"/>
          <w:lang w:bidi="ar"/>
        </w:rPr>
        <w:t>涉重金属的工业园区和重点行业企业应依法依规完善环境风险防范和环境安全隐患排查治理措施，编制或者修订环境应急预案并进行备案，储备相关应急物资，定期开展应急演练。各市州人民政府结合“一河</w:t>
      </w:r>
      <w:proofErr w:type="gramStart"/>
      <w:r>
        <w:rPr>
          <w:rFonts w:ascii="仿宋_GB2312" w:hAnsi="仿宋_GB2312" w:cs="仿宋_GB2312" w:hint="eastAsia"/>
          <w:szCs w:val="32"/>
          <w:lang w:bidi="ar"/>
        </w:rPr>
        <w:t>一</w:t>
      </w:r>
      <w:proofErr w:type="gramEnd"/>
      <w:r>
        <w:rPr>
          <w:rFonts w:ascii="仿宋_GB2312" w:hAnsi="仿宋_GB2312" w:cs="仿宋_GB2312" w:hint="eastAsia"/>
          <w:szCs w:val="32"/>
          <w:lang w:bidi="ar"/>
        </w:rPr>
        <w:t>策一图”</w:t>
      </w:r>
      <w:r>
        <w:rPr>
          <w:rFonts w:ascii="仿宋_GB2312" w:hAnsi="仿宋_GB2312" w:cs="仿宋_GB2312" w:hint="eastAsia"/>
          <w:szCs w:val="32"/>
          <w:lang w:bidi="ar"/>
        </w:rPr>
        <w:lastRenderedPageBreak/>
        <w:t>将涉重金属污染应急处置预案纳入本地突发环境应急预案，签订上下游相邻市州间的突发水污染事件联防联控协议，建立健全应急处置机制，加强应急物资储备，定期开展应急演练，不断提升环境应急处置能力。</w:t>
      </w:r>
      <w:r>
        <w:rPr>
          <w:rFonts w:ascii="仿宋_GB2312" w:hAnsi="仿宋_GB2312" w:cs="仿宋_GB2312" w:hint="eastAsia"/>
          <w:b/>
          <w:bCs/>
          <w:w w:val="98"/>
          <w:szCs w:val="32"/>
        </w:rPr>
        <w:t>（省生态环境厅牵头督导）</w:t>
      </w:r>
    </w:p>
    <w:p w:rsidR="00B74781" w:rsidRDefault="00000000">
      <w:pPr>
        <w:tabs>
          <w:tab w:val="left" w:pos="7655"/>
        </w:tabs>
        <w:snapToGrid w:val="0"/>
        <w:spacing w:line="580" w:lineRule="exact"/>
        <w:ind w:firstLineChars="200" w:firstLine="636"/>
        <w:rPr>
          <w:rFonts w:ascii="CESI楷体-GB2312" w:eastAsia="CESI楷体-GB2312" w:hAnsi="CESI楷体-GB2312" w:cs="CESI楷体-GB2312"/>
          <w:szCs w:val="32"/>
        </w:rPr>
      </w:pPr>
      <w:r>
        <w:rPr>
          <w:rFonts w:ascii="CESI楷体-GB2312" w:eastAsia="CESI楷体-GB2312" w:hAnsi="CESI楷体-GB2312" w:cs="CESI楷体-GB2312" w:hint="eastAsia"/>
          <w:szCs w:val="32"/>
        </w:rPr>
        <w:t>（五）落实责任，促进信息公开和社会共治</w:t>
      </w:r>
    </w:p>
    <w:p w:rsidR="00B74781" w:rsidRDefault="00000000">
      <w:pPr>
        <w:spacing w:line="580" w:lineRule="exact"/>
        <w:ind w:firstLineChars="200" w:firstLine="636"/>
        <w:textAlignment w:val="baseline"/>
        <w:rPr>
          <w:rFonts w:ascii="仿宋_GB2312" w:hAnsi="仿宋_GB2312" w:cs="仿宋_GB2312"/>
          <w:szCs w:val="32"/>
          <w:lang w:bidi="ar"/>
        </w:rPr>
      </w:pPr>
      <w:r>
        <w:rPr>
          <w:rFonts w:ascii="仿宋_GB2312" w:hAnsi="仿宋_GB2312" w:cs="仿宋_GB2312" w:hint="eastAsia"/>
          <w:b/>
          <w:bCs/>
          <w:szCs w:val="32"/>
          <w:lang w:bidi="ar"/>
        </w:rPr>
        <w:t>20.分解工作任务。</w:t>
      </w:r>
      <w:r>
        <w:rPr>
          <w:rFonts w:ascii="仿宋_GB2312" w:hAnsi="仿宋_GB2312" w:cs="仿宋_GB2312" w:hint="eastAsia"/>
          <w:kern w:val="2"/>
          <w:szCs w:val="32"/>
        </w:rPr>
        <w:t>各市州人民政府</w:t>
      </w:r>
      <w:r>
        <w:rPr>
          <w:rFonts w:ascii="仿宋_GB2312" w:hAnsi="仿宋_GB2312" w:cs="仿宋_GB2312" w:hint="eastAsia"/>
          <w:szCs w:val="32"/>
          <w:lang w:bidi="ar"/>
        </w:rPr>
        <w:t>明确重金属污染防控责任人，加强组织领导，制定工作方案，明确年度减排目标，细化任务分工，逐项落实工作任务，确保各项工作顺利开展。</w:t>
      </w:r>
      <w:r>
        <w:rPr>
          <w:rFonts w:ascii="仿宋_GB2312" w:hAnsi="仿宋_GB2312" w:cs="仿宋_GB2312" w:hint="eastAsia"/>
          <w:kern w:val="2"/>
          <w:szCs w:val="32"/>
        </w:rPr>
        <w:t>7个国家重点区域应制定重金属污染防控工作方案（2022-2025年），按照一区</w:t>
      </w:r>
      <w:proofErr w:type="gramStart"/>
      <w:r>
        <w:rPr>
          <w:rFonts w:ascii="仿宋_GB2312" w:hAnsi="仿宋_GB2312" w:cs="仿宋_GB2312" w:hint="eastAsia"/>
          <w:kern w:val="2"/>
          <w:szCs w:val="32"/>
        </w:rPr>
        <w:t>一</w:t>
      </w:r>
      <w:proofErr w:type="gramEnd"/>
      <w:r>
        <w:rPr>
          <w:rFonts w:ascii="仿宋_GB2312" w:hAnsi="仿宋_GB2312" w:cs="仿宋_GB2312" w:hint="eastAsia"/>
          <w:kern w:val="2"/>
          <w:szCs w:val="32"/>
        </w:rPr>
        <w:t>策原则，在方案中明确各区域污染控制、质量改善、风险管控等任务。方案由县级人民政府印发后，及时报送省生态环境厅备案。</w:t>
      </w:r>
      <w:r>
        <w:rPr>
          <w:rFonts w:ascii="仿宋_GB2312" w:hAnsi="仿宋_GB2312" w:cs="仿宋_GB2312" w:hint="eastAsia"/>
          <w:b/>
          <w:bCs/>
          <w:w w:val="98"/>
          <w:kern w:val="2"/>
          <w:szCs w:val="32"/>
        </w:rPr>
        <w:t>（省生态环境厅牵头督导）</w:t>
      </w:r>
    </w:p>
    <w:p w:rsidR="00B74781" w:rsidRDefault="00000000">
      <w:pPr>
        <w:widowControl/>
        <w:spacing w:line="580" w:lineRule="exact"/>
        <w:ind w:firstLineChars="200" w:firstLine="636"/>
        <w:rPr>
          <w:rFonts w:ascii="仿宋_GB2312" w:hAnsi="仿宋_GB2312" w:cs="仿宋_GB2312"/>
          <w:kern w:val="2"/>
          <w:szCs w:val="32"/>
        </w:rPr>
      </w:pPr>
      <w:r>
        <w:rPr>
          <w:rFonts w:ascii="仿宋_GB2312" w:hAnsi="仿宋_GB2312" w:cs="仿宋_GB2312" w:hint="eastAsia"/>
          <w:b/>
          <w:bCs/>
          <w:szCs w:val="32"/>
          <w:lang w:bidi="ar"/>
        </w:rPr>
        <w:t>21.定期调度进展。</w:t>
      </w:r>
      <w:r>
        <w:rPr>
          <w:rFonts w:ascii="仿宋_GB2312" w:hAnsi="仿宋_GB2312" w:cs="仿宋_GB2312" w:hint="eastAsia"/>
          <w:kern w:val="2"/>
          <w:szCs w:val="32"/>
        </w:rPr>
        <w:t>各市州生态环境部门要加强重金属污染防控工作调度和成效评估，每年7月前将上半年重点行业建设项目总量替代清单、减排工程实施清单，每年1月10日前将上年重金属污染防控工作进展、减排评估结果和动态更新后的全口径企业清单报送省生态环境厅。省生态环境厅根据各市州生态环境部门工作情况，加强工作指导和技术帮扶。对于进展滞后的地区实施预警，对未执行总量替代政策的进行通报。</w:t>
      </w:r>
      <w:r>
        <w:rPr>
          <w:rFonts w:ascii="仿宋_GB2312" w:hAnsi="仿宋_GB2312" w:cs="仿宋_GB2312" w:hint="eastAsia"/>
          <w:b/>
          <w:bCs/>
          <w:w w:val="98"/>
          <w:kern w:val="2"/>
          <w:szCs w:val="32"/>
        </w:rPr>
        <w:t>（省生态环境厅牵头督导）</w:t>
      </w:r>
    </w:p>
    <w:p w:rsidR="00B74781" w:rsidRDefault="00000000">
      <w:pPr>
        <w:widowControl/>
        <w:spacing w:line="580" w:lineRule="exact"/>
        <w:ind w:firstLineChars="200" w:firstLine="636"/>
        <w:rPr>
          <w:rFonts w:ascii="仿宋_GB2312" w:hAnsi="仿宋_GB2312" w:cs="仿宋_GB2312"/>
          <w:b/>
          <w:bCs/>
          <w:w w:val="98"/>
          <w:kern w:val="2"/>
          <w:szCs w:val="32"/>
        </w:rPr>
      </w:pPr>
      <w:r>
        <w:rPr>
          <w:rFonts w:ascii="仿宋_GB2312" w:hAnsi="仿宋_GB2312" w:cs="仿宋_GB2312" w:hint="eastAsia"/>
          <w:b/>
          <w:bCs/>
          <w:szCs w:val="32"/>
          <w:lang w:bidi="ar"/>
        </w:rPr>
        <w:t>22.加强财政金融支持。</w:t>
      </w:r>
      <w:r>
        <w:rPr>
          <w:rFonts w:ascii="仿宋_GB2312" w:hAnsi="仿宋_GB2312" w:cs="仿宋_GB2312" w:hint="eastAsia"/>
          <w:kern w:val="2"/>
          <w:szCs w:val="32"/>
        </w:rPr>
        <w:t>省级生态环境部门按照土壤污染防控等资金管理相关规定合理使用资金，积极拓宽资金来源渠道，</w:t>
      </w:r>
      <w:r>
        <w:rPr>
          <w:rFonts w:ascii="仿宋_GB2312" w:hAnsi="仿宋_GB2312" w:cs="仿宋_GB2312" w:hint="eastAsia"/>
          <w:kern w:val="2"/>
          <w:szCs w:val="32"/>
        </w:rPr>
        <w:lastRenderedPageBreak/>
        <w:t>支持涉重金属历史遗留问题治理等工作。收集、贮存、运输、利用、处置涉重金属危险废物的单位，应当按照国家有关规定，投保环境污染责任保险。积极争取国家资金支持，建立完善重金属污染防治投入保障机制，落实</w:t>
      </w:r>
      <w:proofErr w:type="gramStart"/>
      <w:r>
        <w:rPr>
          <w:rFonts w:ascii="仿宋_GB2312" w:hAnsi="仿宋_GB2312" w:cs="仿宋_GB2312" w:hint="eastAsia"/>
          <w:kern w:val="2"/>
          <w:szCs w:val="32"/>
        </w:rPr>
        <w:t>省级资金</w:t>
      </w:r>
      <w:proofErr w:type="gramEnd"/>
      <w:r>
        <w:rPr>
          <w:rFonts w:ascii="仿宋_GB2312" w:hAnsi="仿宋_GB2312" w:cs="仿宋_GB2312" w:hint="eastAsia"/>
          <w:kern w:val="2"/>
          <w:szCs w:val="32"/>
        </w:rPr>
        <w:t>投入，对重点区域进行持续和重点支持。加大各级政府投入，积极推进EOD、PPP模式和环境污染第三方治理。</w:t>
      </w:r>
      <w:r>
        <w:rPr>
          <w:rFonts w:ascii="仿宋_GB2312" w:hAnsi="仿宋_GB2312" w:cs="仿宋_GB2312" w:hint="eastAsia"/>
          <w:b/>
          <w:bCs/>
          <w:w w:val="98"/>
          <w:kern w:val="2"/>
          <w:szCs w:val="32"/>
        </w:rPr>
        <w:t>（省财政厅、省生态环境厅按职责分工督导）</w:t>
      </w:r>
    </w:p>
    <w:p w:rsidR="00B74781" w:rsidRDefault="00000000">
      <w:pPr>
        <w:tabs>
          <w:tab w:val="left" w:pos="7655"/>
        </w:tabs>
        <w:snapToGrid w:val="0"/>
        <w:spacing w:line="580" w:lineRule="exact"/>
        <w:ind w:firstLineChars="200" w:firstLine="636"/>
        <w:rPr>
          <w:rFonts w:ascii="仿宋_GB2312" w:hAnsi="仿宋_GB2312" w:cs="仿宋_GB2312"/>
          <w:b/>
          <w:bCs/>
          <w:w w:val="98"/>
          <w:kern w:val="2"/>
          <w:szCs w:val="32"/>
        </w:rPr>
      </w:pPr>
      <w:r>
        <w:rPr>
          <w:rFonts w:ascii="仿宋_GB2312" w:hAnsi="仿宋_GB2312" w:cs="仿宋_GB2312" w:hint="eastAsia"/>
          <w:b/>
          <w:bCs/>
          <w:szCs w:val="32"/>
          <w:lang w:bidi="ar"/>
        </w:rPr>
        <w:t>23.鼓励公众参与。</w:t>
      </w:r>
      <w:r>
        <w:rPr>
          <w:rFonts w:ascii="仿宋_GB2312" w:hAnsi="仿宋_GB2312" w:cs="仿宋_GB2312" w:hint="eastAsia"/>
          <w:kern w:val="2"/>
          <w:szCs w:val="32"/>
        </w:rPr>
        <w:t>重点行业企业应依法披露重金属相关环境信息。有条件的企业可设置企业公众开放日。充分发挥行业协会等社会团体作用，督促企业自觉履行社会责任。支持各地建立完善有奖举报制度，将举报重点行业企业非法生产、不正常运行治理设施、超标排放、倾倒转移含重金属废物等列入重点奖励范围。</w:t>
      </w:r>
      <w:r>
        <w:rPr>
          <w:rFonts w:ascii="仿宋_GB2312" w:hAnsi="仿宋_GB2312" w:cs="仿宋_GB2312" w:hint="eastAsia"/>
          <w:b/>
          <w:bCs/>
          <w:w w:val="98"/>
          <w:kern w:val="2"/>
          <w:szCs w:val="32"/>
        </w:rPr>
        <w:t>（省生态环境厅牵头</w:t>
      </w:r>
      <w:r>
        <w:rPr>
          <w:rFonts w:ascii="仿宋_GB2312" w:hAnsi="仿宋_GB2312" w:cs="仿宋_GB2312" w:hint="eastAsia"/>
          <w:b/>
          <w:bCs/>
          <w:w w:val="98"/>
          <w:szCs w:val="32"/>
        </w:rPr>
        <w:t>督导</w:t>
      </w:r>
      <w:r>
        <w:rPr>
          <w:rFonts w:ascii="仿宋_GB2312" w:hAnsi="仿宋_GB2312" w:cs="仿宋_GB2312" w:hint="eastAsia"/>
          <w:b/>
          <w:bCs/>
          <w:w w:val="98"/>
          <w:kern w:val="2"/>
          <w:szCs w:val="32"/>
        </w:rPr>
        <w:t>）</w:t>
      </w:r>
    </w:p>
    <w:p w:rsidR="00B74781" w:rsidRDefault="00000000">
      <w:pPr>
        <w:spacing w:line="580" w:lineRule="exact"/>
        <w:ind w:firstLineChars="200" w:firstLine="623"/>
        <w:rPr>
          <w:rFonts w:ascii="仿宋_GB2312" w:hAnsi="仿宋_GB2312" w:cs="仿宋_GB2312"/>
          <w:b/>
          <w:bCs/>
          <w:w w:val="98"/>
          <w:kern w:val="2"/>
          <w:szCs w:val="32"/>
        </w:rPr>
      </w:pPr>
      <w:r>
        <w:rPr>
          <w:rFonts w:ascii="仿宋_GB2312" w:hAnsi="仿宋_GB2312" w:cs="仿宋_GB2312" w:hint="eastAsia"/>
          <w:w w:val="98"/>
          <w:kern w:val="2"/>
          <w:szCs w:val="32"/>
        </w:rPr>
        <w:t>本工作方案自印发之日起实施,有效期至2025年12月31日。</w:t>
      </w:r>
    </w:p>
    <w:p w:rsidR="00B74781" w:rsidRDefault="00000000">
      <w:pPr>
        <w:spacing w:line="580" w:lineRule="exact"/>
        <w:ind w:firstLineChars="200" w:firstLine="623"/>
        <w:rPr>
          <w:rFonts w:ascii="仿宋_GB2312" w:hAnsi="仿宋_GB2312" w:cs="仿宋_GB2312"/>
          <w:b/>
          <w:bCs/>
          <w:w w:val="98"/>
          <w:kern w:val="2"/>
          <w:szCs w:val="32"/>
        </w:rPr>
      </w:pPr>
      <w:r>
        <w:rPr>
          <w:rFonts w:ascii="仿宋_GB2312" w:hAnsi="仿宋_GB2312" w:cs="仿宋_GB2312" w:hint="eastAsia"/>
          <w:b/>
          <w:bCs/>
          <w:w w:val="98"/>
          <w:kern w:val="2"/>
          <w:szCs w:val="32"/>
        </w:rPr>
        <w:br w:type="page"/>
      </w:r>
    </w:p>
    <w:p w:rsidR="00B74781" w:rsidRDefault="00000000">
      <w:pPr>
        <w:snapToGrid w:val="0"/>
        <w:rPr>
          <w:rFonts w:eastAsia="黑体"/>
        </w:rPr>
      </w:pPr>
      <w:r>
        <w:rPr>
          <w:rFonts w:ascii="黑体" w:eastAsia="黑体" w:hAnsi="黑体" w:hint="eastAsia"/>
          <w:szCs w:val="28"/>
        </w:rPr>
        <w:lastRenderedPageBreak/>
        <w:t>附件：</w:t>
      </w:r>
    </w:p>
    <w:p w:rsidR="00B74781" w:rsidRDefault="00B74781">
      <w:pPr>
        <w:snapToGrid w:val="0"/>
        <w:spacing w:line="400" w:lineRule="exact"/>
        <w:jc w:val="center"/>
        <w:rPr>
          <w:rFonts w:ascii="方正小标宋_GBK" w:eastAsia="方正小标宋_GBK" w:hAnsi="方正小标宋_GBK" w:cs="方正小标宋_GBK"/>
          <w:bCs/>
          <w:sz w:val="40"/>
          <w:szCs w:val="40"/>
        </w:rPr>
      </w:pPr>
    </w:p>
    <w:p w:rsidR="00B74781" w:rsidRDefault="00000000">
      <w:pPr>
        <w:snapToGrid w:val="0"/>
        <w:spacing w:line="360" w:lineRule="auto"/>
        <w:jc w:val="center"/>
        <w:rPr>
          <w:rFonts w:ascii="方正小标宋_GBK" w:eastAsia="方正小标宋_GBK" w:hAnsi="方正小标宋_GBK" w:cs="方正小标宋_GBK"/>
          <w:bCs/>
          <w:sz w:val="40"/>
          <w:szCs w:val="40"/>
        </w:rPr>
      </w:pPr>
      <w:r>
        <w:rPr>
          <w:rFonts w:ascii="方正小标宋_GBK" w:eastAsia="方正小标宋_GBK" w:hAnsi="方正小标宋_GBK" w:cs="方正小标宋_GBK" w:hint="eastAsia"/>
          <w:bCs/>
          <w:sz w:val="40"/>
          <w:szCs w:val="40"/>
        </w:rPr>
        <w:t>各市州“十四五”期间重金属减</w:t>
      </w:r>
      <w:proofErr w:type="gramStart"/>
      <w:r>
        <w:rPr>
          <w:rFonts w:ascii="方正小标宋_GBK" w:eastAsia="方正小标宋_GBK" w:hAnsi="方正小标宋_GBK" w:cs="方正小标宋_GBK" w:hint="eastAsia"/>
          <w:bCs/>
          <w:sz w:val="40"/>
          <w:szCs w:val="40"/>
        </w:rPr>
        <w:t>排任务</w:t>
      </w:r>
      <w:proofErr w:type="gramEnd"/>
      <w:r>
        <w:rPr>
          <w:rFonts w:ascii="方正小标宋_GBK" w:eastAsia="方正小标宋_GBK" w:hAnsi="方正小标宋_GBK" w:cs="方正小标宋_GBK" w:hint="eastAsia"/>
          <w:bCs/>
          <w:sz w:val="40"/>
          <w:szCs w:val="40"/>
        </w:rPr>
        <w:t>分解表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1751"/>
        <w:gridCol w:w="2745"/>
        <w:gridCol w:w="1851"/>
        <w:gridCol w:w="1798"/>
      </w:tblGrid>
      <w:tr w:rsidR="00B74781">
        <w:trPr>
          <w:trHeight w:val="565"/>
          <w:jc w:val="center"/>
        </w:trPr>
        <w:tc>
          <w:tcPr>
            <w:tcW w:w="972" w:type="dxa"/>
            <w:vMerge w:val="restart"/>
            <w:tcBorders>
              <w:tl2br w:val="nil"/>
              <w:tr2bl w:val="nil"/>
            </w:tcBorders>
            <w:shd w:val="clear" w:color="auto" w:fill="auto"/>
            <w:vAlign w:val="center"/>
          </w:tcPr>
          <w:p w:rsidR="00B74781" w:rsidRDefault="00000000">
            <w:pPr>
              <w:widowControl/>
              <w:adjustRightInd w:val="0"/>
              <w:snapToGrid w:val="0"/>
              <w:jc w:val="center"/>
              <w:textAlignment w:val="center"/>
              <w:rPr>
                <w:rFonts w:ascii="仿宋_GB2312" w:hAnsi="仿宋_GB2312" w:cs="仿宋_GB2312"/>
                <w:b/>
                <w:bCs/>
                <w:sz w:val="24"/>
                <w:szCs w:val="24"/>
                <w:lang w:bidi="ar"/>
              </w:rPr>
            </w:pPr>
            <w:r>
              <w:rPr>
                <w:rFonts w:ascii="仿宋_GB2312" w:hAnsi="仿宋_GB2312" w:cs="仿宋_GB2312" w:hint="eastAsia"/>
                <w:b/>
                <w:bCs/>
                <w:sz w:val="24"/>
                <w:szCs w:val="24"/>
                <w:lang w:bidi="ar"/>
              </w:rPr>
              <w:t>序号</w:t>
            </w:r>
          </w:p>
        </w:tc>
        <w:tc>
          <w:tcPr>
            <w:tcW w:w="1751" w:type="dxa"/>
            <w:vMerge w:val="restart"/>
            <w:tcBorders>
              <w:tl2br w:val="nil"/>
              <w:tr2bl w:val="nil"/>
            </w:tcBorders>
            <w:shd w:val="clear" w:color="auto" w:fill="auto"/>
            <w:vAlign w:val="center"/>
          </w:tcPr>
          <w:p w:rsidR="00B74781" w:rsidRDefault="00000000">
            <w:pPr>
              <w:widowControl/>
              <w:adjustRightInd w:val="0"/>
              <w:snapToGrid w:val="0"/>
              <w:jc w:val="center"/>
              <w:textAlignment w:val="center"/>
              <w:rPr>
                <w:rFonts w:ascii="仿宋_GB2312" w:hAnsi="仿宋_GB2312" w:cs="仿宋_GB2312"/>
                <w:b/>
                <w:bCs/>
                <w:sz w:val="24"/>
                <w:szCs w:val="24"/>
                <w:lang w:bidi="ar"/>
              </w:rPr>
            </w:pPr>
            <w:r>
              <w:rPr>
                <w:rFonts w:ascii="仿宋_GB2312" w:hAnsi="仿宋_GB2312" w:cs="仿宋_GB2312" w:hint="eastAsia"/>
                <w:b/>
                <w:bCs/>
                <w:sz w:val="24"/>
                <w:szCs w:val="24"/>
                <w:lang w:bidi="ar"/>
              </w:rPr>
              <w:t>市州名称</w:t>
            </w:r>
          </w:p>
        </w:tc>
        <w:tc>
          <w:tcPr>
            <w:tcW w:w="2745" w:type="dxa"/>
            <w:vMerge w:val="restart"/>
            <w:tcBorders>
              <w:tl2br w:val="nil"/>
              <w:tr2bl w:val="nil"/>
            </w:tcBorders>
            <w:shd w:val="clear" w:color="auto" w:fill="auto"/>
            <w:noWrap/>
            <w:vAlign w:val="center"/>
          </w:tcPr>
          <w:p w:rsidR="00B74781" w:rsidRDefault="00000000">
            <w:pPr>
              <w:widowControl/>
              <w:adjustRightInd w:val="0"/>
              <w:snapToGrid w:val="0"/>
              <w:jc w:val="center"/>
              <w:textAlignment w:val="center"/>
              <w:rPr>
                <w:rFonts w:ascii="仿宋_GB2312" w:hAnsi="仿宋_GB2312" w:cs="仿宋_GB2312"/>
                <w:b/>
                <w:bCs/>
                <w:sz w:val="24"/>
                <w:szCs w:val="24"/>
                <w:lang w:bidi="ar"/>
              </w:rPr>
            </w:pPr>
            <w:r>
              <w:rPr>
                <w:rFonts w:ascii="仿宋_GB2312" w:hAnsi="仿宋_GB2312" w:cs="仿宋_GB2312" w:hint="eastAsia"/>
                <w:b/>
                <w:bCs/>
                <w:sz w:val="24"/>
                <w:szCs w:val="24"/>
                <w:lang w:bidi="ar"/>
              </w:rPr>
              <w:t>2020年重点重金属污染物排放基数（kg）</w:t>
            </w:r>
          </w:p>
        </w:tc>
        <w:tc>
          <w:tcPr>
            <w:tcW w:w="3649" w:type="dxa"/>
            <w:gridSpan w:val="2"/>
            <w:tcBorders>
              <w:tl2br w:val="nil"/>
              <w:tr2bl w:val="nil"/>
            </w:tcBorders>
            <w:shd w:val="clear" w:color="auto" w:fill="auto"/>
            <w:vAlign w:val="center"/>
          </w:tcPr>
          <w:p w:rsidR="00B74781" w:rsidRDefault="00000000">
            <w:pPr>
              <w:widowControl/>
              <w:adjustRightInd w:val="0"/>
              <w:snapToGrid w:val="0"/>
              <w:jc w:val="center"/>
              <w:textAlignment w:val="center"/>
              <w:rPr>
                <w:rFonts w:ascii="仿宋_GB2312" w:hAnsi="仿宋_GB2312" w:cs="仿宋_GB2312"/>
                <w:b/>
                <w:bCs/>
                <w:sz w:val="24"/>
                <w:szCs w:val="24"/>
                <w:lang w:bidi="ar"/>
              </w:rPr>
            </w:pPr>
            <w:r>
              <w:rPr>
                <w:rFonts w:ascii="仿宋_GB2312" w:hAnsi="仿宋_GB2312" w:cs="仿宋_GB2312" w:hint="eastAsia"/>
                <w:b/>
                <w:bCs/>
                <w:sz w:val="24"/>
                <w:szCs w:val="24"/>
                <w:lang w:bidi="ar"/>
              </w:rPr>
              <w:t>减排任务</w:t>
            </w:r>
          </w:p>
          <w:p w:rsidR="00B74781" w:rsidRDefault="00000000">
            <w:pPr>
              <w:widowControl/>
              <w:adjustRightInd w:val="0"/>
              <w:snapToGrid w:val="0"/>
              <w:jc w:val="center"/>
              <w:textAlignment w:val="center"/>
              <w:rPr>
                <w:rFonts w:ascii="仿宋_GB2312" w:hAnsi="仿宋_GB2312" w:cs="仿宋_GB2312"/>
                <w:b/>
                <w:bCs/>
                <w:sz w:val="24"/>
                <w:szCs w:val="24"/>
                <w:lang w:bidi="ar"/>
              </w:rPr>
            </w:pPr>
            <w:r>
              <w:rPr>
                <w:rFonts w:ascii="仿宋_GB2312" w:hAnsi="仿宋_GB2312" w:cs="仿宋_GB2312" w:hint="eastAsia"/>
                <w:b/>
                <w:bCs/>
                <w:sz w:val="24"/>
                <w:szCs w:val="24"/>
                <w:lang w:bidi="ar"/>
              </w:rPr>
              <w:t>（2021年-2025年）</w:t>
            </w:r>
          </w:p>
        </w:tc>
      </w:tr>
      <w:tr w:rsidR="00B74781">
        <w:trPr>
          <w:trHeight w:val="390"/>
          <w:jc w:val="center"/>
        </w:trPr>
        <w:tc>
          <w:tcPr>
            <w:tcW w:w="972" w:type="dxa"/>
            <w:vMerge/>
            <w:tcBorders>
              <w:tl2br w:val="nil"/>
              <w:tr2bl w:val="nil"/>
            </w:tcBorders>
            <w:shd w:val="clear" w:color="auto" w:fill="auto"/>
            <w:vAlign w:val="center"/>
          </w:tcPr>
          <w:p w:rsidR="00B74781" w:rsidRDefault="00B74781">
            <w:pPr>
              <w:adjustRightInd w:val="0"/>
              <w:snapToGrid w:val="0"/>
              <w:jc w:val="center"/>
              <w:rPr>
                <w:rFonts w:ascii="仿宋_GB2312" w:hAnsi="仿宋_GB2312" w:cs="仿宋_GB2312"/>
                <w:b/>
                <w:bCs/>
                <w:sz w:val="24"/>
                <w:szCs w:val="24"/>
                <w:lang w:bidi="ar"/>
              </w:rPr>
            </w:pPr>
          </w:p>
        </w:tc>
        <w:tc>
          <w:tcPr>
            <w:tcW w:w="1751" w:type="dxa"/>
            <w:vMerge/>
            <w:tcBorders>
              <w:tl2br w:val="nil"/>
              <w:tr2bl w:val="nil"/>
            </w:tcBorders>
            <w:shd w:val="clear" w:color="auto" w:fill="auto"/>
            <w:vAlign w:val="center"/>
          </w:tcPr>
          <w:p w:rsidR="00B74781" w:rsidRDefault="00B74781">
            <w:pPr>
              <w:adjustRightInd w:val="0"/>
              <w:snapToGrid w:val="0"/>
              <w:jc w:val="center"/>
              <w:rPr>
                <w:rFonts w:ascii="仿宋_GB2312" w:hAnsi="仿宋_GB2312" w:cs="仿宋_GB2312"/>
                <w:b/>
                <w:bCs/>
                <w:sz w:val="24"/>
                <w:szCs w:val="24"/>
                <w:lang w:bidi="ar"/>
              </w:rPr>
            </w:pPr>
          </w:p>
        </w:tc>
        <w:tc>
          <w:tcPr>
            <w:tcW w:w="2745" w:type="dxa"/>
            <w:vMerge/>
            <w:tcBorders>
              <w:tl2br w:val="nil"/>
              <w:tr2bl w:val="nil"/>
            </w:tcBorders>
            <w:shd w:val="clear" w:color="auto" w:fill="auto"/>
            <w:noWrap/>
            <w:vAlign w:val="center"/>
          </w:tcPr>
          <w:p w:rsidR="00B74781" w:rsidRDefault="00B74781">
            <w:pPr>
              <w:adjustRightInd w:val="0"/>
              <w:snapToGrid w:val="0"/>
              <w:jc w:val="center"/>
              <w:rPr>
                <w:rFonts w:ascii="仿宋_GB2312" w:hAnsi="仿宋_GB2312" w:cs="仿宋_GB2312"/>
                <w:b/>
                <w:bCs/>
                <w:sz w:val="24"/>
                <w:szCs w:val="24"/>
                <w:lang w:bidi="ar"/>
              </w:rPr>
            </w:pPr>
          </w:p>
        </w:tc>
        <w:tc>
          <w:tcPr>
            <w:tcW w:w="1851" w:type="dxa"/>
            <w:tcBorders>
              <w:tl2br w:val="nil"/>
              <w:tr2bl w:val="nil"/>
            </w:tcBorders>
            <w:shd w:val="clear" w:color="auto" w:fill="auto"/>
            <w:noWrap/>
            <w:vAlign w:val="center"/>
          </w:tcPr>
          <w:p w:rsidR="00B74781" w:rsidRDefault="00000000">
            <w:pPr>
              <w:widowControl/>
              <w:adjustRightInd w:val="0"/>
              <w:snapToGrid w:val="0"/>
              <w:jc w:val="center"/>
              <w:textAlignment w:val="center"/>
              <w:rPr>
                <w:rFonts w:ascii="仿宋_GB2312" w:hAnsi="仿宋_GB2312" w:cs="仿宋_GB2312"/>
                <w:b/>
                <w:bCs/>
                <w:sz w:val="24"/>
                <w:szCs w:val="24"/>
                <w:lang w:bidi="ar"/>
              </w:rPr>
            </w:pPr>
            <w:proofErr w:type="gramStart"/>
            <w:r>
              <w:rPr>
                <w:rFonts w:ascii="仿宋_GB2312" w:hAnsi="仿宋_GB2312" w:cs="仿宋_GB2312" w:hint="eastAsia"/>
                <w:b/>
                <w:bCs/>
                <w:sz w:val="24"/>
                <w:szCs w:val="24"/>
                <w:lang w:bidi="ar"/>
              </w:rPr>
              <w:t>减排率</w:t>
            </w:r>
            <w:proofErr w:type="gramEnd"/>
          </w:p>
        </w:tc>
        <w:tc>
          <w:tcPr>
            <w:tcW w:w="1798" w:type="dxa"/>
            <w:tcBorders>
              <w:tl2br w:val="nil"/>
              <w:tr2bl w:val="nil"/>
            </w:tcBorders>
            <w:shd w:val="clear" w:color="auto" w:fill="auto"/>
            <w:noWrap/>
            <w:vAlign w:val="center"/>
          </w:tcPr>
          <w:p w:rsidR="00B74781" w:rsidRDefault="00000000">
            <w:pPr>
              <w:widowControl/>
              <w:adjustRightInd w:val="0"/>
              <w:snapToGrid w:val="0"/>
              <w:jc w:val="center"/>
              <w:textAlignment w:val="center"/>
              <w:rPr>
                <w:rFonts w:ascii="仿宋_GB2312" w:hAnsi="仿宋_GB2312" w:cs="仿宋_GB2312"/>
                <w:b/>
                <w:bCs/>
                <w:sz w:val="24"/>
                <w:szCs w:val="24"/>
                <w:lang w:bidi="ar"/>
              </w:rPr>
            </w:pPr>
            <w:r>
              <w:rPr>
                <w:rFonts w:ascii="仿宋_GB2312" w:hAnsi="仿宋_GB2312" w:cs="仿宋_GB2312" w:hint="eastAsia"/>
                <w:b/>
                <w:bCs/>
                <w:sz w:val="24"/>
                <w:szCs w:val="24"/>
                <w:lang w:bidi="ar"/>
              </w:rPr>
              <w:t>减排量（kg）</w:t>
            </w:r>
          </w:p>
        </w:tc>
      </w:tr>
      <w:tr w:rsidR="00B74781">
        <w:trPr>
          <w:trHeight w:val="390"/>
          <w:jc w:val="center"/>
        </w:trPr>
        <w:tc>
          <w:tcPr>
            <w:tcW w:w="972" w:type="dxa"/>
            <w:tcBorders>
              <w:tl2br w:val="nil"/>
              <w:tr2bl w:val="nil"/>
            </w:tcBorders>
            <w:shd w:val="clear" w:color="auto" w:fill="auto"/>
            <w:vAlign w:val="center"/>
          </w:tcPr>
          <w:p w:rsidR="00B74781" w:rsidRDefault="00000000">
            <w:pPr>
              <w:widowControl/>
              <w:adjustRightInd w:val="0"/>
              <w:snapToGrid w:val="0"/>
              <w:jc w:val="center"/>
              <w:textAlignment w:val="center"/>
              <w:rPr>
                <w:rFonts w:ascii="仿宋_GB2312" w:hAnsi="仿宋_GB2312" w:cs="仿宋_GB2312"/>
                <w:sz w:val="24"/>
                <w:szCs w:val="24"/>
                <w:lang w:bidi="ar"/>
              </w:rPr>
            </w:pPr>
            <w:r>
              <w:rPr>
                <w:rFonts w:ascii="仿宋_GB2312" w:hAnsi="仿宋_GB2312" w:cs="仿宋_GB2312" w:hint="eastAsia"/>
                <w:sz w:val="24"/>
                <w:szCs w:val="24"/>
                <w:lang w:bidi="ar"/>
              </w:rPr>
              <w:t>1</w:t>
            </w:r>
          </w:p>
        </w:tc>
        <w:tc>
          <w:tcPr>
            <w:tcW w:w="1751" w:type="dxa"/>
            <w:tcBorders>
              <w:tl2br w:val="nil"/>
              <w:tr2bl w:val="nil"/>
            </w:tcBorders>
            <w:shd w:val="clear" w:color="auto" w:fill="auto"/>
            <w:vAlign w:val="center"/>
          </w:tcPr>
          <w:p w:rsidR="00B74781" w:rsidRDefault="00000000">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sz w:val="24"/>
                <w:szCs w:val="24"/>
                <w:lang w:bidi="ar"/>
              </w:rPr>
              <w:t>长沙</w:t>
            </w:r>
          </w:p>
        </w:tc>
        <w:tc>
          <w:tcPr>
            <w:tcW w:w="2745" w:type="dxa"/>
            <w:tcBorders>
              <w:tl2br w:val="nil"/>
              <w:tr2bl w:val="nil"/>
            </w:tcBorders>
            <w:shd w:val="clear" w:color="auto" w:fill="auto"/>
            <w:noWrap/>
            <w:vAlign w:val="center"/>
          </w:tcPr>
          <w:p w:rsidR="00B74781" w:rsidRDefault="00000000">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sz w:val="24"/>
                <w:szCs w:val="24"/>
                <w:lang w:bidi="ar"/>
              </w:rPr>
              <w:t>710</w:t>
            </w:r>
          </w:p>
        </w:tc>
        <w:tc>
          <w:tcPr>
            <w:tcW w:w="1851" w:type="dxa"/>
            <w:tcBorders>
              <w:tl2br w:val="nil"/>
              <w:tr2bl w:val="nil"/>
            </w:tcBorders>
            <w:shd w:val="clear" w:color="auto" w:fill="auto"/>
            <w:noWrap/>
            <w:vAlign w:val="center"/>
          </w:tcPr>
          <w:p w:rsidR="00B74781" w:rsidRDefault="00000000">
            <w:pPr>
              <w:widowControl/>
              <w:adjustRightInd w:val="0"/>
              <w:snapToGrid w:val="0"/>
              <w:jc w:val="center"/>
              <w:textAlignment w:val="center"/>
              <w:rPr>
                <w:rFonts w:ascii="仿宋_GB2312" w:hAnsi="仿宋_GB2312" w:cs="仿宋_GB2312"/>
                <w:sz w:val="24"/>
                <w:szCs w:val="24"/>
                <w:lang w:bidi="ar"/>
              </w:rPr>
            </w:pPr>
            <w:r>
              <w:rPr>
                <w:rFonts w:ascii="仿宋_GB2312" w:hAnsi="仿宋_GB2312" w:cs="仿宋_GB2312" w:hint="eastAsia"/>
                <w:sz w:val="24"/>
                <w:szCs w:val="24"/>
                <w:lang w:bidi="ar"/>
              </w:rPr>
              <w:t>7.0%</w:t>
            </w:r>
          </w:p>
        </w:tc>
        <w:tc>
          <w:tcPr>
            <w:tcW w:w="1798" w:type="dxa"/>
            <w:tcBorders>
              <w:tl2br w:val="nil"/>
              <w:tr2bl w:val="nil"/>
            </w:tcBorders>
            <w:shd w:val="clear" w:color="auto" w:fill="auto"/>
            <w:noWrap/>
            <w:vAlign w:val="center"/>
          </w:tcPr>
          <w:p w:rsidR="00B74781" w:rsidRDefault="00000000">
            <w:pPr>
              <w:widowControl/>
              <w:adjustRightInd w:val="0"/>
              <w:snapToGrid w:val="0"/>
              <w:jc w:val="center"/>
              <w:textAlignment w:val="center"/>
              <w:rPr>
                <w:rFonts w:ascii="仿宋_GB2312" w:hAnsi="仿宋_GB2312" w:cs="仿宋_GB2312"/>
                <w:sz w:val="24"/>
                <w:szCs w:val="24"/>
                <w:lang w:bidi="ar"/>
              </w:rPr>
            </w:pPr>
            <w:r>
              <w:rPr>
                <w:rFonts w:ascii="仿宋_GB2312" w:hAnsi="仿宋_GB2312" w:cs="仿宋_GB2312" w:hint="eastAsia"/>
                <w:sz w:val="24"/>
                <w:szCs w:val="24"/>
                <w:lang w:bidi="ar"/>
              </w:rPr>
              <w:t>49.7</w:t>
            </w:r>
          </w:p>
        </w:tc>
      </w:tr>
      <w:tr w:rsidR="00B74781">
        <w:trPr>
          <w:trHeight w:val="390"/>
          <w:jc w:val="center"/>
        </w:trPr>
        <w:tc>
          <w:tcPr>
            <w:tcW w:w="972" w:type="dxa"/>
            <w:tcBorders>
              <w:tl2br w:val="nil"/>
              <w:tr2bl w:val="nil"/>
            </w:tcBorders>
            <w:shd w:val="clear" w:color="auto" w:fill="auto"/>
            <w:vAlign w:val="center"/>
          </w:tcPr>
          <w:p w:rsidR="00B74781" w:rsidRDefault="00000000">
            <w:pPr>
              <w:widowControl/>
              <w:adjustRightInd w:val="0"/>
              <w:snapToGrid w:val="0"/>
              <w:jc w:val="center"/>
              <w:textAlignment w:val="center"/>
              <w:rPr>
                <w:rFonts w:ascii="仿宋_GB2312" w:hAnsi="仿宋_GB2312" w:cs="仿宋_GB2312"/>
                <w:sz w:val="24"/>
                <w:szCs w:val="24"/>
                <w:lang w:bidi="ar"/>
              </w:rPr>
            </w:pPr>
            <w:r>
              <w:rPr>
                <w:rFonts w:ascii="仿宋_GB2312" w:hAnsi="仿宋_GB2312" w:cs="仿宋_GB2312" w:hint="eastAsia"/>
                <w:sz w:val="24"/>
                <w:szCs w:val="24"/>
                <w:lang w:bidi="ar"/>
              </w:rPr>
              <w:t>2</w:t>
            </w:r>
          </w:p>
        </w:tc>
        <w:tc>
          <w:tcPr>
            <w:tcW w:w="1751" w:type="dxa"/>
            <w:tcBorders>
              <w:tl2br w:val="nil"/>
              <w:tr2bl w:val="nil"/>
            </w:tcBorders>
            <w:shd w:val="clear" w:color="auto" w:fill="auto"/>
            <w:vAlign w:val="center"/>
          </w:tcPr>
          <w:p w:rsidR="00B74781" w:rsidRDefault="00000000">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sz w:val="24"/>
                <w:szCs w:val="24"/>
                <w:lang w:bidi="ar"/>
              </w:rPr>
              <w:t>株洲</w:t>
            </w:r>
          </w:p>
        </w:tc>
        <w:tc>
          <w:tcPr>
            <w:tcW w:w="2745" w:type="dxa"/>
            <w:tcBorders>
              <w:tl2br w:val="nil"/>
              <w:tr2bl w:val="nil"/>
            </w:tcBorders>
            <w:shd w:val="clear" w:color="auto" w:fill="auto"/>
            <w:noWrap/>
            <w:vAlign w:val="center"/>
          </w:tcPr>
          <w:p w:rsidR="00B74781" w:rsidRDefault="00000000">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sz w:val="24"/>
                <w:szCs w:val="24"/>
                <w:lang w:bidi="ar"/>
              </w:rPr>
              <w:t>889.6</w:t>
            </w:r>
          </w:p>
        </w:tc>
        <w:tc>
          <w:tcPr>
            <w:tcW w:w="1851" w:type="dxa"/>
            <w:tcBorders>
              <w:tl2br w:val="nil"/>
              <w:tr2bl w:val="nil"/>
            </w:tcBorders>
            <w:shd w:val="clear" w:color="auto" w:fill="auto"/>
            <w:noWrap/>
            <w:vAlign w:val="center"/>
          </w:tcPr>
          <w:p w:rsidR="00B74781" w:rsidRDefault="00000000">
            <w:pPr>
              <w:widowControl/>
              <w:adjustRightInd w:val="0"/>
              <w:snapToGrid w:val="0"/>
              <w:jc w:val="center"/>
              <w:textAlignment w:val="center"/>
              <w:rPr>
                <w:rFonts w:ascii="仿宋_GB2312" w:hAnsi="仿宋_GB2312" w:cs="仿宋_GB2312"/>
                <w:sz w:val="24"/>
                <w:szCs w:val="24"/>
                <w:lang w:bidi="ar"/>
              </w:rPr>
            </w:pPr>
            <w:r>
              <w:rPr>
                <w:rFonts w:ascii="仿宋_GB2312" w:hAnsi="仿宋_GB2312" w:cs="仿宋_GB2312" w:hint="eastAsia"/>
                <w:sz w:val="24"/>
                <w:szCs w:val="24"/>
                <w:lang w:bidi="ar"/>
              </w:rPr>
              <w:t>7.0%</w:t>
            </w:r>
          </w:p>
        </w:tc>
        <w:tc>
          <w:tcPr>
            <w:tcW w:w="1798" w:type="dxa"/>
            <w:tcBorders>
              <w:tl2br w:val="nil"/>
              <w:tr2bl w:val="nil"/>
            </w:tcBorders>
            <w:shd w:val="clear" w:color="auto" w:fill="auto"/>
            <w:noWrap/>
            <w:vAlign w:val="center"/>
          </w:tcPr>
          <w:p w:rsidR="00B74781" w:rsidRDefault="00000000">
            <w:pPr>
              <w:widowControl/>
              <w:adjustRightInd w:val="0"/>
              <w:snapToGrid w:val="0"/>
              <w:jc w:val="center"/>
              <w:textAlignment w:val="center"/>
              <w:rPr>
                <w:rFonts w:ascii="仿宋_GB2312" w:hAnsi="仿宋_GB2312" w:cs="仿宋_GB2312"/>
                <w:sz w:val="24"/>
                <w:szCs w:val="24"/>
                <w:lang w:bidi="ar"/>
              </w:rPr>
            </w:pPr>
            <w:r>
              <w:rPr>
                <w:rFonts w:ascii="仿宋_GB2312" w:hAnsi="仿宋_GB2312" w:cs="仿宋_GB2312" w:hint="eastAsia"/>
                <w:sz w:val="24"/>
                <w:szCs w:val="24"/>
                <w:lang w:bidi="ar"/>
              </w:rPr>
              <w:t>62.3</w:t>
            </w:r>
          </w:p>
        </w:tc>
      </w:tr>
      <w:tr w:rsidR="00B74781">
        <w:trPr>
          <w:trHeight w:val="390"/>
          <w:jc w:val="center"/>
        </w:trPr>
        <w:tc>
          <w:tcPr>
            <w:tcW w:w="972" w:type="dxa"/>
            <w:tcBorders>
              <w:tl2br w:val="nil"/>
              <w:tr2bl w:val="nil"/>
            </w:tcBorders>
            <w:shd w:val="clear" w:color="auto" w:fill="auto"/>
            <w:vAlign w:val="center"/>
          </w:tcPr>
          <w:p w:rsidR="00B74781" w:rsidRDefault="00000000">
            <w:pPr>
              <w:widowControl/>
              <w:adjustRightInd w:val="0"/>
              <w:snapToGrid w:val="0"/>
              <w:jc w:val="center"/>
              <w:textAlignment w:val="center"/>
              <w:rPr>
                <w:rFonts w:ascii="仿宋_GB2312" w:hAnsi="仿宋_GB2312" w:cs="仿宋_GB2312"/>
                <w:sz w:val="24"/>
                <w:szCs w:val="24"/>
                <w:lang w:bidi="ar"/>
              </w:rPr>
            </w:pPr>
            <w:r>
              <w:rPr>
                <w:rFonts w:ascii="仿宋_GB2312" w:hAnsi="仿宋_GB2312" w:cs="仿宋_GB2312" w:hint="eastAsia"/>
                <w:sz w:val="24"/>
                <w:szCs w:val="24"/>
                <w:lang w:bidi="ar"/>
              </w:rPr>
              <w:t>3</w:t>
            </w:r>
          </w:p>
        </w:tc>
        <w:tc>
          <w:tcPr>
            <w:tcW w:w="1751" w:type="dxa"/>
            <w:tcBorders>
              <w:tl2br w:val="nil"/>
              <w:tr2bl w:val="nil"/>
            </w:tcBorders>
            <w:shd w:val="clear" w:color="auto" w:fill="auto"/>
            <w:vAlign w:val="center"/>
          </w:tcPr>
          <w:p w:rsidR="00B74781" w:rsidRDefault="00000000">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sz w:val="24"/>
                <w:szCs w:val="24"/>
                <w:lang w:bidi="ar"/>
              </w:rPr>
              <w:t>湘潭</w:t>
            </w:r>
          </w:p>
        </w:tc>
        <w:tc>
          <w:tcPr>
            <w:tcW w:w="2745" w:type="dxa"/>
            <w:tcBorders>
              <w:tl2br w:val="nil"/>
              <w:tr2bl w:val="nil"/>
            </w:tcBorders>
            <w:shd w:val="clear" w:color="auto" w:fill="auto"/>
            <w:noWrap/>
            <w:vAlign w:val="center"/>
          </w:tcPr>
          <w:p w:rsidR="00B74781" w:rsidRDefault="00000000">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sz w:val="24"/>
                <w:szCs w:val="24"/>
                <w:lang w:bidi="ar"/>
              </w:rPr>
              <w:t>1113.7</w:t>
            </w:r>
          </w:p>
        </w:tc>
        <w:tc>
          <w:tcPr>
            <w:tcW w:w="1851" w:type="dxa"/>
            <w:tcBorders>
              <w:tl2br w:val="nil"/>
              <w:tr2bl w:val="nil"/>
            </w:tcBorders>
            <w:shd w:val="clear" w:color="auto" w:fill="auto"/>
            <w:noWrap/>
            <w:vAlign w:val="center"/>
          </w:tcPr>
          <w:p w:rsidR="00B74781" w:rsidRDefault="00000000">
            <w:pPr>
              <w:widowControl/>
              <w:adjustRightInd w:val="0"/>
              <w:snapToGrid w:val="0"/>
              <w:jc w:val="center"/>
              <w:textAlignment w:val="center"/>
              <w:rPr>
                <w:rFonts w:ascii="仿宋_GB2312" w:hAnsi="仿宋_GB2312" w:cs="仿宋_GB2312"/>
                <w:sz w:val="24"/>
                <w:szCs w:val="24"/>
                <w:lang w:bidi="ar"/>
              </w:rPr>
            </w:pPr>
            <w:r>
              <w:rPr>
                <w:rFonts w:ascii="仿宋_GB2312" w:hAnsi="仿宋_GB2312" w:cs="仿宋_GB2312" w:hint="eastAsia"/>
                <w:sz w:val="24"/>
                <w:szCs w:val="24"/>
                <w:lang w:bidi="ar"/>
              </w:rPr>
              <w:t>7.0%</w:t>
            </w:r>
          </w:p>
        </w:tc>
        <w:tc>
          <w:tcPr>
            <w:tcW w:w="1798" w:type="dxa"/>
            <w:tcBorders>
              <w:tl2br w:val="nil"/>
              <w:tr2bl w:val="nil"/>
            </w:tcBorders>
            <w:shd w:val="clear" w:color="auto" w:fill="auto"/>
            <w:noWrap/>
            <w:vAlign w:val="center"/>
          </w:tcPr>
          <w:p w:rsidR="00B74781" w:rsidRDefault="00000000">
            <w:pPr>
              <w:widowControl/>
              <w:adjustRightInd w:val="0"/>
              <w:snapToGrid w:val="0"/>
              <w:jc w:val="center"/>
              <w:textAlignment w:val="center"/>
              <w:rPr>
                <w:rFonts w:ascii="仿宋_GB2312" w:hAnsi="仿宋_GB2312" w:cs="仿宋_GB2312"/>
                <w:sz w:val="24"/>
                <w:szCs w:val="24"/>
                <w:lang w:bidi="ar"/>
              </w:rPr>
            </w:pPr>
            <w:r>
              <w:rPr>
                <w:rFonts w:ascii="仿宋_GB2312" w:hAnsi="仿宋_GB2312" w:cs="仿宋_GB2312" w:hint="eastAsia"/>
                <w:sz w:val="24"/>
                <w:szCs w:val="24"/>
                <w:lang w:bidi="ar"/>
              </w:rPr>
              <w:t>78.0</w:t>
            </w:r>
          </w:p>
        </w:tc>
      </w:tr>
      <w:tr w:rsidR="00B74781">
        <w:trPr>
          <w:trHeight w:val="390"/>
          <w:jc w:val="center"/>
        </w:trPr>
        <w:tc>
          <w:tcPr>
            <w:tcW w:w="972" w:type="dxa"/>
            <w:tcBorders>
              <w:tl2br w:val="nil"/>
              <w:tr2bl w:val="nil"/>
            </w:tcBorders>
            <w:shd w:val="clear" w:color="auto" w:fill="auto"/>
            <w:vAlign w:val="center"/>
          </w:tcPr>
          <w:p w:rsidR="00B74781" w:rsidRDefault="00000000">
            <w:pPr>
              <w:widowControl/>
              <w:adjustRightInd w:val="0"/>
              <w:snapToGrid w:val="0"/>
              <w:jc w:val="center"/>
              <w:textAlignment w:val="center"/>
              <w:rPr>
                <w:rFonts w:ascii="仿宋_GB2312" w:hAnsi="仿宋_GB2312" w:cs="仿宋_GB2312"/>
                <w:sz w:val="24"/>
                <w:szCs w:val="24"/>
                <w:lang w:bidi="ar"/>
              </w:rPr>
            </w:pPr>
            <w:r>
              <w:rPr>
                <w:rFonts w:ascii="仿宋_GB2312" w:hAnsi="仿宋_GB2312" w:cs="仿宋_GB2312" w:hint="eastAsia"/>
                <w:sz w:val="24"/>
                <w:szCs w:val="24"/>
                <w:lang w:bidi="ar"/>
              </w:rPr>
              <w:t>4</w:t>
            </w:r>
          </w:p>
        </w:tc>
        <w:tc>
          <w:tcPr>
            <w:tcW w:w="1751" w:type="dxa"/>
            <w:tcBorders>
              <w:tl2br w:val="nil"/>
              <w:tr2bl w:val="nil"/>
            </w:tcBorders>
            <w:shd w:val="clear" w:color="auto" w:fill="auto"/>
            <w:vAlign w:val="center"/>
          </w:tcPr>
          <w:p w:rsidR="00B74781" w:rsidRDefault="00000000">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sz w:val="24"/>
                <w:szCs w:val="24"/>
                <w:lang w:bidi="ar"/>
              </w:rPr>
              <w:t>常德</w:t>
            </w:r>
          </w:p>
        </w:tc>
        <w:tc>
          <w:tcPr>
            <w:tcW w:w="2745" w:type="dxa"/>
            <w:tcBorders>
              <w:tl2br w:val="nil"/>
              <w:tr2bl w:val="nil"/>
            </w:tcBorders>
            <w:shd w:val="clear" w:color="auto" w:fill="auto"/>
            <w:noWrap/>
            <w:vAlign w:val="center"/>
          </w:tcPr>
          <w:p w:rsidR="00B74781" w:rsidRDefault="00000000">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sz w:val="24"/>
                <w:szCs w:val="24"/>
                <w:lang w:bidi="ar"/>
              </w:rPr>
              <w:t>618.7</w:t>
            </w:r>
          </w:p>
        </w:tc>
        <w:tc>
          <w:tcPr>
            <w:tcW w:w="1851" w:type="dxa"/>
            <w:tcBorders>
              <w:tl2br w:val="nil"/>
              <w:tr2bl w:val="nil"/>
            </w:tcBorders>
            <w:shd w:val="clear" w:color="auto" w:fill="auto"/>
            <w:noWrap/>
            <w:vAlign w:val="center"/>
          </w:tcPr>
          <w:p w:rsidR="00B74781" w:rsidRDefault="00000000">
            <w:pPr>
              <w:widowControl/>
              <w:adjustRightInd w:val="0"/>
              <w:snapToGrid w:val="0"/>
              <w:jc w:val="center"/>
              <w:textAlignment w:val="center"/>
              <w:rPr>
                <w:rFonts w:ascii="仿宋_GB2312" w:hAnsi="仿宋_GB2312" w:cs="仿宋_GB2312"/>
                <w:sz w:val="24"/>
                <w:szCs w:val="24"/>
                <w:lang w:bidi="ar"/>
              </w:rPr>
            </w:pPr>
            <w:r>
              <w:rPr>
                <w:rFonts w:ascii="仿宋_GB2312" w:hAnsi="仿宋_GB2312" w:cs="仿宋_GB2312" w:hint="eastAsia"/>
                <w:sz w:val="24"/>
                <w:szCs w:val="24"/>
                <w:lang w:bidi="ar"/>
              </w:rPr>
              <w:t>7.0%</w:t>
            </w:r>
          </w:p>
        </w:tc>
        <w:tc>
          <w:tcPr>
            <w:tcW w:w="1798" w:type="dxa"/>
            <w:tcBorders>
              <w:tl2br w:val="nil"/>
              <w:tr2bl w:val="nil"/>
            </w:tcBorders>
            <w:shd w:val="clear" w:color="auto" w:fill="auto"/>
            <w:noWrap/>
            <w:vAlign w:val="center"/>
          </w:tcPr>
          <w:p w:rsidR="00B74781" w:rsidRDefault="00000000">
            <w:pPr>
              <w:widowControl/>
              <w:adjustRightInd w:val="0"/>
              <w:snapToGrid w:val="0"/>
              <w:jc w:val="center"/>
              <w:textAlignment w:val="center"/>
              <w:rPr>
                <w:rFonts w:ascii="仿宋_GB2312" w:hAnsi="仿宋_GB2312" w:cs="仿宋_GB2312"/>
                <w:sz w:val="24"/>
                <w:szCs w:val="24"/>
                <w:lang w:bidi="ar"/>
              </w:rPr>
            </w:pPr>
            <w:r>
              <w:rPr>
                <w:rFonts w:ascii="仿宋_GB2312" w:hAnsi="仿宋_GB2312" w:cs="仿宋_GB2312" w:hint="eastAsia"/>
                <w:sz w:val="24"/>
                <w:szCs w:val="24"/>
                <w:lang w:bidi="ar"/>
              </w:rPr>
              <w:t>43.4</w:t>
            </w:r>
          </w:p>
        </w:tc>
      </w:tr>
      <w:tr w:rsidR="00B74781">
        <w:trPr>
          <w:trHeight w:val="390"/>
          <w:jc w:val="center"/>
        </w:trPr>
        <w:tc>
          <w:tcPr>
            <w:tcW w:w="972" w:type="dxa"/>
            <w:tcBorders>
              <w:tl2br w:val="nil"/>
              <w:tr2bl w:val="nil"/>
            </w:tcBorders>
            <w:shd w:val="clear" w:color="auto" w:fill="auto"/>
            <w:vAlign w:val="center"/>
          </w:tcPr>
          <w:p w:rsidR="00B74781" w:rsidRDefault="00000000">
            <w:pPr>
              <w:widowControl/>
              <w:adjustRightInd w:val="0"/>
              <w:snapToGrid w:val="0"/>
              <w:jc w:val="center"/>
              <w:textAlignment w:val="center"/>
              <w:rPr>
                <w:rFonts w:ascii="仿宋_GB2312" w:hAnsi="仿宋_GB2312" w:cs="仿宋_GB2312"/>
                <w:sz w:val="24"/>
                <w:szCs w:val="24"/>
                <w:lang w:bidi="ar"/>
              </w:rPr>
            </w:pPr>
            <w:r>
              <w:rPr>
                <w:rFonts w:ascii="仿宋_GB2312" w:hAnsi="仿宋_GB2312" w:cs="仿宋_GB2312" w:hint="eastAsia"/>
                <w:sz w:val="24"/>
                <w:szCs w:val="24"/>
                <w:lang w:bidi="ar"/>
              </w:rPr>
              <w:t>5</w:t>
            </w:r>
          </w:p>
        </w:tc>
        <w:tc>
          <w:tcPr>
            <w:tcW w:w="1751" w:type="dxa"/>
            <w:tcBorders>
              <w:tl2br w:val="nil"/>
              <w:tr2bl w:val="nil"/>
            </w:tcBorders>
            <w:shd w:val="clear" w:color="auto" w:fill="auto"/>
            <w:vAlign w:val="center"/>
          </w:tcPr>
          <w:p w:rsidR="00B74781" w:rsidRDefault="00000000">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sz w:val="24"/>
                <w:szCs w:val="24"/>
                <w:lang w:bidi="ar"/>
              </w:rPr>
              <w:t>郴州</w:t>
            </w:r>
          </w:p>
        </w:tc>
        <w:tc>
          <w:tcPr>
            <w:tcW w:w="2745" w:type="dxa"/>
            <w:tcBorders>
              <w:tl2br w:val="nil"/>
              <w:tr2bl w:val="nil"/>
            </w:tcBorders>
            <w:shd w:val="clear" w:color="auto" w:fill="auto"/>
            <w:noWrap/>
            <w:vAlign w:val="center"/>
          </w:tcPr>
          <w:p w:rsidR="00B74781" w:rsidRDefault="00000000">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sz w:val="24"/>
                <w:szCs w:val="24"/>
                <w:lang w:bidi="ar"/>
              </w:rPr>
              <w:t>53297.4</w:t>
            </w:r>
          </w:p>
        </w:tc>
        <w:tc>
          <w:tcPr>
            <w:tcW w:w="1851" w:type="dxa"/>
            <w:tcBorders>
              <w:tl2br w:val="nil"/>
              <w:tr2bl w:val="nil"/>
            </w:tcBorders>
            <w:shd w:val="clear" w:color="auto" w:fill="auto"/>
            <w:noWrap/>
            <w:vAlign w:val="center"/>
          </w:tcPr>
          <w:p w:rsidR="00B74781" w:rsidRDefault="00000000">
            <w:pPr>
              <w:widowControl/>
              <w:adjustRightInd w:val="0"/>
              <w:snapToGrid w:val="0"/>
              <w:jc w:val="center"/>
              <w:textAlignment w:val="center"/>
              <w:rPr>
                <w:rFonts w:ascii="仿宋_GB2312" w:hAnsi="仿宋_GB2312" w:cs="仿宋_GB2312"/>
                <w:sz w:val="24"/>
                <w:szCs w:val="24"/>
                <w:lang w:bidi="ar"/>
              </w:rPr>
            </w:pPr>
            <w:r>
              <w:rPr>
                <w:rFonts w:ascii="仿宋_GB2312" w:hAnsi="仿宋_GB2312" w:cs="仿宋_GB2312" w:hint="eastAsia"/>
                <w:sz w:val="24"/>
                <w:szCs w:val="24"/>
                <w:lang w:bidi="ar"/>
              </w:rPr>
              <w:t>7.0%</w:t>
            </w:r>
          </w:p>
        </w:tc>
        <w:tc>
          <w:tcPr>
            <w:tcW w:w="1798" w:type="dxa"/>
            <w:tcBorders>
              <w:tl2br w:val="nil"/>
              <w:tr2bl w:val="nil"/>
            </w:tcBorders>
            <w:shd w:val="clear" w:color="auto" w:fill="auto"/>
            <w:noWrap/>
            <w:vAlign w:val="center"/>
          </w:tcPr>
          <w:p w:rsidR="00B74781" w:rsidRDefault="00000000">
            <w:pPr>
              <w:widowControl/>
              <w:adjustRightInd w:val="0"/>
              <w:snapToGrid w:val="0"/>
              <w:jc w:val="center"/>
              <w:textAlignment w:val="center"/>
              <w:rPr>
                <w:rFonts w:ascii="仿宋_GB2312" w:hAnsi="仿宋_GB2312" w:cs="仿宋_GB2312"/>
                <w:sz w:val="24"/>
                <w:szCs w:val="24"/>
                <w:lang w:bidi="ar"/>
              </w:rPr>
            </w:pPr>
            <w:r>
              <w:rPr>
                <w:rFonts w:ascii="仿宋_GB2312" w:hAnsi="仿宋_GB2312" w:cs="仿宋_GB2312" w:hint="eastAsia"/>
                <w:sz w:val="24"/>
                <w:szCs w:val="24"/>
                <w:lang w:bidi="ar"/>
              </w:rPr>
              <w:t>3730.9</w:t>
            </w:r>
          </w:p>
        </w:tc>
      </w:tr>
      <w:tr w:rsidR="00B74781">
        <w:trPr>
          <w:trHeight w:val="390"/>
          <w:jc w:val="center"/>
        </w:trPr>
        <w:tc>
          <w:tcPr>
            <w:tcW w:w="972" w:type="dxa"/>
            <w:tcBorders>
              <w:tl2br w:val="nil"/>
              <w:tr2bl w:val="nil"/>
            </w:tcBorders>
            <w:shd w:val="clear" w:color="auto" w:fill="auto"/>
            <w:vAlign w:val="center"/>
          </w:tcPr>
          <w:p w:rsidR="00B74781" w:rsidRDefault="00000000">
            <w:pPr>
              <w:widowControl/>
              <w:adjustRightInd w:val="0"/>
              <w:snapToGrid w:val="0"/>
              <w:jc w:val="center"/>
              <w:textAlignment w:val="center"/>
              <w:rPr>
                <w:rFonts w:ascii="仿宋_GB2312" w:hAnsi="仿宋_GB2312" w:cs="仿宋_GB2312"/>
                <w:sz w:val="24"/>
                <w:szCs w:val="24"/>
                <w:lang w:bidi="ar"/>
              </w:rPr>
            </w:pPr>
            <w:r>
              <w:rPr>
                <w:rFonts w:ascii="仿宋_GB2312" w:hAnsi="仿宋_GB2312" w:cs="仿宋_GB2312" w:hint="eastAsia"/>
                <w:sz w:val="24"/>
                <w:szCs w:val="24"/>
                <w:lang w:bidi="ar"/>
              </w:rPr>
              <w:t>6</w:t>
            </w:r>
          </w:p>
        </w:tc>
        <w:tc>
          <w:tcPr>
            <w:tcW w:w="1751" w:type="dxa"/>
            <w:tcBorders>
              <w:tl2br w:val="nil"/>
              <w:tr2bl w:val="nil"/>
            </w:tcBorders>
            <w:shd w:val="clear" w:color="auto" w:fill="auto"/>
            <w:vAlign w:val="center"/>
          </w:tcPr>
          <w:p w:rsidR="00B74781" w:rsidRDefault="00000000">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sz w:val="24"/>
                <w:szCs w:val="24"/>
                <w:lang w:bidi="ar"/>
              </w:rPr>
              <w:t>衡阳</w:t>
            </w:r>
          </w:p>
        </w:tc>
        <w:tc>
          <w:tcPr>
            <w:tcW w:w="2745" w:type="dxa"/>
            <w:tcBorders>
              <w:tl2br w:val="nil"/>
              <w:tr2bl w:val="nil"/>
            </w:tcBorders>
            <w:shd w:val="clear" w:color="auto" w:fill="auto"/>
            <w:noWrap/>
            <w:vAlign w:val="center"/>
          </w:tcPr>
          <w:p w:rsidR="00B74781" w:rsidRDefault="00000000">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sz w:val="24"/>
                <w:szCs w:val="24"/>
                <w:lang w:bidi="ar"/>
              </w:rPr>
              <w:t>32070.9</w:t>
            </w:r>
          </w:p>
        </w:tc>
        <w:tc>
          <w:tcPr>
            <w:tcW w:w="1851" w:type="dxa"/>
            <w:tcBorders>
              <w:tl2br w:val="nil"/>
              <w:tr2bl w:val="nil"/>
            </w:tcBorders>
            <w:shd w:val="clear" w:color="auto" w:fill="auto"/>
            <w:noWrap/>
            <w:vAlign w:val="center"/>
          </w:tcPr>
          <w:p w:rsidR="00B74781" w:rsidRDefault="00000000">
            <w:pPr>
              <w:widowControl/>
              <w:adjustRightInd w:val="0"/>
              <w:snapToGrid w:val="0"/>
              <w:jc w:val="center"/>
              <w:textAlignment w:val="center"/>
              <w:rPr>
                <w:rFonts w:ascii="仿宋_GB2312" w:hAnsi="仿宋_GB2312" w:cs="仿宋_GB2312"/>
                <w:sz w:val="24"/>
                <w:szCs w:val="24"/>
                <w:lang w:bidi="ar"/>
              </w:rPr>
            </w:pPr>
            <w:r>
              <w:rPr>
                <w:rFonts w:ascii="仿宋_GB2312" w:hAnsi="仿宋_GB2312" w:cs="仿宋_GB2312" w:hint="eastAsia"/>
                <w:sz w:val="24"/>
                <w:szCs w:val="24"/>
                <w:lang w:bidi="ar"/>
              </w:rPr>
              <w:t>7.0%</w:t>
            </w:r>
          </w:p>
        </w:tc>
        <w:tc>
          <w:tcPr>
            <w:tcW w:w="1798" w:type="dxa"/>
            <w:tcBorders>
              <w:tl2br w:val="nil"/>
              <w:tr2bl w:val="nil"/>
            </w:tcBorders>
            <w:shd w:val="clear" w:color="auto" w:fill="auto"/>
            <w:noWrap/>
            <w:vAlign w:val="center"/>
          </w:tcPr>
          <w:p w:rsidR="00B74781" w:rsidRDefault="00000000">
            <w:pPr>
              <w:widowControl/>
              <w:adjustRightInd w:val="0"/>
              <w:snapToGrid w:val="0"/>
              <w:jc w:val="center"/>
              <w:textAlignment w:val="center"/>
              <w:rPr>
                <w:rFonts w:ascii="仿宋_GB2312" w:hAnsi="仿宋_GB2312" w:cs="仿宋_GB2312"/>
                <w:sz w:val="24"/>
                <w:szCs w:val="24"/>
                <w:lang w:bidi="ar"/>
              </w:rPr>
            </w:pPr>
            <w:r>
              <w:rPr>
                <w:rFonts w:ascii="仿宋_GB2312" w:hAnsi="仿宋_GB2312" w:cs="仿宋_GB2312" w:hint="eastAsia"/>
                <w:sz w:val="24"/>
                <w:szCs w:val="24"/>
                <w:lang w:bidi="ar"/>
              </w:rPr>
              <w:t>2245.0</w:t>
            </w:r>
          </w:p>
        </w:tc>
      </w:tr>
      <w:tr w:rsidR="00B74781">
        <w:trPr>
          <w:trHeight w:val="390"/>
          <w:jc w:val="center"/>
        </w:trPr>
        <w:tc>
          <w:tcPr>
            <w:tcW w:w="972" w:type="dxa"/>
            <w:tcBorders>
              <w:tl2br w:val="nil"/>
              <w:tr2bl w:val="nil"/>
            </w:tcBorders>
            <w:shd w:val="clear" w:color="auto" w:fill="auto"/>
            <w:vAlign w:val="center"/>
          </w:tcPr>
          <w:p w:rsidR="00B74781" w:rsidRDefault="00000000">
            <w:pPr>
              <w:widowControl/>
              <w:adjustRightInd w:val="0"/>
              <w:snapToGrid w:val="0"/>
              <w:jc w:val="center"/>
              <w:textAlignment w:val="center"/>
              <w:rPr>
                <w:rFonts w:ascii="仿宋_GB2312" w:hAnsi="仿宋_GB2312" w:cs="仿宋_GB2312"/>
                <w:sz w:val="24"/>
                <w:szCs w:val="24"/>
                <w:lang w:bidi="ar"/>
              </w:rPr>
            </w:pPr>
            <w:r>
              <w:rPr>
                <w:rFonts w:ascii="仿宋_GB2312" w:hAnsi="仿宋_GB2312" w:cs="仿宋_GB2312" w:hint="eastAsia"/>
                <w:sz w:val="24"/>
                <w:szCs w:val="24"/>
                <w:lang w:bidi="ar"/>
              </w:rPr>
              <w:t>7</w:t>
            </w:r>
          </w:p>
        </w:tc>
        <w:tc>
          <w:tcPr>
            <w:tcW w:w="1751" w:type="dxa"/>
            <w:tcBorders>
              <w:tl2br w:val="nil"/>
              <w:tr2bl w:val="nil"/>
            </w:tcBorders>
            <w:shd w:val="clear" w:color="auto" w:fill="auto"/>
            <w:vAlign w:val="center"/>
          </w:tcPr>
          <w:p w:rsidR="00B74781" w:rsidRDefault="00000000">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sz w:val="24"/>
                <w:szCs w:val="24"/>
                <w:lang w:bidi="ar"/>
              </w:rPr>
              <w:t>怀化</w:t>
            </w:r>
          </w:p>
        </w:tc>
        <w:tc>
          <w:tcPr>
            <w:tcW w:w="2745" w:type="dxa"/>
            <w:tcBorders>
              <w:tl2br w:val="nil"/>
              <w:tr2bl w:val="nil"/>
            </w:tcBorders>
            <w:shd w:val="clear" w:color="auto" w:fill="auto"/>
            <w:noWrap/>
            <w:vAlign w:val="center"/>
          </w:tcPr>
          <w:p w:rsidR="00B74781" w:rsidRDefault="00000000">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sz w:val="24"/>
                <w:szCs w:val="24"/>
                <w:lang w:bidi="ar"/>
              </w:rPr>
              <w:t>5922.7</w:t>
            </w:r>
          </w:p>
        </w:tc>
        <w:tc>
          <w:tcPr>
            <w:tcW w:w="1851" w:type="dxa"/>
            <w:tcBorders>
              <w:tl2br w:val="nil"/>
              <w:tr2bl w:val="nil"/>
            </w:tcBorders>
            <w:shd w:val="clear" w:color="auto" w:fill="auto"/>
            <w:noWrap/>
            <w:vAlign w:val="center"/>
          </w:tcPr>
          <w:p w:rsidR="00B74781" w:rsidRDefault="00000000">
            <w:pPr>
              <w:widowControl/>
              <w:adjustRightInd w:val="0"/>
              <w:snapToGrid w:val="0"/>
              <w:jc w:val="center"/>
              <w:textAlignment w:val="center"/>
              <w:rPr>
                <w:rFonts w:ascii="仿宋_GB2312" w:hAnsi="仿宋_GB2312" w:cs="仿宋_GB2312"/>
                <w:sz w:val="24"/>
                <w:szCs w:val="24"/>
                <w:lang w:bidi="ar"/>
              </w:rPr>
            </w:pPr>
            <w:r>
              <w:rPr>
                <w:rFonts w:ascii="仿宋_GB2312" w:hAnsi="仿宋_GB2312" w:cs="仿宋_GB2312" w:hint="eastAsia"/>
                <w:sz w:val="24"/>
                <w:szCs w:val="24"/>
                <w:lang w:bidi="ar"/>
              </w:rPr>
              <w:t>7.0%</w:t>
            </w:r>
          </w:p>
        </w:tc>
        <w:tc>
          <w:tcPr>
            <w:tcW w:w="1798" w:type="dxa"/>
            <w:tcBorders>
              <w:tl2br w:val="nil"/>
              <w:tr2bl w:val="nil"/>
            </w:tcBorders>
            <w:shd w:val="clear" w:color="auto" w:fill="auto"/>
            <w:noWrap/>
            <w:vAlign w:val="center"/>
          </w:tcPr>
          <w:p w:rsidR="00B74781" w:rsidRDefault="00000000">
            <w:pPr>
              <w:widowControl/>
              <w:adjustRightInd w:val="0"/>
              <w:snapToGrid w:val="0"/>
              <w:jc w:val="center"/>
              <w:textAlignment w:val="center"/>
              <w:rPr>
                <w:rFonts w:ascii="仿宋_GB2312" w:hAnsi="仿宋_GB2312" w:cs="仿宋_GB2312"/>
                <w:sz w:val="24"/>
                <w:szCs w:val="24"/>
                <w:lang w:bidi="ar"/>
              </w:rPr>
            </w:pPr>
            <w:r>
              <w:rPr>
                <w:rFonts w:ascii="仿宋_GB2312" w:hAnsi="仿宋_GB2312" w:cs="仿宋_GB2312" w:hint="eastAsia"/>
                <w:sz w:val="24"/>
                <w:szCs w:val="24"/>
                <w:lang w:bidi="ar"/>
              </w:rPr>
              <w:t>414.6</w:t>
            </w:r>
          </w:p>
        </w:tc>
      </w:tr>
      <w:tr w:rsidR="00B74781">
        <w:trPr>
          <w:trHeight w:val="390"/>
          <w:jc w:val="center"/>
        </w:trPr>
        <w:tc>
          <w:tcPr>
            <w:tcW w:w="972" w:type="dxa"/>
            <w:tcBorders>
              <w:tl2br w:val="nil"/>
              <w:tr2bl w:val="nil"/>
            </w:tcBorders>
            <w:shd w:val="clear" w:color="auto" w:fill="auto"/>
            <w:vAlign w:val="center"/>
          </w:tcPr>
          <w:p w:rsidR="00B74781" w:rsidRDefault="00000000">
            <w:pPr>
              <w:widowControl/>
              <w:adjustRightInd w:val="0"/>
              <w:snapToGrid w:val="0"/>
              <w:jc w:val="center"/>
              <w:textAlignment w:val="center"/>
              <w:rPr>
                <w:rFonts w:ascii="仿宋_GB2312" w:hAnsi="仿宋_GB2312" w:cs="仿宋_GB2312"/>
                <w:sz w:val="24"/>
                <w:szCs w:val="24"/>
                <w:lang w:bidi="ar"/>
              </w:rPr>
            </w:pPr>
            <w:r>
              <w:rPr>
                <w:rFonts w:ascii="仿宋_GB2312" w:hAnsi="仿宋_GB2312" w:cs="仿宋_GB2312" w:hint="eastAsia"/>
                <w:sz w:val="24"/>
                <w:szCs w:val="24"/>
                <w:lang w:bidi="ar"/>
              </w:rPr>
              <w:t>8</w:t>
            </w:r>
          </w:p>
        </w:tc>
        <w:tc>
          <w:tcPr>
            <w:tcW w:w="1751" w:type="dxa"/>
            <w:tcBorders>
              <w:tl2br w:val="nil"/>
              <w:tr2bl w:val="nil"/>
            </w:tcBorders>
            <w:shd w:val="clear" w:color="auto" w:fill="auto"/>
            <w:vAlign w:val="center"/>
          </w:tcPr>
          <w:p w:rsidR="00B74781" w:rsidRDefault="00000000">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sz w:val="24"/>
                <w:szCs w:val="24"/>
                <w:lang w:bidi="ar"/>
              </w:rPr>
              <w:t>娄底</w:t>
            </w:r>
          </w:p>
        </w:tc>
        <w:tc>
          <w:tcPr>
            <w:tcW w:w="2745" w:type="dxa"/>
            <w:tcBorders>
              <w:tl2br w:val="nil"/>
              <w:tr2bl w:val="nil"/>
            </w:tcBorders>
            <w:shd w:val="clear" w:color="auto" w:fill="auto"/>
            <w:noWrap/>
            <w:vAlign w:val="center"/>
          </w:tcPr>
          <w:p w:rsidR="00B74781" w:rsidRDefault="00000000">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sz w:val="24"/>
                <w:szCs w:val="24"/>
                <w:lang w:bidi="ar"/>
              </w:rPr>
              <w:t>6327.7</w:t>
            </w:r>
          </w:p>
        </w:tc>
        <w:tc>
          <w:tcPr>
            <w:tcW w:w="1851" w:type="dxa"/>
            <w:tcBorders>
              <w:tl2br w:val="nil"/>
              <w:tr2bl w:val="nil"/>
            </w:tcBorders>
            <w:shd w:val="clear" w:color="auto" w:fill="auto"/>
            <w:noWrap/>
            <w:vAlign w:val="center"/>
          </w:tcPr>
          <w:p w:rsidR="00B74781" w:rsidRDefault="00000000">
            <w:pPr>
              <w:widowControl/>
              <w:adjustRightInd w:val="0"/>
              <w:snapToGrid w:val="0"/>
              <w:jc w:val="center"/>
              <w:textAlignment w:val="center"/>
              <w:rPr>
                <w:rFonts w:ascii="仿宋_GB2312" w:hAnsi="仿宋_GB2312" w:cs="仿宋_GB2312"/>
                <w:sz w:val="24"/>
                <w:szCs w:val="24"/>
                <w:lang w:bidi="ar"/>
              </w:rPr>
            </w:pPr>
            <w:r>
              <w:rPr>
                <w:rFonts w:ascii="仿宋_GB2312" w:hAnsi="仿宋_GB2312" w:cs="仿宋_GB2312" w:hint="eastAsia"/>
                <w:sz w:val="24"/>
                <w:szCs w:val="24"/>
                <w:lang w:bidi="ar"/>
              </w:rPr>
              <w:t>7.0%</w:t>
            </w:r>
          </w:p>
        </w:tc>
        <w:tc>
          <w:tcPr>
            <w:tcW w:w="1798" w:type="dxa"/>
            <w:tcBorders>
              <w:tl2br w:val="nil"/>
              <w:tr2bl w:val="nil"/>
            </w:tcBorders>
            <w:shd w:val="clear" w:color="auto" w:fill="auto"/>
            <w:noWrap/>
            <w:vAlign w:val="center"/>
          </w:tcPr>
          <w:p w:rsidR="00B74781" w:rsidRDefault="00000000">
            <w:pPr>
              <w:widowControl/>
              <w:adjustRightInd w:val="0"/>
              <w:snapToGrid w:val="0"/>
              <w:jc w:val="center"/>
              <w:textAlignment w:val="center"/>
              <w:rPr>
                <w:rFonts w:ascii="仿宋_GB2312" w:hAnsi="仿宋_GB2312" w:cs="仿宋_GB2312"/>
                <w:sz w:val="24"/>
                <w:szCs w:val="24"/>
                <w:lang w:bidi="ar"/>
              </w:rPr>
            </w:pPr>
            <w:r>
              <w:rPr>
                <w:rFonts w:ascii="仿宋_GB2312" w:hAnsi="仿宋_GB2312" w:cs="仿宋_GB2312" w:hint="eastAsia"/>
                <w:sz w:val="24"/>
                <w:szCs w:val="24"/>
                <w:lang w:bidi="ar"/>
              </w:rPr>
              <w:t>443.0</w:t>
            </w:r>
          </w:p>
        </w:tc>
      </w:tr>
      <w:tr w:rsidR="00B74781">
        <w:trPr>
          <w:trHeight w:val="390"/>
          <w:jc w:val="center"/>
        </w:trPr>
        <w:tc>
          <w:tcPr>
            <w:tcW w:w="972" w:type="dxa"/>
            <w:tcBorders>
              <w:tl2br w:val="nil"/>
              <w:tr2bl w:val="nil"/>
            </w:tcBorders>
            <w:shd w:val="clear" w:color="auto" w:fill="auto"/>
            <w:vAlign w:val="center"/>
          </w:tcPr>
          <w:p w:rsidR="00B74781" w:rsidRDefault="00000000">
            <w:pPr>
              <w:widowControl/>
              <w:adjustRightInd w:val="0"/>
              <w:snapToGrid w:val="0"/>
              <w:jc w:val="center"/>
              <w:textAlignment w:val="center"/>
              <w:rPr>
                <w:rFonts w:ascii="仿宋_GB2312" w:hAnsi="仿宋_GB2312" w:cs="仿宋_GB2312"/>
                <w:sz w:val="24"/>
                <w:szCs w:val="24"/>
                <w:lang w:bidi="ar"/>
              </w:rPr>
            </w:pPr>
            <w:r>
              <w:rPr>
                <w:rFonts w:ascii="仿宋_GB2312" w:hAnsi="仿宋_GB2312" w:cs="仿宋_GB2312" w:hint="eastAsia"/>
                <w:sz w:val="24"/>
                <w:szCs w:val="24"/>
                <w:lang w:bidi="ar"/>
              </w:rPr>
              <w:t>9</w:t>
            </w:r>
          </w:p>
        </w:tc>
        <w:tc>
          <w:tcPr>
            <w:tcW w:w="1751" w:type="dxa"/>
            <w:tcBorders>
              <w:tl2br w:val="nil"/>
              <w:tr2bl w:val="nil"/>
            </w:tcBorders>
            <w:shd w:val="clear" w:color="auto" w:fill="auto"/>
            <w:vAlign w:val="center"/>
          </w:tcPr>
          <w:p w:rsidR="00B74781" w:rsidRDefault="00000000">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sz w:val="24"/>
                <w:szCs w:val="24"/>
                <w:lang w:bidi="ar"/>
              </w:rPr>
              <w:t>邵阳</w:t>
            </w:r>
          </w:p>
        </w:tc>
        <w:tc>
          <w:tcPr>
            <w:tcW w:w="2745" w:type="dxa"/>
            <w:tcBorders>
              <w:tl2br w:val="nil"/>
              <w:tr2bl w:val="nil"/>
            </w:tcBorders>
            <w:shd w:val="clear" w:color="auto" w:fill="auto"/>
            <w:noWrap/>
            <w:vAlign w:val="center"/>
          </w:tcPr>
          <w:p w:rsidR="00B74781" w:rsidRDefault="00000000">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sz w:val="24"/>
                <w:szCs w:val="24"/>
                <w:lang w:bidi="ar"/>
              </w:rPr>
              <w:t>2489.2</w:t>
            </w:r>
          </w:p>
        </w:tc>
        <w:tc>
          <w:tcPr>
            <w:tcW w:w="1851" w:type="dxa"/>
            <w:tcBorders>
              <w:tl2br w:val="nil"/>
              <w:tr2bl w:val="nil"/>
            </w:tcBorders>
            <w:shd w:val="clear" w:color="auto" w:fill="auto"/>
            <w:noWrap/>
            <w:vAlign w:val="center"/>
          </w:tcPr>
          <w:p w:rsidR="00B74781" w:rsidRDefault="00000000">
            <w:pPr>
              <w:widowControl/>
              <w:adjustRightInd w:val="0"/>
              <w:snapToGrid w:val="0"/>
              <w:jc w:val="center"/>
              <w:textAlignment w:val="center"/>
              <w:rPr>
                <w:rFonts w:ascii="仿宋_GB2312" w:hAnsi="仿宋_GB2312" w:cs="仿宋_GB2312"/>
                <w:sz w:val="24"/>
                <w:szCs w:val="24"/>
                <w:lang w:bidi="ar"/>
              </w:rPr>
            </w:pPr>
            <w:r>
              <w:rPr>
                <w:rFonts w:ascii="仿宋_GB2312" w:hAnsi="仿宋_GB2312" w:cs="仿宋_GB2312" w:hint="eastAsia"/>
                <w:sz w:val="24"/>
                <w:szCs w:val="24"/>
                <w:lang w:bidi="ar"/>
              </w:rPr>
              <w:t>7.0%</w:t>
            </w:r>
          </w:p>
        </w:tc>
        <w:tc>
          <w:tcPr>
            <w:tcW w:w="1798" w:type="dxa"/>
            <w:tcBorders>
              <w:tl2br w:val="nil"/>
              <w:tr2bl w:val="nil"/>
            </w:tcBorders>
            <w:shd w:val="clear" w:color="auto" w:fill="auto"/>
            <w:noWrap/>
            <w:vAlign w:val="center"/>
          </w:tcPr>
          <w:p w:rsidR="00B74781" w:rsidRDefault="00000000">
            <w:pPr>
              <w:widowControl/>
              <w:adjustRightInd w:val="0"/>
              <w:snapToGrid w:val="0"/>
              <w:jc w:val="center"/>
              <w:textAlignment w:val="center"/>
              <w:rPr>
                <w:rFonts w:ascii="仿宋_GB2312" w:hAnsi="仿宋_GB2312" w:cs="仿宋_GB2312"/>
                <w:sz w:val="24"/>
                <w:szCs w:val="24"/>
                <w:lang w:bidi="ar"/>
              </w:rPr>
            </w:pPr>
            <w:r>
              <w:rPr>
                <w:rFonts w:ascii="仿宋_GB2312" w:hAnsi="仿宋_GB2312" w:cs="仿宋_GB2312" w:hint="eastAsia"/>
                <w:sz w:val="24"/>
                <w:szCs w:val="24"/>
                <w:lang w:bidi="ar"/>
              </w:rPr>
              <w:t>174.3</w:t>
            </w:r>
          </w:p>
        </w:tc>
      </w:tr>
      <w:tr w:rsidR="00B74781">
        <w:trPr>
          <w:trHeight w:val="390"/>
          <w:jc w:val="center"/>
        </w:trPr>
        <w:tc>
          <w:tcPr>
            <w:tcW w:w="972" w:type="dxa"/>
            <w:tcBorders>
              <w:tl2br w:val="nil"/>
              <w:tr2bl w:val="nil"/>
            </w:tcBorders>
            <w:shd w:val="clear" w:color="auto" w:fill="auto"/>
            <w:vAlign w:val="center"/>
          </w:tcPr>
          <w:p w:rsidR="00B74781" w:rsidRDefault="00000000">
            <w:pPr>
              <w:widowControl/>
              <w:adjustRightInd w:val="0"/>
              <w:snapToGrid w:val="0"/>
              <w:jc w:val="center"/>
              <w:textAlignment w:val="center"/>
              <w:rPr>
                <w:rFonts w:ascii="仿宋_GB2312" w:hAnsi="仿宋_GB2312" w:cs="仿宋_GB2312"/>
                <w:sz w:val="24"/>
                <w:szCs w:val="24"/>
                <w:lang w:bidi="ar"/>
              </w:rPr>
            </w:pPr>
            <w:r>
              <w:rPr>
                <w:rFonts w:ascii="仿宋_GB2312" w:hAnsi="仿宋_GB2312" w:cs="仿宋_GB2312" w:hint="eastAsia"/>
                <w:sz w:val="24"/>
                <w:szCs w:val="24"/>
                <w:lang w:bidi="ar"/>
              </w:rPr>
              <w:t>10</w:t>
            </w:r>
          </w:p>
        </w:tc>
        <w:tc>
          <w:tcPr>
            <w:tcW w:w="1751" w:type="dxa"/>
            <w:tcBorders>
              <w:tl2br w:val="nil"/>
              <w:tr2bl w:val="nil"/>
            </w:tcBorders>
            <w:shd w:val="clear" w:color="auto" w:fill="auto"/>
            <w:vAlign w:val="center"/>
          </w:tcPr>
          <w:p w:rsidR="00B74781" w:rsidRDefault="00000000">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sz w:val="24"/>
                <w:szCs w:val="24"/>
                <w:lang w:bidi="ar"/>
              </w:rPr>
              <w:t>湘西州</w:t>
            </w:r>
          </w:p>
        </w:tc>
        <w:tc>
          <w:tcPr>
            <w:tcW w:w="2745" w:type="dxa"/>
            <w:tcBorders>
              <w:tl2br w:val="nil"/>
              <w:tr2bl w:val="nil"/>
            </w:tcBorders>
            <w:shd w:val="clear" w:color="auto" w:fill="auto"/>
            <w:noWrap/>
            <w:vAlign w:val="center"/>
          </w:tcPr>
          <w:p w:rsidR="00B74781" w:rsidRDefault="00000000">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sz w:val="24"/>
                <w:szCs w:val="24"/>
                <w:lang w:bidi="ar"/>
              </w:rPr>
              <w:t>47286.9</w:t>
            </w:r>
          </w:p>
        </w:tc>
        <w:tc>
          <w:tcPr>
            <w:tcW w:w="1851" w:type="dxa"/>
            <w:tcBorders>
              <w:tl2br w:val="nil"/>
              <w:tr2bl w:val="nil"/>
            </w:tcBorders>
            <w:shd w:val="clear" w:color="auto" w:fill="auto"/>
            <w:noWrap/>
            <w:vAlign w:val="center"/>
          </w:tcPr>
          <w:p w:rsidR="00B74781" w:rsidRDefault="00000000">
            <w:pPr>
              <w:widowControl/>
              <w:adjustRightInd w:val="0"/>
              <w:snapToGrid w:val="0"/>
              <w:jc w:val="center"/>
              <w:textAlignment w:val="center"/>
              <w:rPr>
                <w:rFonts w:ascii="仿宋_GB2312" w:hAnsi="仿宋_GB2312" w:cs="仿宋_GB2312"/>
                <w:sz w:val="24"/>
                <w:szCs w:val="24"/>
                <w:lang w:bidi="ar"/>
              </w:rPr>
            </w:pPr>
            <w:r>
              <w:rPr>
                <w:rFonts w:ascii="仿宋_GB2312" w:hAnsi="仿宋_GB2312" w:cs="仿宋_GB2312" w:hint="eastAsia"/>
                <w:sz w:val="24"/>
                <w:szCs w:val="24"/>
                <w:lang w:bidi="ar"/>
              </w:rPr>
              <w:t>7.0%</w:t>
            </w:r>
          </w:p>
        </w:tc>
        <w:tc>
          <w:tcPr>
            <w:tcW w:w="1798" w:type="dxa"/>
            <w:tcBorders>
              <w:tl2br w:val="nil"/>
              <w:tr2bl w:val="nil"/>
            </w:tcBorders>
            <w:shd w:val="clear" w:color="auto" w:fill="auto"/>
            <w:noWrap/>
            <w:vAlign w:val="center"/>
          </w:tcPr>
          <w:p w:rsidR="00B74781" w:rsidRDefault="00000000">
            <w:pPr>
              <w:widowControl/>
              <w:adjustRightInd w:val="0"/>
              <w:snapToGrid w:val="0"/>
              <w:jc w:val="center"/>
              <w:textAlignment w:val="center"/>
              <w:rPr>
                <w:rFonts w:ascii="仿宋_GB2312" w:hAnsi="仿宋_GB2312" w:cs="仿宋_GB2312"/>
                <w:sz w:val="24"/>
                <w:szCs w:val="24"/>
                <w:lang w:bidi="ar"/>
              </w:rPr>
            </w:pPr>
            <w:r>
              <w:rPr>
                <w:rFonts w:ascii="仿宋_GB2312" w:hAnsi="仿宋_GB2312" w:cs="仿宋_GB2312" w:hint="eastAsia"/>
                <w:sz w:val="24"/>
                <w:szCs w:val="24"/>
                <w:lang w:bidi="ar"/>
              </w:rPr>
              <w:t>3310.1</w:t>
            </w:r>
          </w:p>
        </w:tc>
      </w:tr>
      <w:tr w:rsidR="00B74781">
        <w:trPr>
          <w:trHeight w:val="390"/>
          <w:jc w:val="center"/>
        </w:trPr>
        <w:tc>
          <w:tcPr>
            <w:tcW w:w="972" w:type="dxa"/>
            <w:tcBorders>
              <w:tl2br w:val="nil"/>
              <w:tr2bl w:val="nil"/>
            </w:tcBorders>
            <w:shd w:val="clear" w:color="auto" w:fill="auto"/>
            <w:vAlign w:val="center"/>
          </w:tcPr>
          <w:p w:rsidR="00B74781" w:rsidRDefault="00000000">
            <w:pPr>
              <w:widowControl/>
              <w:adjustRightInd w:val="0"/>
              <w:snapToGrid w:val="0"/>
              <w:jc w:val="center"/>
              <w:textAlignment w:val="center"/>
              <w:rPr>
                <w:rFonts w:ascii="仿宋_GB2312" w:hAnsi="仿宋_GB2312" w:cs="仿宋_GB2312"/>
                <w:sz w:val="24"/>
                <w:szCs w:val="24"/>
                <w:lang w:bidi="ar"/>
              </w:rPr>
            </w:pPr>
            <w:r>
              <w:rPr>
                <w:rFonts w:ascii="仿宋_GB2312" w:hAnsi="仿宋_GB2312" w:cs="仿宋_GB2312" w:hint="eastAsia"/>
                <w:sz w:val="24"/>
                <w:szCs w:val="24"/>
                <w:lang w:bidi="ar"/>
              </w:rPr>
              <w:t>11</w:t>
            </w:r>
          </w:p>
        </w:tc>
        <w:tc>
          <w:tcPr>
            <w:tcW w:w="1751" w:type="dxa"/>
            <w:tcBorders>
              <w:tl2br w:val="nil"/>
              <w:tr2bl w:val="nil"/>
            </w:tcBorders>
            <w:shd w:val="clear" w:color="auto" w:fill="auto"/>
            <w:vAlign w:val="center"/>
          </w:tcPr>
          <w:p w:rsidR="00B74781" w:rsidRDefault="00000000">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sz w:val="24"/>
                <w:szCs w:val="24"/>
                <w:lang w:bidi="ar"/>
              </w:rPr>
              <w:t>益阳</w:t>
            </w:r>
          </w:p>
        </w:tc>
        <w:tc>
          <w:tcPr>
            <w:tcW w:w="2745" w:type="dxa"/>
            <w:tcBorders>
              <w:tl2br w:val="nil"/>
              <w:tr2bl w:val="nil"/>
            </w:tcBorders>
            <w:shd w:val="clear" w:color="auto" w:fill="auto"/>
            <w:noWrap/>
            <w:vAlign w:val="center"/>
          </w:tcPr>
          <w:p w:rsidR="00B74781" w:rsidRDefault="00000000">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sz w:val="24"/>
                <w:szCs w:val="24"/>
                <w:lang w:bidi="ar"/>
              </w:rPr>
              <w:t>882.1</w:t>
            </w:r>
          </w:p>
        </w:tc>
        <w:tc>
          <w:tcPr>
            <w:tcW w:w="1851" w:type="dxa"/>
            <w:tcBorders>
              <w:tl2br w:val="nil"/>
              <w:tr2bl w:val="nil"/>
            </w:tcBorders>
            <w:shd w:val="clear" w:color="auto" w:fill="auto"/>
            <w:noWrap/>
            <w:vAlign w:val="center"/>
          </w:tcPr>
          <w:p w:rsidR="00B74781" w:rsidRDefault="00000000">
            <w:pPr>
              <w:widowControl/>
              <w:adjustRightInd w:val="0"/>
              <w:snapToGrid w:val="0"/>
              <w:jc w:val="center"/>
              <w:textAlignment w:val="center"/>
              <w:rPr>
                <w:rFonts w:ascii="仿宋_GB2312" w:hAnsi="仿宋_GB2312" w:cs="仿宋_GB2312"/>
                <w:sz w:val="24"/>
                <w:szCs w:val="24"/>
                <w:lang w:bidi="ar"/>
              </w:rPr>
            </w:pPr>
            <w:r>
              <w:rPr>
                <w:rFonts w:ascii="仿宋_GB2312" w:hAnsi="仿宋_GB2312" w:cs="仿宋_GB2312" w:hint="eastAsia"/>
                <w:sz w:val="24"/>
                <w:szCs w:val="24"/>
                <w:lang w:bidi="ar"/>
              </w:rPr>
              <w:t>7.0%</w:t>
            </w:r>
          </w:p>
        </w:tc>
        <w:tc>
          <w:tcPr>
            <w:tcW w:w="1798" w:type="dxa"/>
            <w:tcBorders>
              <w:tl2br w:val="nil"/>
              <w:tr2bl w:val="nil"/>
            </w:tcBorders>
            <w:shd w:val="clear" w:color="auto" w:fill="auto"/>
            <w:noWrap/>
            <w:vAlign w:val="center"/>
          </w:tcPr>
          <w:p w:rsidR="00B74781" w:rsidRDefault="00000000">
            <w:pPr>
              <w:widowControl/>
              <w:adjustRightInd w:val="0"/>
              <w:snapToGrid w:val="0"/>
              <w:jc w:val="center"/>
              <w:textAlignment w:val="center"/>
              <w:rPr>
                <w:rFonts w:ascii="仿宋_GB2312" w:hAnsi="仿宋_GB2312" w:cs="仿宋_GB2312"/>
                <w:sz w:val="24"/>
                <w:szCs w:val="24"/>
                <w:lang w:bidi="ar"/>
              </w:rPr>
            </w:pPr>
            <w:r>
              <w:rPr>
                <w:rFonts w:ascii="仿宋_GB2312" w:hAnsi="仿宋_GB2312" w:cs="仿宋_GB2312" w:hint="eastAsia"/>
                <w:sz w:val="24"/>
                <w:szCs w:val="24"/>
                <w:lang w:bidi="ar"/>
              </w:rPr>
              <w:t>61.8</w:t>
            </w:r>
          </w:p>
        </w:tc>
      </w:tr>
      <w:tr w:rsidR="00B74781">
        <w:trPr>
          <w:trHeight w:val="390"/>
          <w:jc w:val="center"/>
        </w:trPr>
        <w:tc>
          <w:tcPr>
            <w:tcW w:w="972" w:type="dxa"/>
            <w:tcBorders>
              <w:tl2br w:val="nil"/>
              <w:tr2bl w:val="nil"/>
            </w:tcBorders>
            <w:shd w:val="clear" w:color="auto" w:fill="auto"/>
            <w:vAlign w:val="center"/>
          </w:tcPr>
          <w:p w:rsidR="00B74781" w:rsidRDefault="00000000">
            <w:pPr>
              <w:widowControl/>
              <w:adjustRightInd w:val="0"/>
              <w:snapToGrid w:val="0"/>
              <w:jc w:val="center"/>
              <w:textAlignment w:val="center"/>
              <w:rPr>
                <w:rFonts w:ascii="仿宋_GB2312" w:hAnsi="仿宋_GB2312" w:cs="仿宋_GB2312"/>
                <w:sz w:val="24"/>
                <w:szCs w:val="24"/>
                <w:lang w:bidi="ar"/>
              </w:rPr>
            </w:pPr>
            <w:r>
              <w:rPr>
                <w:rFonts w:ascii="仿宋_GB2312" w:hAnsi="仿宋_GB2312" w:cs="仿宋_GB2312" w:hint="eastAsia"/>
                <w:sz w:val="24"/>
                <w:szCs w:val="24"/>
                <w:lang w:bidi="ar"/>
              </w:rPr>
              <w:t>12</w:t>
            </w:r>
          </w:p>
        </w:tc>
        <w:tc>
          <w:tcPr>
            <w:tcW w:w="1751" w:type="dxa"/>
            <w:tcBorders>
              <w:tl2br w:val="nil"/>
              <w:tr2bl w:val="nil"/>
            </w:tcBorders>
            <w:shd w:val="clear" w:color="auto" w:fill="auto"/>
            <w:vAlign w:val="center"/>
          </w:tcPr>
          <w:p w:rsidR="00B74781" w:rsidRDefault="00000000">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sz w:val="24"/>
                <w:szCs w:val="24"/>
                <w:lang w:bidi="ar"/>
              </w:rPr>
              <w:t>永州</w:t>
            </w:r>
          </w:p>
        </w:tc>
        <w:tc>
          <w:tcPr>
            <w:tcW w:w="2745" w:type="dxa"/>
            <w:tcBorders>
              <w:tl2br w:val="nil"/>
              <w:tr2bl w:val="nil"/>
            </w:tcBorders>
            <w:shd w:val="clear" w:color="auto" w:fill="auto"/>
            <w:noWrap/>
            <w:vAlign w:val="center"/>
          </w:tcPr>
          <w:p w:rsidR="00B74781" w:rsidRDefault="00000000">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sz w:val="24"/>
                <w:szCs w:val="24"/>
                <w:lang w:bidi="ar"/>
              </w:rPr>
              <w:t>2978.9</w:t>
            </w:r>
          </w:p>
        </w:tc>
        <w:tc>
          <w:tcPr>
            <w:tcW w:w="1851" w:type="dxa"/>
            <w:tcBorders>
              <w:tl2br w:val="nil"/>
              <w:tr2bl w:val="nil"/>
            </w:tcBorders>
            <w:shd w:val="clear" w:color="auto" w:fill="auto"/>
            <w:noWrap/>
            <w:vAlign w:val="center"/>
          </w:tcPr>
          <w:p w:rsidR="00B74781" w:rsidRDefault="00000000">
            <w:pPr>
              <w:widowControl/>
              <w:adjustRightInd w:val="0"/>
              <w:snapToGrid w:val="0"/>
              <w:jc w:val="center"/>
              <w:textAlignment w:val="center"/>
              <w:rPr>
                <w:rFonts w:ascii="仿宋_GB2312" w:hAnsi="仿宋_GB2312" w:cs="仿宋_GB2312"/>
                <w:sz w:val="24"/>
                <w:szCs w:val="24"/>
                <w:lang w:bidi="ar"/>
              </w:rPr>
            </w:pPr>
            <w:r>
              <w:rPr>
                <w:rFonts w:ascii="仿宋_GB2312" w:hAnsi="仿宋_GB2312" w:cs="仿宋_GB2312" w:hint="eastAsia"/>
                <w:sz w:val="24"/>
                <w:szCs w:val="24"/>
                <w:lang w:bidi="ar"/>
              </w:rPr>
              <w:t>7.0%</w:t>
            </w:r>
          </w:p>
        </w:tc>
        <w:tc>
          <w:tcPr>
            <w:tcW w:w="1798" w:type="dxa"/>
            <w:tcBorders>
              <w:tl2br w:val="nil"/>
              <w:tr2bl w:val="nil"/>
            </w:tcBorders>
            <w:shd w:val="clear" w:color="auto" w:fill="auto"/>
            <w:noWrap/>
            <w:vAlign w:val="center"/>
          </w:tcPr>
          <w:p w:rsidR="00B74781" w:rsidRDefault="00000000">
            <w:pPr>
              <w:widowControl/>
              <w:adjustRightInd w:val="0"/>
              <w:snapToGrid w:val="0"/>
              <w:jc w:val="center"/>
              <w:textAlignment w:val="center"/>
              <w:rPr>
                <w:rFonts w:ascii="仿宋_GB2312" w:hAnsi="仿宋_GB2312" w:cs="仿宋_GB2312"/>
                <w:sz w:val="24"/>
                <w:szCs w:val="24"/>
                <w:lang w:bidi="ar"/>
              </w:rPr>
            </w:pPr>
            <w:r>
              <w:rPr>
                <w:rFonts w:ascii="仿宋_GB2312" w:hAnsi="仿宋_GB2312" w:cs="仿宋_GB2312" w:hint="eastAsia"/>
                <w:sz w:val="24"/>
                <w:szCs w:val="24"/>
                <w:lang w:bidi="ar"/>
              </w:rPr>
              <w:t>208.6</w:t>
            </w:r>
          </w:p>
        </w:tc>
      </w:tr>
      <w:tr w:rsidR="00B74781">
        <w:trPr>
          <w:trHeight w:val="390"/>
          <w:jc w:val="center"/>
        </w:trPr>
        <w:tc>
          <w:tcPr>
            <w:tcW w:w="972" w:type="dxa"/>
            <w:tcBorders>
              <w:tl2br w:val="nil"/>
              <w:tr2bl w:val="nil"/>
            </w:tcBorders>
            <w:shd w:val="clear" w:color="auto" w:fill="auto"/>
            <w:vAlign w:val="center"/>
          </w:tcPr>
          <w:p w:rsidR="00B74781" w:rsidRDefault="00000000">
            <w:pPr>
              <w:widowControl/>
              <w:adjustRightInd w:val="0"/>
              <w:snapToGrid w:val="0"/>
              <w:jc w:val="center"/>
              <w:textAlignment w:val="center"/>
              <w:rPr>
                <w:rFonts w:ascii="仿宋_GB2312" w:hAnsi="仿宋_GB2312" w:cs="仿宋_GB2312"/>
                <w:sz w:val="24"/>
                <w:szCs w:val="24"/>
                <w:lang w:bidi="ar"/>
              </w:rPr>
            </w:pPr>
            <w:r>
              <w:rPr>
                <w:rFonts w:ascii="仿宋_GB2312" w:hAnsi="仿宋_GB2312" w:cs="仿宋_GB2312" w:hint="eastAsia"/>
                <w:sz w:val="24"/>
                <w:szCs w:val="24"/>
                <w:lang w:bidi="ar"/>
              </w:rPr>
              <w:t>13</w:t>
            </w:r>
          </w:p>
        </w:tc>
        <w:tc>
          <w:tcPr>
            <w:tcW w:w="1751" w:type="dxa"/>
            <w:tcBorders>
              <w:tl2br w:val="nil"/>
              <w:tr2bl w:val="nil"/>
            </w:tcBorders>
            <w:shd w:val="clear" w:color="auto" w:fill="auto"/>
            <w:vAlign w:val="center"/>
          </w:tcPr>
          <w:p w:rsidR="00B74781" w:rsidRDefault="00000000">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sz w:val="24"/>
                <w:szCs w:val="24"/>
                <w:lang w:bidi="ar"/>
              </w:rPr>
              <w:t>岳阳</w:t>
            </w:r>
          </w:p>
        </w:tc>
        <w:tc>
          <w:tcPr>
            <w:tcW w:w="2745" w:type="dxa"/>
            <w:tcBorders>
              <w:tl2br w:val="nil"/>
              <w:tr2bl w:val="nil"/>
            </w:tcBorders>
            <w:shd w:val="clear" w:color="auto" w:fill="auto"/>
            <w:noWrap/>
            <w:vAlign w:val="center"/>
          </w:tcPr>
          <w:p w:rsidR="00B74781" w:rsidRDefault="00000000">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sz w:val="24"/>
                <w:szCs w:val="24"/>
                <w:lang w:bidi="ar"/>
              </w:rPr>
              <w:t>14201.6</w:t>
            </w:r>
          </w:p>
        </w:tc>
        <w:tc>
          <w:tcPr>
            <w:tcW w:w="1851" w:type="dxa"/>
            <w:tcBorders>
              <w:tl2br w:val="nil"/>
              <w:tr2bl w:val="nil"/>
            </w:tcBorders>
            <w:shd w:val="clear" w:color="auto" w:fill="auto"/>
            <w:noWrap/>
            <w:vAlign w:val="center"/>
          </w:tcPr>
          <w:p w:rsidR="00B74781" w:rsidRDefault="00000000">
            <w:pPr>
              <w:widowControl/>
              <w:adjustRightInd w:val="0"/>
              <w:snapToGrid w:val="0"/>
              <w:jc w:val="center"/>
              <w:textAlignment w:val="center"/>
              <w:rPr>
                <w:rFonts w:ascii="仿宋_GB2312" w:hAnsi="仿宋_GB2312" w:cs="仿宋_GB2312"/>
                <w:sz w:val="24"/>
                <w:szCs w:val="24"/>
                <w:lang w:bidi="ar"/>
              </w:rPr>
            </w:pPr>
            <w:r>
              <w:rPr>
                <w:rFonts w:ascii="仿宋_GB2312" w:hAnsi="仿宋_GB2312" w:cs="仿宋_GB2312" w:hint="eastAsia"/>
                <w:sz w:val="24"/>
                <w:szCs w:val="24"/>
                <w:lang w:bidi="ar"/>
              </w:rPr>
              <w:t>7.0%</w:t>
            </w:r>
          </w:p>
        </w:tc>
        <w:tc>
          <w:tcPr>
            <w:tcW w:w="1798" w:type="dxa"/>
            <w:tcBorders>
              <w:tl2br w:val="nil"/>
              <w:tr2bl w:val="nil"/>
            </w:tcBorders>
            <w:shd w:val="clear" w:color="auto" w:fill="auto"/>
            <w:noWrap/>
            <w:vAlign w:val="center"/>
          </w:tcPr>
          <w:p w:rsidR="00B74781" w:rsidRDefault="00000000">
            <w:pPr>
              <w:widowControl/>
              <w:adjustRightInd w:val="0"/>
              <w:snapToGrid w:val="0"/>
              <w:jc w:val="center"/>
              <w:textAlignment w:val="center"/>
              <w:rPr>
                <w:rFonts w:ascii="仿宋_GB2312" w:hAnsi="仿宋_GB2312" w:cs="仿宋_GB2312"/>
                <w:sz w:val="24"/>
                <w:szCs w:val="24"/>
                <w:lang w:bidi="ar"/>
              </w:rPr>
            </w:pPr>
            <w:r>
              <w:rPr>
                <w:rFonts w:ascii="仿宋_GB2312" w:hAnsi="仿宋_GB2312" w:cs="仿宋_GB2312" w:hint="eastAsia"/>
                <w:sz w:val="24"/>
                <w:szCs w:val="24"/>
                <w:lang w:bidi="ar"/>
              </w:rPr>
              <w:t>994.2</w:t>
            </w:r>
          </w:p>
        </w:tc>
      </w:tr>
      <w:tr w:rsidR="00B74781">
        <w:trPr>
          <w:trHeight w:val="390"/>
          <w:jc w:val="center"/>
        </w:trPr>
        <w:tc>
          <w:tcPr>
            <w:tcW w:w="972" w:type="dxa"/>
            <w:tcBorders>
              <w:tl2br w:val="nil"/>
              <w:tr2bl w:val="nil"/>
            </w:tcBorders>
            <w:shd w:val="clear" w:color="auto" w:fill="auto"/>
            <w:vAlign w:val="center"/>
          </w:tcPr>
          <w:p w:rsidR="00B74781" w:rsidRDefault="00000000">
            <w:pPr>
              <w:widowControl/>
              <w:adjustRightInd w:val="0"/>
              <w:snapToGrid w:val="0"/>
              <w:jc w:val="center"/>
              <w:textAlignment w:val="center"/>
              <w:rPr>
                <w:rFonts w:ascii="仿宋_GB2312" w:hAnsi="仿宋_GB2312" w:cs="仿宋_GB2312"/>
                <w:sz w:val="24"/>
                <w:szCs w:val="24"/>
                <w:lang w:bidi="ar"/>
              </w:rPr>
            </w:pPr>
            <w:r>
              <w:rPr>
                <w:rFonts w:ascii="仿宋_GB2312" w:hAnsi="仿宋_GB2312" w:cs="仿宋_GB2312" w:hint="eastAsia"/>
                <w:sz w:val="24"/>
                <w:szCs w:val="24"/>
                <w:lang w:bidi="ar"/>
              </w:rPr>
              <w:t>14</w:t>
            </w:r>
          </w:p>
        </w:tc>
        <w:tc>
          <w:tcPr>
            <w:tcW w:w="1751" w:type="dxa"/>
            <w:tcBorders>
              <w:tl2br w:val="nil"/>
              <w:tr2bl w:val="nil"/>
            </w:tcBorders>
            <w:shd w:val="clear" w:color="auto" w:fill="auto"/>
            <w:vAlign w:val="center"/>
          </w:tcPr>
          <w:p w:rsidR="00B74781" w:rsidRDefault="00000000">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sz w:val="24"/>
                <w:szCs w:val="24"/>
                <w:lang w:bidi="ar"/>
              </w:rPr>
              <w:t>张家界</w:t>
            </w:r>
          </w:p>
        </w:tc>
        <w:tc>
          <w:tcPr>
            <w:tcW w:w="2745" w:type="dxa"/>
            <w:tcBorders>
              <w:tl2br w:val="nil"/>
              <w:tr2bl w:val="nil"/>
            </w:tcBorders>
            <w:shd w:val="clear" w:color="auto" w:fill="auto"/>
            <w:noWrap/>
            <w:vAlign w:val="center"/>
          </w:tcPr>
          <w:p w:rsidR="00B74781" w:rsidRDefault="00000000">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sz w:val="24"/>
                <w:szCs w:val="24"/>
                <w:lang w:bidi="ar"/>
              </w:rPr>
              <w:t>/</w:t>
            </w:r>
          </w:p>
        </w:tc>
        <w:tc>
          <w:tcPr>
            <w:tcW w:w="1851" w:type="dxa"/>
            <w:tcBorders>
              <w:tl2br w:val="nil"/>
              <w:tr2bl w:val="nil"/>
            </w:tcBorders>
            <w:shd w:val="clear" w:color="auto" w:fill="auto"/>
            <w:noWrap/>
            <w:vAlign w:val="center"/>
          </w:tcPr>
          <w:p w:rsidR="00B74781" w:rsidRDefault="00000000">
            <w:pPr>
              <w:widowControl/>
              <w:adjustRightInd w:val="0"/>
              <w:snapToGrid w:val="0"/>
              <w:jc w:val="center"/>
              <w:textAlignment w:val="center"/>
              <w:rPr>
                <w:rFonts w:ascii="仿宋_GB2312" w:hAnsi="仿宋_GB2312" w:cs="仿宋_GB2312"/>
                <w:sz w:val="24"/>
                <w:szCs w:val="24"/>
                <w:lang w:bidi="ar"/>
              </w:rPr>
            </w:pPr>
            <w:r>
              <w:rPr>
                <w:rFonts w:ascii="仿宋_GB2312" w:hAnsi="仿宋_GB2312" w:cs="仿宋_GB2312" w:hint="eastAsia"/>
                <w:sz w:val="24"/>
                <w:szCs w:val="24"/>
                <w:lang w:bidi="ar"/>
              </w:rPr>
              <w:t>/</w:t>
            </w:r>
          </w:p>
        </w:tc>
        <w:tc>
          <w:tcPr>
            <w:tcW w:w="1798" w:type="dxa"/>
            <w:tcBorders>
              <w:tl2br w:val="nil"/>
              <w:tr2bl w:val="nil"/>
            </w:tcBorders>
            <w:shd w:val="clear" w:color="auto" w:fill="auto"/>
            <w:noWrap/>
            <w:vAlign w:val="center"/>
          </w:tcPr>
          <w:p w:rsidR="00B74781" w:rsidRDefault="00000000">
            <w:pPr>
              <w:widowControl/>
              <w:adjustRightInd w:val="0"/>
              <w:snapToGrid w:val="0"/>
              <w:jc w:val="center"/>
              <w:textAlignment w:val="center"/>
              <w:rPr>
                <w:rFonts w:ascii="仿宋_GB2312" w:hAnsi="仿宋_GB2312" w:cs="仿宋_GB2312"/>
                <w:sz w:val="24"/>
                <w:szCs w:val="24"/>
                <w:lang w:bidi="ar"/>
              </w:rPr>
            </w:pPr>
            <w:r>
              <w:rPr>
                <w:rFonts w:ascii="仿宋_GB2312" w:hAnsi="仿宋_GB2312" w:cs="仿宋_GB2312" w:hint="eastAsia"/>
                <w:sz w:val="24"/>
                <w:szCs w:val="24"/>
                <w:lang w:bidi="ar"/>
              </w:rPr>
              <w:t>/</w:t>
            </w:r>
          </w:p>
        </w:tc>
      </w:tr>
      <w:tr w:rsidR="00B74781">
        <w:trPr>
          <w:trHeight w:val="390"/>
          <w:jc w:val="center"/>
        </w:trPr>
        <w:tc>
          <w:tcPr>
            <w:tcW w:w="2723" w:type="dxa"/>
            <w:gridSpan w:val="2"/>
            <w:tcBorders>
              <w:tl2br w:val="nil"/>
              <w:tr2bl w:val="nil"/>
            </w:tcBorders>
            <w:shd w:val="clear" w:color="auto" w:fill="auto"/>
            <w:noWrap/>
            <w:vAlign w:val="center"/>
          </w:tcPr>
          <w:p w:rsidR="00B74781" w:rsidRDefault="00000000">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b/>
                <w:bCs/>
                <w:sz w:val="24"/>
                <w:szCs w:val="24"/>
                <w:lang w:bidi="ar"/>
              </w:rPr>
              <w:t>全省合计</w:t>
            </w:r>
          </w:p>
        </w:tc>
        <w:tc>
          <w:tcPr>
            <w:tcW w:w="2745" w:type="dxa"/>
            <w:tcBorders>
              <w:tl2br w:val="nil"/>
              <w:tr2bl w:val="nil"/>
            </w:tcBorders>
            <w:shd w:val="clear" w:color="auto" w:fill="auto"/>
            <w:noWrap/>
            <w:vAlign w:val="center"/>
          </w:tcPr>
          <w:p w:rsidR="00B74781" w:rsidRDefault="00000000">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sz w:val="24"/>
                <w:szCs w:val="24"/>
                <w:lang w:bidi="ar"/>
              </w:rPr>
              <w:t>168789.3</w:t>
            </w:r>
          </w:p>
        </w:tc>
        <w:tc>
          <w:tcPr>
            <w:tcW w:w="1851" w:type="dxa"/>
            <w:tcBorders>
              <w:tl2br w:val="nil"/>
              <w:tr2bl w:val="nil"/>
            </w:tcBorders>
            <w:shd w:val="clear" w:color="auto" w:fill="auto"/>
            <w:noWrap/>
            <w:vAlign w:val="center"/>
          </w:tcPr>
          <w:p w:rsidR="00B74781" w:rsidRDefault="00000000">
            <w:pPr>
              <w:widowControl/>
              <w:adjustRightInd w:val="0"/>
              <w:snapToGrid w:val="0"/>
              <w:jc w:val="center"/>
              <w:textAlignment w:val="center"/>
              <w:rPr>
                <w:rFonts w:ascii="仿宋_GB2312" w:hAnsi="仿宋_GB2312" w:cs="仿宋_GB2312"/>
                <w:sz w:val="24"/>
                <w:szCs w:val="24"/>
                <w:lang w:bidi="ar"/>
              </w:rPr>
            </w:pPr>
            <w:r>
              <w:rPr>
                <w:rFonts w:ascii="仿宋_GB2312" w:hAnsi="仿宋_GB2312" w:cs="仿宋_GB2312" w:hint="eastAsia"/>
                <w:sz w:val="24"/>
                <w:szCs w:val="24"/>
                <w:lang w:bidi="ar"/>
              </w:rPr>
              <w:t>7.0%</w:t>
            </w:r>
          </w:p>
        </w:tc>
        <w:tc>
          <w:tcPr>
            <w:tcW w:w="1798" w:type="dxa"/>
            <w:tcBorders>
              <w:tl2br w:val="nil"/>
              <w:tr2bl w:val="nil"/>
            </w:tcBorders>
            <w:shd w:val="clear" w:color="auto" w:fill="auto"/>
            <w:noWrap/>
            <w:vAlign w:val="center"/>
          </w:tcPr>
          <w:p w:rsidR="00B74781" w:rsidRDefault="00000000">
            <w:pPr>
              <w:widowControl/>
              <w:adjustRightInd w:val="0"/>
              <w:snapToGrid w:val="0"/>
              <w:jc w:val="center"/>
              <w:textAlignment w:val="center"/>
              <w:rPr>
                <w:rFonts w:ascii="仿宋_GB2312" w:hAnsi="仿宋_GB2312" w:cs="仿宋_GB2312"/>
                <w:sz w:val="24"/>
                <w:szCs w:val="24"/>
                <w:lang w:bidi="ar"/>
              </w:rPr>
            </w:pPr>
            <w:r>
              <w:rPr>
                <w:rFonts w:ascii="仿宋_GB2312" w:hAnsi="仿宋_GB2312" w:cs="仿宋_GB2312" w:hint="eastAsia"/>
                <w:sz w:val="24"/>
                <w:szCs w:val="24"/>
                <w:lang w:bidi="ar"/>
              </w:rPr>
              <w:t>11815.9</w:t>
            </w:r>
          </w:p>
        </w:tc>
      </w:tr>
    </w:tbl>
    <w:p w:rsidR="00B74781" w:rsidRDefault="00B74781">
      <w:pPr>
        <w:pStyle w:val="a3"/>
      </w:pPr>
    </w:p>
    <w:p w:rsidR="00B74781" w:rsidRDefault="00B74781">
      <w:pPr>
        <w:snapToGrid w:val="0"/>
        <w:spacing w:line="580" w:lineRule="exact"/>
        <w:jc w:val="center"/>
        <w:rPr>
          <w:rFonts w:ascii="仿宋_GB2312" w:hAnsi="仿宋"/>
          <w:szCs w:val="32"/>
        </w:rPr>
      </w:pPr>
    </w:p>
    <w:p w:rsidR="00B74781" w:rsidRDefault="00B74781">
      <w:pPr>
        <w:pStyle w:val="EndnoteText"/>
        <w:rPr>
          <w:rFonts w:ascii="仿宋_GB2312" w:hAnsi="仿宋"/>
          <w:szCs w:val="32"/>
        </w:rPr>
      </w:pPr>
    </w:p>
    <w:p w:rsidR="00B74781" w:rsidRDefault="00B74781">
      <w:pPr>
        <w:pStyle w:val="EndnoteText"/>
        <w:rPr>
          <w:rFonts w:ascii="仿宋_GB2312" w:hAnsi="仿宋"/>
          <w:szCs w:val="32"/>
        </w:rPr>
      </w:pPr>
    </w:p>
    <w:p w:rsidR="00B74781" w:rsidRDefault="00B74781">
      <w:pPr>
        <w:pStyle w:val="EndnoteText"/>
        <w:adjustRightInd w:val="0"/>
        <w:snapToGrid w:val="0"/>
        <w:rPr>
          <w:rFonts w:ascii="仿宋_GB2312" w:hAnsi="仿宋"/>
          <w:szCs w:val="32"/>
        </w:rPr>
      </w:pPr>
    </w:p>
    <w:p w:rsidR="00B74781" w:rsidRDefault="00B74781">
      <w:pPr>
        <w:pStyle w:val="EndnoteText"/>
        <w:adjustRightInd w:val="0"/>
        <w:snapToGrid w:val="0"/>
        <w:rPr>
          <w:rFonts w:ascii="仿宋_GB2312" w:hAnsi="仿宋"/>
          <w:szCs w:val="32"/>
        </w:rPr>
      </w:pPr>
    </w:p>
    <w:tbl>
      <w:tblPr>
        <w:tblStyle w:val="a8"/>
        <w:tblW w:w="8845" w:type="dxa"/>
        <w:jc w:val="center"/>
        <w:tblBorders>
          <w:top w:val="single" w:sz="6" w:space="0" w:color="auto"/>
          <w:left w:val="none" w:sz="0" w:space="0" w:color="auto"/>
          <w:bottom w:val="single" w:sz="6" w:space="0" w:color="auto"/>
          <w:right w:val="none" w:sz="0" w:space="0" w:color="auto"/>
          <w:insideH w:val="single" w:sz="2" w:space="0" w:color="auto"/>
          <w:insideV w:val="none" w:sz="0" w:space="0" w:color="auto"/>
        </w:tblBorders>
        <w:tblLook w:val="04A0" w:firstRow="1" w:lastRow="0" w:firstColumn="1" w:lastColumn="0" w:noHBand="0" w:noVBand="1"/>
      </w:tblPr>
      <w:tblGrid>
        <w:gridCol w:w="5512"/>
        <w:gridCol w:w="3333"/>
      </w:tblGrid>
      <w:tr w:rsidR="00B74781">
        <w:trPr>
          <w:trHeight w:val="595"/>
          <w:jc w:val="center"/>
        </w:trPr>
        <w:tc>
          <w:tcPr>
            <w:tcW w:w="5512" w:type="dxa"/>
            <w:vAlign w:val="center"/>
          </w:tcPr>
          <w:p w:rsidR="00B74781" w:rsidRDefault="00000000">
            <w:pPr>
              <w:snapToGrid w:val="0"/>
              <w:ind w:leftChars="60" w:left="191"/>
              <w:rPr>
                <w:rFonts w:ascii="仿宋_GB2312" w:hAnsi="仿宋"/>
                <w:sz w:val="28"/>
                <w:szCs w:val="28"/>
              </w:rPr>
            </w:pPr>
            <w:r>
              <w:rPr>
                <w:rFonts w:ascii="仿宋_GB2312" w:hAnsi="仿宋" w:hint="eastAsia"/>
                <w:sz w:val="28"/>
                <w:szCs w:val="28"/>
              </w:rPr>
              <w:t>湖南省生态环境厅办公室</w:t>
            </w:r>
          </w:p>
        </w:tc>
        <w:tc>
          <w:tcPr>
            <w:tcW w:w="3333" w:type="dxa"/>
            <w:vAlign w:val="center"/>
          </w:tcPr>
          <w:p w:rsidR="00B74781" w:rsidRDefault="00000000">
            <w:pPr>
              <w:snapToGrid w:val="0"/>
              <w:ind w:rightChars="50" w:right="159"/>
              <w:jc w:val="right"/>
              <w:rPr>
                <w:rFonts w:ascii="仿宋_GB2312" w:hAnsi="仿宋"/>
                <w:sz w:val="28"/>
                <w:szCs w:val="28"/>
              </w:rPr>
            </w:pPr>
            <w:r>
              <w:rPr>
                <w:rFonts w:ascii="仿宋_GB2312" w:hAnsi="仿宋"/>
                <w:sz w:val="28"/>
                <w:szCs w:val="28"/>
                <w:lang w:val="en"/>
              </w:rPr>
              <w:t>2022年1</w:t>
            </w:r>
            <w:r>
              <w:rPr>
                <w:rFonts w:ascii="仿宋_GB2312" w:hAnsi="仿宋" w:hint="eastAsia"/>
                <w:sz w:val="28"/>
                <w:szCs w:val="28"/>
              </w:rPr>
              <w:t>2</w:t>
            </w:r>
            <w:r>
              <w:rPr>
                <w:rFonts w:ascii="仿宋_GB2312" w:hAnsi="仿宋"/>
                <w:sz w:val="28"/>
                <w:szCs w:val="28"/>
                <w:lang w:val="en"/>
              </w:rPr>
              <w:t>月2</w:t>
            </w:r>
            <w:r>
              <w:rPr>
                <w:rFonts w:ascii="仿宋_GB2312" w:hAnsi="仿宋" w:hint="eastAsia"/>
                <w:sz w:val="28"/>
                <w:szCs w:val="28"/>
              </w:rPr>
              <w:t>6</w:t>
            </w:r>
            <w:r>
              <w:rPr>
                <w:rFonts w:ascii="仿宋_GB2312" w:hAnsi="仿宋"/>
                <w:sz w:val="28"/>
                <w:szCs w:val="28"/>
                <w:lang w:val="en"/>
              </w:rPr>
              <w:t>日</w:t>
            </w:r>
            <w:r>
              <w:rPr>
                <w:rFonts w:ascii="仿宋_GB2312" w:hAnsi="仿宋" w:hint="eastAsia"/>
                <w:sz w:val="28"/>
                <w:szCs w:val="28"/>
              </w:rPr>
              <w:t xml:space="preserve">印发　</w:t>
            </w:r>
          </w:p>
        </w:tc>
      </w:tr>
    </w:tbl>
    <w:p w:rsidR="00B74781" w:rsidRDefault="00B74781">
      <w:pPr>
        <w:snapToGrid w:val="0"/>
        <w:spacing w:line="20" w:lineRule="exact"/>
        <w:rPr>
          <w:rFonts w:ascii="仿宋_GB2312" w:hAnsi="仿宋"/>
          <w:szCs w:val="32"/>
        </w:rPr>
      </w:pPr>
    </w:p>
    <w:sectPr w:rsidR="00B74781">
      <w:headerReference w:type="default" r:id="rId6"/>
      <w:footerReference w:type="even" r:id="rId7"/>
      <w:footerReference w:type="default" r:id="rId8"/>
      <w:pgSz w:w="11906" w:h="16838"/>
      <w:pgMar w:top="1985" w:right="1474" w:bottom="1985" w:left="1531" w:header="851" w:footer="1247" w:gutter="0"/>
      <w:pgNumType w:fmt="numberInDash"/>
      <w:cols w:space="425"/>
      <w:titlePg/>
      <w:docGrid w:type="linesAndChars" w:linePitch="579" w:char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5294" w:rsidRDefault="00EF5294">
      <w:r>
        <w:separator/>
      </w:r>
    </w:p>
  </w:endnote>
  <w:endnote w:type="continuationSeparator" w:id="0">
    <w:p w:rsidR="00EF5294" w:rsidRDefault="00EF5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00" w:usb3="00000000" w:csb0="00040000" w:csb1="00000000"/>
  </w:font>
  <w:font w:name="华文仿宋">
    <w:altName w:val="STFangsong"/>
    <w:charset w:val="86"/>
    <w:family w:val="auto"/>
    <w:pitch w:val="variable"/>
    <w:sig w:usb0="00000287" w:usb1="080F0000" w:usb2="00000010" w:usb3="00000000" w:csb0="0004009F" w:csb1="00000000"/>
  </w:font>
  <w:font w:name="CESI楷体-GB2312">
    <w:altName w:val="宋体"/>
    <w:charset w:val="86"/>
    <w:family w:val="auto"/>
    <w:pitch w:val="default"/>
    <w:sig w:usb0="00000000" w:usb1="00000000" w:usb2="00000012" w:usb3="00000000" w:csb0="0004000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4781" w:rsidRDefault="00000000">
    <w:pPr>
      <w:pStyle w:val="a4"/>
      <w:ind w:firstLineChars="100" w:firstLine="280"/>
      <w:rPr>
        <w:rFonts w:ascii="宋体" w:eastAsia="宋体" w:hAnsi="宋体"/>
        <w:sz w:val="28"/>
        <w:szCs w:val="28"/>
      </w:rPr>
    </w:pPr>
    <w:r>
      <w:rPr>
        <w:rFonts w:ascii="仿宋_GB2312" w:hAnsi="仿宋_GB2312" w:cs="仿宋_GB2312" w:hint="eastAsia"/>
        <w:sz w:val="28"/>
        <w:szCs w:val="28"/>
      </w:rPr>
      <w:fldChar w:fldCharType="begin"/>
    </w:r>
    <w:r>
      <w:rPr>
        <w:rFonts w:ascii="仿宋_GB2312" w:hAnsi="仿宋_GB2312" w:cs="仿宋_GB2312" w:hint="eastAsia"/>
        <w:sz w:val="28"/>
        <w:szCs w:val="28"/>
      </w:rPr>
      <w:instrText xml:space="preserve"> PAGE   \* MERGEFORMAT </w:instrText>
    </w:r>
    <w:r>
      <w:rPr>
        <w:rFonts w:ascii="仿宋_GB2312" w:hAnsi="仿宋_GB2312" w:cs="仿宋_GB2312" w:hint="eastAsia"/>
        <w:sz w:val="28"/>
        <w:szCs w:val="28"/>
      </w:rPr>
      <w:fldChar w:fldCharType="separate"/>
    </w:r>
    <w:r>
      <w:rPr>
        <w:rFonts w:ascii="仿宋_GB2312" w:hAnsi="仿宋_GB2312" w:cs="仿宋_GB2312" w:hint="eastAsia"/>
        <w:sz w:val="28"/>
        <w:szCs w:val="28"/>
        <w:lang w:val="zh-CN"/>
      </w:rPr>
      <w:t>-</w:t>
    </w:r>
    <w:r>
      <w:rPr>
        <w:rFonts w:ascii="仿宋_GB2312" w:hAnsi="仿宋_GB2312" w:cs="仿宋_GB2312" w:hint="eastAsia"/>
        <w:sz w:val="28"/>
        <w:szCs w:val="28"/>
      </w:rPr>
      <w:t xml:space="preserve"> 2 -</w:t>
    </w:r>
    <w:r>
      <w:rPr>
        <w:rFonts w:ascii="仿宋_GB2312" w:hAnsi="仿宋_GB2312" w:cs="仿宋_GB2312" w:hint="eastAsia"/>
        <w:sz w:val="28"/>
        <w:szCs w:val="28"/>
      </w:rPr>
      <w:fldChar w:fldCharType="end"/>
    </w:r>
  </w:p>
  <w:p w:rsidR="00B74781" w:rsidRDefault="00B7478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4781" w:rsidRDefault="00000000">
    <w:pPr>
      <w:pStyle w:val="a4"/>
      <w:wordWrap w:val="0"/>
      <w:jc w:val="right"/>
      <w:rPr>
        <w:rFonts w:ascii="宋体" w:eastAsia="宋体" w:hAnsi="宋体"/>
        <w:sz w:val="28"/>
        <w:szCs w:val="28"/>
      </w:rPr>
    </w:pPr>
    <w:r>
      <w:rPr>
        <w:rFonts w:ascii="仿宋_GB2312" w:hAnsi="仿宋_GB2312" w:cs="仿宋_GB2312" w:hint="eastAsia"/>
        <w:sz w:val="28"/>
        <w:szCs w:val="28"/>
      </w:rPr>
      <w:fldChar w:fldCharType="begin"/>
    </w:r>
    <w:r>
      <w:rPr>
        <w:rFonts w:ascii="仿宋_GB2312" w:hAnsi="仿宋_GB2312" w:cs="仿宋_GB2312" w:hint="eastAsia"/>
        <w:sz w:val="28"/>
        <w:szCs w:val="28"/>
      </w:rPr>
      <w:instrText xml:space="preserve"> PAGE   \* MERGEFORMAT </w:instrText>
    </w:r>
    <w:r>
      <w:rPr>
        <w:rFonts w:ascii="仿宋_GB2312" w:hAnsi="仿宋_GB2312" w:cs="仿宋_GB2312" w:hint="eastAsia"/>
        <w:sz w:val="28"/>
        <w:szCs w:val="28"/>
      </w:rPr>
      <w:fldChar w:fldCharType="separate"/>
    </w:r>
    <w:r>
      <w:rPr>
        <w:rFonts w:ascii="仿宋_GB2312" w:hAnsi="仿宋_GB2312" w:cs="仿宋_GB2312" w:hint="eastAsia"/>
        <w:sz w:val="28"/>
        <w:szCs w:val="28"/>
        <w:lang w:val="zh-CN"/>
      </w:rPr>
      <w:t>-</w:t>
    </w:r>
    <w:r>
      <w:rPr>
        <w:rFonts w:ascii="仿宋_GB2312" w:hAnsi="仿宋_GB2312" w:cs="仿宋_GB2312" w:hint="eastAsia"/>
        <w:sz w:val="28"/>
        <w:szCs w:val="28"/>
      </w:rPr>
      <w:t xml:space="preserve"> 3 -</w:t>
    </w:r>
    <w:r>
      <w:rPr>
        <w:rFonts w:ascii="仿宋_GB2312" w:hAnsi="仿宋_GB2312" w:cs="仿宋_GB2312" w:hint="eastAsia"/>
        <w:sz w:val="28"/>
        <w:szCs w:val="28"/>
      </w:rPr>
      <w:fldChar w:fldCharType="end"/>
    </w:r>
    <w:r>
      <w:rPr>
        <w:rFonts w:ascii="宋体" w:eastAsia="宋体" w:hAnsi="宋体" w:hint="eastAsia"/>
        <w:sz w:val="28"/>
        <w:szCs w:val="28"/>
      </w:rPr>
      <w:t xml:space="preserve">　</w:t>
    </w:r>
  </w:p>
  <w:p w:rsidR="00B74781" w:rsidRDefault="00B74781">
    <w:pPr>
      <w:pStyle w:val="a4"/>
      <w:tabs>
        <w:tab w:val="clear" w:pos="4153"/>
        <w:tab w:val="clear" w:pos="8306"/>
      </w:tabs>
      <w:ind w:left="350" w:right="360" w:firstLine="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5294" w:rsidRDefault="00EF5294">
      <w:r>
        <w:separator/>
      </w:r>
    </w:p>
  </w:footnote>
  <w:footnote w:type="continuationSeparator" w:id="0">
    <w:p w:rsidR="00EF5294" w:rsidRDefault="00EF5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4781" w:rsidRDefault="00B74781">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420"/>
  <w:evenAndOddHeaders/>
  <w:drawingGridHorizontalSpacing w:val="159"/>
  <w:drawingGridVerticalSpacing w:val="579"/>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cxZGRiNmVjZjZjYzhiOWUzMWY0Yjk3YzY1ZGRkMzIifQ=="/>
  </w:docVars>
  <w:rsids>
    <w:rsidRoot w:val="00D47D1F"/>
    <w:rsid w:val="9A7C061C"/>
    <w:rsid w:val="BE4B9354"/>
    <w:rsid w:val="BEBB7D21"/>
    <w:rsid w:val="EFBE8C64"/>
    <w:rsid w:val="FAD3EF27"/>
    <w:rsid w:val="FECE3B17"/>
    <w:rsid w:val="0002463F"/>
    <w:rsid w:val="00046FFC"/>
    <w:rsid w:val="000D421B"/>
    <w:rsid w:val="000F002F"/>
    <w:rsid w:val="00103156"/>
    <w:rsid w:val="0018581E"/>
    <w:rsid w:val="001B7B89"/>
    <w:rsid w:val="001D637E"/>
    <w:rsid w:val="00210E5D"/>
    <w:rsid w:val="0021142F"/>
    <w:rsid w:val="00225834"/>
    <w:rsid w:val="002569C4"/>
    <w:rsid w:val="00265411"/>
    <w:rsid w:val="002858D7"/>
    <w:rsid w:val="003446CD"/>
    <w:rsid w:val="00373200"/>
    <w:rsid w:val="003D2BCA"/>
    <w:rsid w:val="00403FB2"/>
    <w:rsid w:val="0045633D"/>
    <w:rsid w:val="00484426"/>
    <w:rsid w:val="00492FDA"/>
    <w:rsid w:val="004D3876"/>
    <w:rsid w:val="004D5D3C"/>
    <w:rsid w:val="00501A0E"/>
    <w:rsid w:val="00571B2A"/>
    <w:rsid w:val="00657C25"/>
    <w:rsid w:val="007075FE"/>
    <w:rsid w:val="00730B1E"/>
    <w:rsid w:val="00734B0F"/>
    <w:rsid w:val="00761658"/>
    <w:rsid w:val="007B7940"/>
    <w:rsid w:val="007C2CFD"/>
    <w:rsid w:val="007D13D3"/>
    <w:rsid w:val="00836C62"/>
    <w:rsid w:val="008522D8"/>
    <w:rsid w:val="008B4592"/>
    <w:rsid w:val="008E3216"/>
    <w:rsid w:val="00900940"/>
    <w:rsid w:val="009703CE"/>
    <w:rsid w:val="009A7B6B"/>
    <w:rsid w:val="00A13100"/>
    <w:rsid w:val="00A73BC4"/>
    <w:rsid w:val="00A85E0A"/>
    <w:rsid w:val="00A93BCE"/>
    <w:rsid w:val="00AD7F40"/>
    <w:rsid w:val="00B1490E"/>
    <w:rsid w:val="00B74781"/>
    <w:rsid w:val="00B926BF"/>
    <w:rsid w:val="00B948FB"/>
    <w:rsid w:val="00BA6C55"/>
    <w:rsid w:val="00BB42F4"/>
    <w:rsid w:val="00BB4E17"/>
    <w:rsid w:val="00C5168F"/>
    <w:rsid w:val="00C925DD"/>
    <w:rsid w:val="00CA567D"/>
    <w:rsid w:val="00CD25F6"/>
    <w:rsid w:val="00D47D1F"/>
    <w:rsid w:val="00D51D33"/>
    <w:rsid w:val="00D7681B"/>
    <w:rsid w:val="00D95457"/>
    <w:rsid w:val="00EC3822"/>
    <w:rsid w:val="00EE61B5"/>
    <w:rsid w:val="00EF5294"/>
    <w:rsid w:val="00F03766"/>
    <w:rsid w:val="00F0685D"/>
    <w:rsid w:val="00F42F7C"/>
    <w:rsid w:val="00F64505"/>
    <w:rsid w:val="00F730E5"/>
    <w:rsid w:val="01C40DDD"/>
    <w:rsid w:val="1E3A3B3B"/>
    <w:rsid w:val="27C38625"/>
    <w:rsid w:val="2EA50207"/>
    <w:rsid w:val="3F7A4B07"/>
    <w:rsid w:val="62EBBC8C"/>
    <w:rsid w:val="6FF7A834"/>
    <w:rsid w:val="72DFF670"/>
    <w:rsid w:val="7B9E8593"/>
    <w:rsid w:val="7CF72D33"/>
    <w:rsid w:val="7D317D85"/>
    <w:rsid w:val="7EBFB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05E7B3D9-7AE3-4C59-97D0-3A9DC8948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uiPriority="0" w:qFormat="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EndnoteText"/>
    <w:qFormat/>
    <w:pPr>
      <w:widowControl w:val="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dnoteText">
    <w:name w:val="EndnoteText"/>
    <w:basedOn w:val="a"/>
    <w:qFormat/>
    <w:pPr>
      <w:textAlignment w:val="baseline"/>
    </w:pPr>
  </w:style>
  <w:style w:type="paragraph" w:styleId="a3">
    <w:name w:val="Body Text"/>
    <w:basedOn w:val="a"/>
    <w:next w:val="7"/>
    <w:unhideWhenUsed/>
    <w:qFormat/>
    <w:pPr>
      <w:spacing w:after="120"/>
    </w:pPr>
  </w:style>
  <w:style w:type="paragraph" w:styleId="7">
    <w:name w:val="index 7"/>
    <w:basedOn w:val="a"/>
    <w:next w:val="a"/>
    <w:qFormat/>
    <w:pPr>
      <w:ind w:left="2520"/>
    </w:pPr>
    <w:rPr>
      <w:rFonts w:eastAsia="宋体"/>
    </w:rPr>
  </w:style>
  <w:style w:type="paragraph" w:styleId="a4">
    <w:name w:val="footer"/>
    <w:basedOn w:val="a"/>
    <w:link w:val="a5"/>
    <w:uiPriority w:val="99"/>
    <w:qFormat/>
    <w:pPr>
      <w:tabs>
        <w:tab w:val="center" w:pos="4153"/>
        <w:tab w:val="right" w:pos="8306"/>
      </w:tabs>
      <w:snapToGrid w:val="0"/>
      <w:jc w:val="left"/>
    </w:pPr>
    <w:rPr>
      <w:sz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页脚 字符"/>
    <w:basedOn w:val="a0"/>
    <w:link w:val="a4"/>
    <w:uiPriority w:val="99"/>
    <w:qFormat/>
    <w:rPr>
      <w:rFonts w:ascii="Times New Roman" w:eastAsia="仿宋_GB2312" w:hAnsi="Times New Roman" w:cs="Times New Roman"/>
      <w:sz w:val="18"/>
      <w:szCs w:val="20"/>
    </w:rPr>
  </w:style>
  <w:style w:type="character" w:customStyle="1" w:styleId="a7">
    <w:name w:val="页眉 字符"/>
    <w:basedOn w:val="a0"/>
    <w:link w:val="a6"/>
    <w:qFormat/>
    <w:rPr>
      <w:rFonts w:ascii="Times New Roman" w:eastAsia="仿宋_GB2312" w:hAnsi="Times New Roman" w:cs="Times New Roman"/>
      <w:sz w:val="18"/>
      <w:szCs w:val="20"/>
    </w:rPr>
  </w:style>
  <w:style w:type="paragraph" w:customStyle="1" w:styleId="Default">
    <w:name w:val="Default"/>
    <w:qFormat/>
    <w:pPr>
      <w:widowControl w:val="0"/>
      <w:autoSpaceDE w:val="0"/>
      <w:autoSpaceDN w:val="0"/>
      <w:adjustRightInd w:val="0"/>
    </w:pPr>
    <w:rPr>
      <w:rFonts w:ascii="楷体_GB2312" w:eastAsia="楷体_GB2312" w:hAnsi="Calibri" w:cs="楷体_GB2312"/>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1220</Words>
  <Characters>6954</Characters>
  <Application>Microsoft Office Word</Application>
  <DocSecurity>0</DocSecurity>
  <Lines>57</Lines>
  <Paragraphs>16</Paragraphs>
  <ScaleCrop>false</ScaleCrop>
  <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陈炼</dc:creator>
  <cp:lastModifiedBy>lj</cp:lastModifiedBy>
  <cp:revision>2</cp:revision>
  <cp:lastPrinted>2022-11-30T17:09:00Z</cp:lastPrinted>
  <dcterms:created xsi:type="dcterms:W3CDTF">2023-01-16T07:39:00Z</dcterms:created>
  <dcterms:modified xsi:type="dcterms:W3CDTF">2023-01-16T07:39:00Z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6BFED0B675864617BEFE1CA96C55B08A</vt:lpwstr>
  </property>
</Properties>
</file>