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06"/>
        </w:tabs>
        <w:spacing w:line="800" w:lineRule="exact"/>
        <w:rPr>
          <w:rFonts w:hint="eastAsia" w:ascii="黑体" w:hAnsi="黑体" w:eastAsia="黑体" w:cs="黑体"/>
          <w:b w:val="0"/>
          <w:bCs w:val="0"/>
          <w:color w:val="auto"/>
          <w:w w:val="100"/>
          <w:sz w:val="32"/>
          <w:szCs w:val="32"/>
          <w:lang w:val="en-US" w:eastAsia="zh-CN"/>
        </w:rPr>
      </w:pPr>
      <w:r>
        <w:rPr>
          <w:rFonts w:hint="eastAsia" w:ascii="黑体" w:hAnsi="黑体" w:eastAsia="黑体" w:cs="黑体"/>
          <w:b w:val="0"/>
          <w:bCs w:val="0"/>
          <w:color w:val="auto"/>
          <w:w w:val="100"/>
          <w:sz w:val="32"/>
          <w:szCs w:val="32"/>
          <w:lang w:val="en-US" w:eastAsia="zh-CN"/>
        </w:rPr>
        <w:t>HNPR-2022-11015</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outlineLvl w:val="1"/>
        <w:rPr>
          <w:rFonts w:hint="default" w:ascii="Times New Roman" w:hAnsi="Times New Roman" w:cs="Times New Roman"/>
          <w:bCs/>
          <w:color w:val="auto"/>
          <w:sz w:val="44"/>
          <w:szCs w:val="44"/>
        </w:rPr>
      </w:pPr>
    </w:p>
    <w:p>
      <w:pPr>
        <w:rPr>
          <w:rFonts w:hint="default" w:ascii="Times New Roman" w:hAnsi="Times New Roman" w:cs="Times New Roman"/>
          <w:bCs/>
          <w:color w:val="auto"/>
          <w:sz w:val="44"/>
          <w:szCs w:val="44"/>
        </w:rPr>
      </w:pPr>
    </w:p>
    <w:p>
      <w:pPr>
        <w:pStyle w:val="2"/>
        <w:rPr>
          <w:rFonts w:hint="default" w:ascii="Times New Roman" w:hAnsi="Times New Roman" w:cs="Times New Roman"/>
          <w:bCs/>
          <w:color w:val="auto"/>
          <w:sz w:val="44"/>
          <w:szCs w:val="44"/>
        </w:rPr>
      </w:pPr>
    </w:p>
    <w:p>
      <w:pPr>
        <w:pStyle w:val="2"/>
        <w:rPr>
          <w:rFonts w:hint="default" w:ascii="Times New Roman" w:hAnsi="Times New Roman" w:cs="Times New Roman"/>
          <w:bCs/>
          <w:color w:val="auto"/>
          <w:sz w:val="44"/>
          <w:szCs w:val="44"/>
        </w:rPr>
      </w:pPr>
    </w:p>
    <w:p>
      <w:pPr>
        <w:pStyle w:val="2"/>
        <w:rPr>
          <w:rFonts w:hint="default" w:ascii="Times New Roman" w:hAnsi="Times New Roman" w:cs="Times New Roman"/>
          <w:bCs/>
          <w:color w:val="auto"/>
          <w:sz w:val="44"/>
          <w:szCs w:val="44"/>
        </w:rPr>
      </w:pPr>
    </w:p>
    <w:p>
      <w:pPr>
        <w:pStyle w:val="2"/>
        <w:ind w:left="0" w:leftChars="0" w:hanging="18" w:firstLineChars="0"/>
        <w:jc w:val="center"/>
        <w:rPr>
          <w:rFonts w:hint="default" w:ascii="Times New Roman" w:hAnsi="Times New Roman" w:cs="Times New Roman"/>
          <w:bCs/>
          <w:color w:val="auto"/>
          <w:sz w:val="44"/>
          <w:szCs w:val="44"/>
        </w:rPr>
      </w:pPr>
      <w:r>
        <w:rPr>
          <w:rFonts w:hint="eastAsia" w:ascii="仿宋" w:eastAsia="仿宋"/>
          <w:sz w:val="32"/>
          <w:szCs w:val="32"/>
        </w:rPr>
        <w:t>湘人社规〔2022〕</w:t>
      </w:r>
      <w:r>
        <w:rPr>
          <w:rFonts w:hint="eastAsia" w:ascii="仿宋" w:eastAsia="仿宋"/>
          <w:sz w:val="32"/>
          <w:szCs w:val="32"/>
          <w:lang w:val="en-US" w:eastAsia="zh-CN"/>
        </w:rPr>
        <w:t>1</w:t>
      </w:r>
      <w:r>
        <w:rPr>
          <w:rFonts w:hint="default" w:ascii="仿宋" w:eastAsia="仿宋"/>
          <w:sz w:val="32"/>
          <w:szCs w:val="32"/>
          <w:lang w:val="en" w:eastAsia="zh-CN"/>
        </w:rPr>
        <w:t>5</w:t>
      </w:r>
      <w:r>
        <w:rPr>
          <w:rFonts w:hint="eastAsia" w:ascii="仿宋" w:eastAsia="仿宋"/>
          <w:sz w:val="32"/>
          <w:szCs w:val="32"/>
        </w:rPr>
        <w:t>号</w:t>
      </w:r>
      <w:bookmarkStart w:id="0" w:name="_GoBack"/>
      <w:bookmarkEnd w:id="0"/>
    </w:p>
    <w:p>
      <w:pPr>
        <w:spacing w:line="592"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湖南省人力资源和社会保障厅</w:t>
      </w:r>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rPr>
        <w:t>国家税务总局湖南省税务局</w:t>
      </w:r>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rPr>
        <w:t>关于特困行业阶段性实施缓缴企业社会保险费政策的通知</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topLinePunct w:val="0"/>
        <w:autoSpaceDE/>
        <w:autoSpaceDN/>
        <w:bidi w:val="0"/>
        <w:adjustRightInd/>
        <w:snapToGrid/>
        <w:spacing w:line="592" w:lineRule="exac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各市州人力资源和社会保障局、国家税务总局湖南省各市州税务局：</w:t>
      </w:r>
    </w:p>
    <w:p>
      <w:pPr>
        <w:keepNext w:val="0"/>
        <w:keepLines w:val="0"/>
        <w:pageBreakBefore w:val="0"/>
        <w:widowControl w:val="0"/>
        <w:kinsoku/>
        <w:wordWrap/>
        <w:topLinePunct w:val="0"/>
        <w:autoSpaceDE/>
        <w:autoSpaceDN/>
        <w:bidi w:val="0"/>
        <w:adjustRightInd/>
        <w:snapToGrid/>
        <w:spacing w:line="592" w:lineRule="exact"/>
        <w:ind w:firstLine="640"/>
        <w:jc w:val="both"/>
        <w:textAlignment w:val="auto"/>
        <w:outlineLvl w:val="9"/>
        <w:rPr>
          <w:rFonts w:hint="default" w:ascii="Times New Roman" w:hAnsi="Times New Roman" w:eastAsia="仿宋_GB2312" w:cs="Times New Roman"/>
          <w:sz w:val="32"/>
          <w:szCs w:val="32"/>
        </w:rPr>
        <w:sectPr>
          <w:pgSz w:w="11906" w:h="16838"/>
          <w:pgMar w:top="2098" w:right="1474" w:bottom="1984" w:left="1587" w:header="851" w:footer="992" w:gutter="0"/>
          <w:pgNumType w:fmt="numberInDash" w:start="2"/>
          <w:cols w:space="720" w:num="1"/>
          <w:docGrid w:type="lines" w:linePitch="312" w:charSpace="0"/>
        </w:sectPr>
      </w:pPr>
      <w:r>
        <w:rPr>
          <w:rFonts w:hint="default" w:ascii="Times New Roman" w:hAnsi="Times New Roman" w:eastAsia="仿宋_GB2312" w:cs="Times New Roman"/>
          <w:sz w:val="32"/>
          <w:szCs w:val="32"/>
        </w:rPr>
        <w:t>为切实帮助特困行业纾困，促进市场主体恢复发展，根据《人力资源社会保障部办公厅国家税务总局办公厅关于特困行业阶段性实施缓缴企业社会保险费政策的通知》（人社厅发〔2022〕16号）和《湖南省人民政府办公厅关于印发〈湖南省促进服务业领域部分困难行业恢复发展的若干政策〉的通知》（湘政办发〔2022〕14号）精神，现就阶段性缓缴特困行业企业职工基本养老保险费、失业保险费、工伤保险费（以下简称“三项社保费”）</w:t>
      </w:r>
    </w:p>
    <w:p>
      <w:pPr>
        <w:keepNext w:val="0"/>
        <w:keepLines w:val="0"/>
        <w:pageBreakBefore w:val="0"/>
        <w:widowControl w:val="0"/>
        <w:kinsoku/>
        <w:wordWrap/>
        <w:topLinePunct w:val="0"/>
        <w:autoSpaceDE/>
        <w:autoSpaceDN/>
        <w:bidi w:val="0"/>
        <w:adjustRightInd/>
        <w:snapToGrid/>
        <w:spacing w:line="592" w:lineRule="exact"/>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有关事项通知如下：</w:t>
      </w:r>
    </w:p>
    <w:p>
      <w:pPr>
        <w:keepNext w:val="0"/>
        <w:keepLines w:val="0"/>
        <w:pageBreakBefore w:val="0"/>
        <w:widowControl w:val="0"/>
        <w:kinsoku/>
        <w:wordWrap/>
        <w:topLinePunct w:val="0"/>
        <w:autoSpaceDE/>
        <w:autoSpaceDN/>
        <w:bidi w:val="0"/>
        <w:adjustRightInd/>
        <w:snapToGrid/>
        <w:spacing w:line="592" w:lineRule="exact"/>
        <w:ind w:firstLine="64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一、适用范围</w:t>
      </w:r>
    </w:p>
    <w:p>
      <w:pPr>
        <w:keepNext w:val="0"/>
        <w:keepLines w:val="0"/>
        <w:pageBreakBefore w:val="0"/>
        <w:widowControl w:val="0"/>
        <w:kinsoku/>
        <w:wordWrap/>
        <w:topLinePunct w:val="0"/>
        <w:autoSpaceDE/>
        <w:autoSpaceDN/>
        <w:bidi w:val="0"/>
        <w:adjustRightInd/>
        <w:snapToGrid/>
        <w:spacing w:line="592" w:lineRule="exact"/>
        <w:ind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缓缴适用于餐饮、零售、旅游、民航、公路水路铁路运输企业三项社保费的单位应缴纳部分。上述行业中以单位方式参加社会保险的有雇工的个体工商户以及其他单位，参照企业办法缓缴。对职工个人应缴纳部分，企业应依法履行代扣代缴义务。</w:t>
      </w:r>
    </w:p>
    <w:p>
      <w:pPr>
        <w:keepNext w:val="0"/>
        <w:keepLines w:val="0"/>
        <w:pageBreakBefore w:val="0"/>
        <w:widowControl w:val="0"/>
        <w:kinsoku/>
        <w:wordWrap/>
        <w:topLinePunct w:val="0"/>
        <w:autoSpaceDE/>
        <w:autoSpaceDN/>
        <w:bidi w:val="0"/>
        <w:adjustRightInd/>
        <w:snapToGrid/>
        <w:spacing w:line="592" w:lineRule="exact"/>
        <w:ind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个人身份参加企业职工基本养老保险的个体工商户和各类灵活就业人员，2022年缴纳费款有困难的，可自愿暂缓缴费，2022年未缴费月度可于2023年底前进行补缴，缴费基数在2023年全省个人缴费基数上下限范围内自主选择，缴费年限累计计算。</w:t>
      </w:r>
    </w:p>
    <w:p>
      <w:pPr>
        <w:keepNext w:val="0"/>
        <w:keepLines w:val="0"/>
        <w:pageBreakBefore w:val="0"/>
        <w:widowControl w:val="0"/>
        <w:kinsoku/>
        <w:wordWrap/>
        <w:topLinePunct w:val="0"/>
        <w:autoSpaceDE/>
        <w:autoSpaceDN/>
        <w:bidi w:val="0"/>
        <w:adjustRightInd/>
        <w:snapToGrid/>
        <w:spacing w:line="592" w:lineRule="exact"/>
        <w:ind w:firstLine="64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二、实施期限</w:t>
      </w:r>
    </w:p>
    <w:p>
      <w:pPr>
        <w:keepNext w:val="0"/>
        <w:keepLines w:val="0"/>
        <w:pageBreakBefore w:val="0"/>
        <w:widowControl w:val="0"/>
        <w:kinsoku/>
        <w:wordWrap/>
        <w:topLinePunct w:val="0"/>
        <w:autoSpaceDE/>
        <w:autoSpaceDN/>
        <w:bidi w:val="0"/>
        <w:adjustRightInd/>
        <w:snapToGrid/>
        <w:spacing w:line="592" w:lineRule="exact"/>
        <w:ind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企业职工基本养老保险费缓缴费款所属期为2022年4月至6月。失业保险费、工伤保险费缓缴费款所属期为2022年4月至2023年3月，在此期间，企业可申请不同期限的缓缴。</w:t>
      </w:r>
    </w:p>
    <w:p>
      <w:pPr>
        <w:keepNext w:val="0"/>
        <w:keepLines w:val="0"/>
        <w:pageBreakBefore w:val="0"/>
        <w:widowControl w:val="0"/>
        <w:kinsoku/>
        <w:wordWrap/>
        <w:topLinePunct w:val="0"/>
        <w:autoSpaceDE/>
        <w:autoSpaceDN/>
        <w:bidi w:val="0"/>
        <w:adjustRightInd/>
        <w:snapToGrid/>
        <w:spacing w:line="592" w:lineRule="exact"/>
        <w:ind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已缴纳所属期为2022年4月费款的企业，可从5月起申请缓缴，缓缴月份相应顺延一个月，也可申请退回4月费款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已缴纳所属期为2022年5月费款的企业，可申请退回5月费款</w:t>
      </w:r>
      <w:r>
        <w:rPr>
          <w:rFonts w:hint="default" w:ascii="Times New Roman" w:hAnsi="Times New Roman" w:eastAsia="仿宋_GB2312" w:cs="Times New Roman"/>
          <w:sz w:val="32"/>
          <w:szCs w:val="32"/>
          <w:lang w:eastAsia="zh-CN"/>
        </w:rPr>
        <w:t>。上述企业在</w:t>
      </w:r>
      <w:r>
        <w:rPr>
          <w:rFonts w:hint="default" w:ascii="Times New Roman" w:hAnsi="Times New Roman" w:eastAsia="仿宋_GB2312" w:cs="Times New Roman"/>
          <w:sz w:val="32"/>
          <w:szCs w:val="32"/>
        </w:rPr>
        <w:t>缓缴期间免收滞纳金。尚未缴纳所属期为2022年4月费款的企业（含以单位方式参加社会保险的有雇工的个体工商户以及其他单位，下同），经申请同意缓缴后，企业在缓缴申请通过后一个月内补缴职工个人应缴纳部分的，免收滞纳金，逾期未缴纳按规定收取滞纳金。</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三、办理流程</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缓缴期限内，企业凭营业执照复印件、《特困行业企业阶段性缓缴社会保险费申请表》（见附件）向参保地社保经办机构申请缓缴，经参保地社保经办机构审核通过后实施缓缴。对以个人身份参加企业职工基本养老保险的个体工商户和各类灵活就业人员，由省级税务部门在系统中直接设置实施缓缴，无需履行申请手续。</w:t>
      </w:r>
    </w:p>
    <w:p>
      <w:pPr>
        <w:keepNext w:val="0"/>
        <w:keepLines w:val="0"/>
        <w:pageBreakBefore w:val="0"/>
        <w:widowControl w:val="0"/>
        <w:kinsoku/>
        <w:wordWrap/>
        <w:topLinePunct w:val="0"/>
        <w:autoSpaceDE/>
        <w:autoSpaceDN/>
        <w:bidi w:val="0"/>
        <w:adjustRightInd/>
        <w:snapToGrid/>
        <w:spacing w:line="592" w:lineRule="exact"/>
        <w:ind w:firstLine="64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四、资格认定</w:t>
      </w:r>
    </w:p>
    <w:p>
      <w:pPr>
        <w:keepNext w:val="0"/>
        <w:keepLines w:val="0"/>
        <w:pageBreakBefore w:val="0"/>
        <w:widowControl w:val="0"/>
        <w:kinsoku/>
        <w:wordWrap/>
        <w:topLinePunct w:val="0"/>
        <w:autoSpaceDE/>
        <w:autoSpaceDN/>
        <w:bidi w:val="0"/>
        <w:adjustRightInd/>
        <w:snapToGrid/>
        <w:spacing w:line="592" w:lineRule="exact"/>
        <w:ind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所属行业类型原则上以企业参保登记时自行申报的行业类型为依据。现有信息无法满足划分行业类型需要的，由企业出具营业执照复印件，依据营业执照上经营范围判断所属行业，同时企业应就所属行业类型做出书面承诺，并承担相应法律责任。</w:t>
      </w:r>
    </w:p>
    <w:p>
      <w:pPr>
        <w:keepNext w:val="0"/>
        <w:keepLines w:val="0"/>
        <w:pageBreakBefore w:val="0"/>
        <w:widowControl w:val="0"/>
        <w:kinsoku/>
        <w:wordWrap/>
        <w:topLinePunct w:val="0"/>
        <w:autoSpaceDE/>
        <w:autoSpaceDN/>
        <w:bidi w:val="0"/>
        <w:adjustRightInd/>
        <w:snapToGrid/>
        <w:spacing w:line="592" w:lineRule="exact"/>
        <w:ind w:firstLine="64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五、补缴费款</w:t>
      </w:r>
    </w:p>
    <w:p>
      <w:pPr>
        <w:keepNext w:val="0"/>
        <w:keepLines w:val="0"/>
        <w:pageBreakBefore w:val="0"/>
        <w:widowControl w:val="0"/>
        <w:kinsoku/>
        <w:wordWrap/>
        <w:topLinePunct w:val="0"/>
        <w:autoSpaceDE/>
        <w:autoSpaceDN/>
        <w:bidi w:val="0"/>
        <w:adjustRightInd/>
        <w:snapToGrid/>
        <w:spacing w:line="592" w:lineRule="exact"/>
        <w:ind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缓缴企业应在缓缴期满后的一个月内补缴缓缴的失业保险、工伤保险费款，缓缴的企业职工基本养老保险费最迟于2022年底前补缴到位，期间免收滞纳金。企业可根据实际需要，提前申报缴纳缓缴的费款，税务部门应及时征收。企业依法注销的，应当在注销前缴纳缓缴的费款，相关部门按照注销流程及时办理。税务部门应在2022年11月提醒还未补缴基本养老保险费的企业进行补缴，在2023年3月提醒还未补缴失业保险费和工伤保险费的企业进行补缴。</w:t>
      </w:r>
    </w:p>
    <w:p>
      <w:pPr>
        <w:keepNext w:val="0"/>
        <w:keepLines w:val="0"/>
        <w:pageBreakBefore w:val="0"/>
        <w:widowControl w:val="0"/>
        <w:kinsoku/>
        <w:wordWrap/>
        <w:topLinePunct w:val="0"/>
        <w:autoSpaceDE/>
        <w:autoSpaceDN/>
        <w:bidi w:val="0"/>
        <w:adjustRightInd/>
        <w:snapToGrid/>
        <w:spacing w:line="592" w:lineRule="exact"/>
        <w:ind w:firstLine="64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六、权益处理</w:t>
      </w:r>
    </w:p>
    <w:p>
      <w:pPr>
        <w:keepNext w:val="0"/>
        <w:keepLines w:val="0"/>
        <w:pageBreakBefore w:val="0"/>
        <w:widowControl w:val="0"/>
        <w:kinsoku/>
        <w:wordWrap/>
        <w:topLinePunct w:val="0"/>
        <w:autoSpaceDE/>
        <w:autoSpaceDN/>
        <w:bidi w:val="0"/>
        <w:adjustRightInd/>
        <w:snapToGrid/>
        <w:spacing w:line="592" w:lineRule="exact"/>
        <w:ind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缓缴期间，不影响企业正常社会保险业务的办理以及企业和参保人员各项社会保险权益的享受。</w:t>
      </w:r>
    </w:p>
    <w:p>
      <w:pPr>
        <w:keepNext w:val="0"/>
        <w:keepLines w:val="0"/>
        <w:pageBreakBefore w:val="0"/>
        <w:widowControl w:val="0"/>
        <w:kinsoku/>
        <w:wordWrap/>
        <w:topLinePunct w:val="0"/>
        <w:autoSpaceDE/>
        <w:autoSpaceDN/>
        <w:bidi w:val="0"/>
        <w:adjustRightInd/>
        <w:snapToGrid/>
        <w:spacing w:line="592" w:lineRule="exact"/>
        <w:ind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（一）对需要办理关系转移、待遇申领、参保终止的职工，企业应先为其补齐缓缴的基本养老保险费，缓缴的失业保险费和工伤保险费待缓缴期满后一并补缴。对新参保职工，企业应自参保当月起为其</w:t>
      </w:r>
      <w:r>
        <w:rPr>
          <w:rFonts w:hint="default" w:ascii="Times New Roman" w:hAnsi="Times New Roman" w:eastAsia="仿宋_GB2312" w:cs="Times New Roman"/>
          <w:sz w:val="32"/>
          <w:szCs w:val="32"/>
          <w:lang w:eastAsia="zh-CN"/>
        </w:rPr>
        <w:t>代扣</w:t>
      </w:r>
      <w:r>
        <w:rPr>
          <w:rFonts w:hint="default" w:ascii="Times New Roman" w:hAnsi="Times New Roman" w:eastAsia="仿宋_GB2312" w:cs="Times New Roman"/>
          <w:sz w:val="32"/>
          <w:szCs w:val="32"/>
        </w:rPr>
        <w:t>代缴个人应缴纳部分，单位部分相应进行缓缴。</w:t>
      </w:r>
    </w:p>
    <w:p>
      <w:pPr>
        <w:keepNext w:val="0"/>
        <w:keepLines w:val="0"/>
        <w:pageBreakBefore w:val="0"/>
        <w:widowControl w:val="0"/>
        <w:kinsoku/>
        <w:wordWrap/>
        <w:topLinePunct w:val="0"/>
        <w:autoSpaceDE/>
        <w:autoSpaceDN/>
        <w:bidi w:val="0"/>
        <w:adjustRightInd/>
        <w:snapToGrid/>
        <w:spacing w:line="592" w:lineRule="exact"/>
        <w:ind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缓缴失业保险费不影响企业享受阶段性降低失业保险费率和稳岗返还政策、不影响参保职工享受技能提升补贴政策、不影响参保失业人员享受失业保险金或失业补助金等相关待遇。缓缴工伤保险费不影响企业享受阶段性降低工伤保险费率政策和职工享受工伤保险待遇。</w:t>
      </w:r>
    </w:p>
    <w:p>
      <w:pPr>
        <w:keepNext w:val="0"/>
        <w:keepLines w:val="0"/>
        <w:pageBreakBefore w:val="0"/>
        <w:widowControl w:val="0"/>
        <w:kinsoku/>
        <w:wordWrap/>
        <w:topLinePunct w:val="0"/>
        <w:autoSpaceDE/>
        <w:autoSpaceDN/>
        <w:bidi w:val="0"/>
        <w:adjustRightInd/>
        <w:snapToGrid/>
        <w:spacing w:line="592" w:lineRule="exact"/>
        <w:ind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（三）以个人身份参加企业职工基本养老保险的个体工商户和各类灵活就业人员，在2023年补缴2022年费款的，计算养老保险待遇时以2022年全省全口径城镇单位就业人员平均工资计算2022年缴费指数。</w:t>
      </w:r>
    </w:p>
    <w:p>
      <w:pPr>
        <w:keepNext w:val="0"/>
        <w:keepLines w:val="0"/>
        <w:pageBreakBefore w:val="0"/>
        <w:widowControl w:val="0"/>
        <w:kinsoku/>
        <w:wordWrap/>
        <w:topLinePunct w:val="0"/>
        <w:autoSpaceDE/>
        <w:autoSpaceDN/>
        <w:bidi w:val="0"/>
        <w:adjustRightInd/>
        <w:snapToGrid/>
        <w:spacing w:line="592" w:lineRule="exact"/>
        <w:ind w:firstLine="64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七、其他事项</w:t>
      </w:r>
    </w:p>
    <w:p>
      <w:pPr>
        <w:keepNext w:val="0"/>
        <w:keepLines w:val="0"/>
        <w:pageBreakBefore w:val="0"/>
        <w:widowControl w:val="0"/>
        <w:kinsoku/>
        <w:wordWrap/>
        <w:topLinePunct w:val="0"/>
        <w:autoSpaceDE/>
        <w:autoSpaceDN/>
        <w:bidi w:val="0"/>
        <w:adjustRightInd/>
        <w:snapToGrid/>
        <w:spacing w:line="592" w:lineRule="exact"/>
        <w:ind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（一）对延缓至2023年缴纳的费款所属期为2022年的失业保险费和工伤保险费,在各地 2022年社会保险费征缴目标任务考核中相应予以调减,在2023 年社会保险费征缴目标任务考核中相应增加。</w:t>
      </w:r>
    </w:p>
    <w:p>
      <w:pPr>
        <w:keepNext w:val="0"/>
        <w:keepLines w:val="0"/>
        <w:pageBreakBefore w:val="0"/>
        <w:widowControl w:val="0"/>
        <w:kinsoku/>
        <w:wordWrap/>
        <w:topLinePunct w:val="0"/>
        <w:autoSpaceDE/>
        <w:autoSpaceDN/>
        <w:bidi w:val="0"/>
        <w:adjustRightInd/>
        <w:snapToGrid/>
        <w:spacing w:line="592" w:lineRule="exact"/>
        <w:ind w:firstLine="640"/>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二）各级人力资源和社会保障、税务部门要高度重视、协同配合，社会保险经办机构要实时通过信息共享平台将缓缴企业名称、统一社会信用代码、企业行业类型、缓缴险种及属期、缓缴期限、单位类型（包括企业、事业单位、有雇工的个体工商户、社会团体等）等信息传递至税务部门，税务部门及时为特困企业缓缴单位应缴部分，推动缓缴政策落实落地。在执行中遇有重大情况和问题，要及时上报主管部门。</w:t>
      </w:r>
    </w:p>
    <w:p>
      <w:pPr>
        <w:keepNext w:val="0"/>
        <w:keepLines w:val="0"/>
        <w:pageBreakBefore w:val="0"/>
        <w:widowControl w:val="0"/>
        <w:kinsoku/>
        <w:wordWrap/>
        <w:topLinePunct w:val="0"/>
        <w:autoSpaceDE/>
        <w:autoSpaceDN/>
        <w:bidi w:val="0"/>
        <w:adjustRightInd/>
        <w:snapToGrid/>
        <w:spacing w:line="592" w:lineRule="exact"/>
        <w:ind w:firstLine="64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本文件有效期至</w:t>
      </w:r>
      <w:r>
        <w:rPr>
          <w:rFonts w:hint="default" w:ascii="Times New Roman" w:hAnsi="Times New Roman" w:eastAsia="仿宋_GB2312" w:cs="Times New Roman"/>
          <w:sz w:val="32"/>
          <w:szCs w:val="32"/>
          <w:lang w:val="en-US" w:eastAsia="zh-CN"/>
        </w:rPr>
        <w:t>2023年12月31日。</w:t>
      </w:r>
    </w:p>
    <w:p>
      <w:pPr>
        <w:keepNext w:val="0"/>
        <w:keepLines w:val="0"/>
        <w:pageBreakBefore w:val="0"/>
        <w:widowControl w:val="0"/>
        <w:kinsoku/>
        <w:wordWrap/>
        <w:topLinePunct w:val="0"/>
        <w:autoSpaceDE/>
        <w:autoSpaceDN/>
        <w:bidi w:val="0"/>
        <w:adjustRightInd/>
        <w:snapToGrid/>
        <w:spacing w:line="592" w:lineRule="exact"/>
        <w:ind w:firstLine="64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topLinePunct w:val="0"/>
        <w:autoSpaceDE/>
        <w:autoSpaceDN/>
        <w:bidi w:val="0"/>
        <w:adjustRightInd/>
        <w:snapToGrid/>
        <w:spacing w:line="592" w:lineRule="exact"/>
        <w:ind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附件：特困行业企业阶段性缓缴社会保险费申请表</w:t>
      </w:r>
    </w:p>
    <w:p>
      <w:pPr>
        <w:keepNext w:val="0"/>
        <w:keepLines w:val="0"/>
        <w:pageBreakBefore w:val="0"/>
        <w:widowControl w:val="0"/>
        <w:kinsoku/>
        <w:wordWrap/>
        <w:overflowPunct/>
        <w:topLinePunct w:val="0"/>
        <w:autoSpaceDE/>
        <w:autoSpaceDN/>
        <w:bidi w:val="0"/>
        <w:adjustRightInd/>
        <w:snapToGrid/>
        <w:spacing w:line="592" w:lineRule="exact"/>
        <w:ind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textWrapping"/>
      </w:r>
    </w:p>
    <w:p>
      <w:pPr>
        <w:keepNext w:val="0"/>
        <w:keepLines w:val="0"/>
        <w:pageBreakBefore w:val="0"/>
        <w:widowControl w:val="0"/>
        <w:kinsoku/>
        <w:wordWrap/>
        <w:overflowPunct/>
        <w:topLinePunct w:val="0"/>
        <w:autoSpaceDE/>
        <w:autoSpaceDN/>
        <w:bidi w:val="0"/>
        <w:adjustRightInd/>
        <w:snapToGrid/>
        <w:spacing w:line="592" w:lineRule="exact"/>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湖南省人力资源和社会保障厅    国家税务总局湖南省税务局</w:t>
      </w:r>
    </w:p>
    <w:p>
      <w:pPr>
        <w:keepNext w:val="0"/>
        <w:keepLines w:val="0"/>
        <w:pageBreakBefore w:val="0"/>
        <w:widowControl w:val="0"/>
        <w:kinsoku/>
        <w:wordWrap/>
        <w:overflowPunct/>
        <w:topLinePunct w:val="0"/>
        <w:autoSpaceDE/>
        <w:autoSpaceDN/>
        <w:bidi w:val="0"/>
        <w:adjustRightInd/>
        <w:snapToGrid/>
        <w:spacing w:line="592" w:lineRule="exact"/>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2022年5月</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日</w:t>
      </w:r>
    </w:p>
    <w:p>
      <w:pPr>
        <w:pStyle w:val="2"/>
        <w:keepNext w:val="0"/>
        <w:keepLines w:val="0"/>
        <w:pageBreakBefore w:val="0"/>
        <w:widowControl w:val="0"/>
        <w:kinsoku/>
        <w:wordWrap/>
        <w:overflowPunct/>
        <w:topLinePunct w:val="0"/>
        <w:autoSpaceDE/>
        <w:autoSpaceDN/>
        <w:bidi w:val="0"/>
        <w:adjustRightInd/>
        <w:snapToGrid/>
        <w:spacing w:line="592"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（此件</w:t>
      </w:r>
      <w:r>
        <w:rPr>
          <w:rFonts w:hint="default" w:ascii="Times New Roman" w:hAnsi="Times New Roman" w:eastAsia="仿宋_GB2312" w:cs="Times New Roman"/>
          <w:sz w:val="32"/>
          <w:szCs w:val="32"/>
          <w:lang w:eastAsia="zh-CN"/>
        </w:rPr>
        <w:t>主动</w:t>
      </w:r>
      <w:r>
        <w:rPr>
          <w:rFonts w:hint="default" w:ascii="Times New Roman" w:hAnsi="Times New Roman" w:eastAsia="仿宋_GB2312" w:cs="Times New Roman"/>
          <w:sz w:val="32"/>
          <w:szCs w:val="32"/>
        </w:rPr>
        <w:t>公开）</w:t>
      </w:r>
    </w:p>
    <w:p>
      <w:pPr>
        <w:keepNext w:val="0"/>
        <w:keepLines w:val="0"/>
        <w:pageBreakBefore w:val="0"/>
        <w:widowControl w:val="0"/>
        <w:kinsoku/>
        <w:wordWrap/>
        <w:overflowPunct/>
        <w:topLinePunct w:val="0"/>
        <w:autoSpaceDE/>
        <w:autoSpaceDN/>
        <w:bidi w:val="0"/>
        <w:adjustRightInd/>
        <w:snapToGrid/>
        <w:spacing w:line="592" w:lineRule="exact"/>
        <w:ind w:firstLine="640"/>
        <w:textAlignment w:val="auto"/>
        <w:outlineLvl w:val="9"/>
        <w:rPr>
          <w:rFonts w:hint="default"/>
        </w:rPr>
      </w:pPr>
      <w:r>
        <w:rPr>
          <w:rFonts w:hint="default" w:ascii="Times New Roman" w:hAnsi="Times New Roman" w:eastAsia="仿宋_GB2312" w:cs="Times New Roman"/>
          <w:sz w:val="32"/>
          <w:szCs w:val="32"/>
        </w:rPr>
        <w:t>（联系单位：</w:t>
      </w:r>
      <w:r>
        <w:rPr>
          <w:rFonts w:hint="eastAsia" w:ascii="Times New Roman" w:hAnsi="Times New Roman" w:eastAsia="仿宋_GB2312" w:cs="Times New Roman"/>
          <w:sz w:val="32"/>
          <w:szCs w:val="32"/>
          <w:lang w:eastAsia="zh-CN"/>
        </w:rPr>
        <w:t>省就业服务中心</w:t>
      </w:r>
      <w:r>
        <w:rPr>
          <w:rFonts w:hint="default" w:ascii="Times New Roman" w:hAnsi="Times New Roman" w:eastAsia="仿宋_GB2312" w:cs="Times New Roman"/>
          <w:sz w:val="32"/>
          <w:szCs w:val="32"/>
        </w:rPr>
        <w:t>）</w:t>
      </w:r>
    </w:p>
    <w:p>
      <w:pPr>
        <w:spacing w:line="592" w:lineRule="exact"/>
        <w:jc w:val="left"/>
        <w:rPr>
          <w:rFonts w:hint="default" w:ascii="Times New Roman" w:hAnsi="Times New Roman" w:eastAsia="黑体" w:cs="Times New Roman"/>
          <w:sz w:val="32"/>
          <w:szCs w:val="32"/>
        </w:rPr>
      </w:pPr>
    </w:p>
    <w:p>
      <w:pPr>
        <w:spacing w:line="592" w:lineRule="exact"/>
        <w:jc w:val="left"/>
        <w:rPr>
          <w:rFonts w:hint="default" w:ascii="Times New Roman" w:hAnsi="Times New Roman" w:eastAsia="黑体" w:cs="Times New Roman"/>
          <w:sz w:val="32"/>
          <w:szCs w:val="32"/>
        </w:rPr>
      </w:pPr>
    </w:p>
    <w:p>
      <w:pPr>
        <w:spacing w:line="592" w:lineRule="exact"/>
        <w:jc w:val="left"/>
        <w:rPr>
          <w:rFonts w:hint="default" w:ascii="Times New Roman" w:hAnsi="Times New Roman" w:eastAsia="黑体" w:cs="Times New Roman"/>
          <w:sz w:val="32"/>
          <w:szCs w:val="32"/>
        </w:rPr>
      </w:pPr>
    </w:p>
    <w:p>
      <w:pPr>
        <w:spacing w:line="592"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p>
    <w:tbl>
      <w:tblPr>
        <w:tblStyle w:val="8"/>
        <w:tblpPr w:leftFromText="180" w:rightFromText="180" w:vertAnchor="text" w:horzAnchor="page" w:tblpX="1415" w:tblpY="117"/>
        <w:tblOverlap w:val="never"/>
        <w:tblW w:w="0" w:type="auto"/>
        <w:tblInd w:w="0" w:type="dxa"/>
        <w:tblLayout w:type="fixed"/>
        <w:tblCellMar>
          <w:top w:w="0" w:type="dxa"/>
          <w:left w:w="108" w:type="dxa"/>
          <w:bottom w:w="0" w:type="dxa"/>
          <w:right w:w="108" w:type="dxa"/>
        </w:tblCellMar>
      </w:tblPr>
      <w:tblGrid>
        <w:gridCol w:w="2318"/>
        <w:gridCol w:w="3058"/>
        <w:gridCol w:w="1658"/>
        <w:gridCol w:w="2429"/>
      </w:tblGrid>
      <w:tr>
        <w:tblPrEx>
          <w:tblCellMar>
            <w:top w:w="0" w:type="dxa"/>
            <w:left w:w="108" w:type="dxa"/>
            <w:bottom w:w="0" w:type="dxa"/>
            <w:right w:w="108" w:type="dxa"/>
          </w:tblCellMar>
        </w:tblPrEx>
        <w:trPr>
          <w:trHeight w:val="776" w:hRule="atLeast"/>
        </w:trPr>
        <w:tc>
          <w:tcPr>
            <w:tcW w:w="9463" w:type="dxa"/>
            <w:gridSpan w:val="4"/>
            <w:tcBorders>
              <w:top w:val="nil"/>
              <w:left w:val="nil"/>
              <w:bottom w:val="nil"/>
              <w:right w:val="nil"/>
            </w:tcBorders>
            <w:noWrap w:val="0"/>
            <w:vAlign w:val="center"/>
          </w:tcPr>
          <w:p>
            <w:pPr>
              <w:widowControl/>
              <w:spacing w:line="560" w:lineRule="exact"/>
              <w:jc w:val="center"/>
              <w:rPr>
                <w:rFonts w:hint="default" w:ascii="Times New Roman" w:hAnsi="Times New Roman" w:eastAsia="黑体" w:cs="Times New Roman"/>
                <w:kern w:val="0"/>
                <w:sz w:val="44"/>
                <w:szCs w:val="44"/>
              </w:rPr>
            </w:pPr>
            <w:r>
              <w:rPr>
                <w:rFonts w:hint="default" w:ascii="Times New Roman" w:hAnsi="Times New Roman" w:eastAsia="方正小标宋简体" w:cs="Times New Roman"/>
                <w:kern w:val="0"/>
                <w:sz w:val="36"/>
                <w:szCs w:val="36"/>
              </w:rPr>
              <w:t>特困行业企业阶段性缓缴社会保险费申请表</w:t>
            </w:r>
          </w:p>
        </w:tc>
      </w:tr>
      <w:tr>
        <w:tblPrEx>
          <w:tblCellMar>
            <w:top w:w="0" w:type="dxa"/>
            <w:left w:w="108" w:type="dxa"/>
            <w:bottom w:w="0" w:type="dxa"/>
            <w:right w:w="108" w:type="dxa"/>
          </w:tblCellMar>
        </w:tblPrEx>
        <w:trPr>
          <w:trHeight w:val="1020" w:hRule="exact"/>
        </w:trPr>
        <w:tc>
          <w:tcPr>
            <w:tcW w:w="231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单位名称</w:t>
            </w:r>
          </w:p>
        </w:tc>
        <w:tc>
          <w:tcPr>
            <w:tcW w:w="3058" w:type="dxa"/>
            <w:tcBorders>
              <w:top w:val="single" w:color="auto" w:sz="4" w:space="0"/>
              <w:left w:val="nil"/>
              <w:bottom w:val="single" w:color="auto" w:sz="4" w:space="0"/>
              <w:right w:val="single" w:color="000000" w:sz="4" w:space="0"/>
            </w:tcBorders>
            <w:noWrap w:val="0"/>
            <w:vAlign w:val="center"/>
          </w:tcPr>
          <w:p>
            <w:pPr>
              <w:widowControl/>
              <w:spacing w:line="400" w:lineRule="exact"/>
              <w:rPr>
                <w:rFonts w:hint="default" w:ascii="Times New Roman" w:hAnsi="Times New Roman" w:eastAsia="仿宋_GB2312" w:cs="Times New Roman"/>
                <w:kern w:val="0"/>
                <w:sz w:val="24"/>
              </w:rPr>
            </w:pPr>
          </w:p>
        </w:tc>
        <w:tc>
          <w:tcPr>
            <w:tcW w:w="1658" w:type="dxa"/>
            <w:tcBorders>
              <w:top w:val="single" w:color="auto" w:sz="4" w:space="0"/>
              <w:left w:val="nil"/>
              <w:bottom w:val="single" w:color="auto" w:sz="4" w:space="0"/>
              <w:right w:val="single" w:color="auto" w:sz="4" w:space="0"/>
            </w:tcBorders>
            <w:noWrap w:val="0"/>
            <w:vAlign w:val="center"/>
          </w:tcPr>
          <w:p>
            <w:pPr>
              <w:widowControl/>
              <w:spacing w:line="40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法定代表人</w:t>
            </w:r>
          </w:p>
        </w:tc>
        <w:tc>
          <w:tcPr>
            <w:tcW w:w="2429" w:type="dxa"/>
            <w:tcBorders>
              <w:top w:val="single" w:color="auto" w:sz="4" w:space="0"/>
              <w:left w:val="nil"/>
              <w:bottom w:val="single" w:color="auto" w:sz="4" w:space="0"/>
              <w:right w:val="single" w:color="auto" w:sz="4" w:space="0"/>
            </w:tcBorders>
            <w:noWrap w:val="0"/>
            <w:vAlign w:val="center"/>
          </w:tcPr>
          <w:p>
            <w:pPr>
              <w:widowControl/>
              <w:spacing w:line="400" w:lineRule="exact"/>
              <w:rPr>
                <w:rFonts w:hint="default" w:ascii="Times New Roman" w:hAnsi="Times New Roman" w:eastAsia="仿宋_GB2312" w:cs="Times New Roman"/>
                <w:kern w:val="0"/>
                <w:sz w:val="24"/>
              </w:rPr>
            </w:pPr>
          </w:p>
        </w:tc>
      </w:tr>
      <w:tr>
        <w:tblPrEx>
          <w:tblCellMar>
            <w:top w:w="0" w:type="dxa"/>
            <w:left w:w="108" w:type="dxa"/>
            <w:bottom w:w="0" w:type="dxa"/>
            <w:right w:w="108" w:type="dxa"/>
          </w:tblCellMar>
        </w:tblPrEx>
        <w:trPr>
          <w:trHeight w:val="1020" w:hRule="exact"/>
        </w:trPr>
        <w:tc>
          <w:tcPr>
            <w:tcW w:w="2318" w:type="dxa"/>
            <w:tcBorders>
              <w:top w:val="single" w:color="auto" w:sz="4" w:space="0"/>
              <w:left w:val="single" w:color="auto" w:sz="4" w:space="0"/>
              <w:bottom w:val="single" w:color="auto" w:sz="4" w:space="0"/>
              <w:right w:val="single" w:color="000000" w:sz="4" w:space="0"/>
            </w:tcBorders>
            <w:noWrap w:val="0"/>
            <w:vAlign w:val="center"/>
          </w:tcPr>
          <w:p>
            <w:pPr>
              <w:widowControl/>
              <w:spacing w:line="40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统一社会信用代码</w:t>
            </w:r>
          </w:p>
          <w:p>
            <w:pPr>
              <w:widowControl/>
              <w:spacing w:line="40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（或组织机构代码）</w:t>
            </w:r>
          </w:p>
        </w:tc>
        <w:tc>
          <w:tcPr>
            <w:tcW w:w="3058" w:type="dxa"/>
            <w:tcBorders>
              <w:top w:val="single" w:color="auto" w:sz="4" w:space="0"/>
              <w:left w:val="single" w:color="auto" w:sz="4" w:space="0"/>
              <w:bottom w:val="single" w:color="auto" w:sz="4" w:space="0"/>
              <w:right w:val="single" w:color="000000" w:sz="4" w:space="0"/>
            </w:tcBorders>
            <w:noWrap w:val="0"/>
            <w:vAlign w:val="center"/>
          </w:tcPr>
          <w:p>
            <w:pPr>
              <w:widowControl/>
              <w:spacing w:line="400" w:lineRule="exact"/>
              <w:rPr>
                <w:rFonts w:hint="default" w:ascii="Times New Roman" w:hAnsi="Times New Roman" w:eastAsia="仿宋_GB2312" w:cs="Times New Roman"/>
                <w:kern w:val="0"/>
                <w:sz w:val="24"/>
              </w:rPr>
            </w:pPr>
          </w:p>
        </w:tc>
        <w:tc>
          <w:tcPr>
            <w:tcW w:w="1658" w:type="dxa"/>
            <w:tcBorders>
              <w:top w:val="single" w:color="auto" w:sz="4" w:space="0"/>
              <w:left w:val="nil"/>
              <w:bottom w:val="single" w:color="auto" w:sz="4" w:space="0"/>
              <w:right w:val="single" w:color="auto" w:sz="4" w:space="0"/>
            </w:tcBorders>
            <w:noWrap w:val="0"/>
            <w:vAlign w:val="center"/>
          </w:tcPr>
          <w:p>
            <w:pPr>
              <w:widowControl/>
              <w:spacing w:line="40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缓缴险种</w:t>
            </w:r>
          </w:p>
        </w:tc>
        <w:tc>
          <w:tcPr>
            <w:tcW w:w="2429" w:type="dxa"/>
            <w:tcBorders>
              <w:top w:val="single" w:color="auto" w:sz="4" w:space="0"/>
              <w:left w:val="nil"/>
              <w:bottom w:val="single" w:color="auto" w:sz="4" w:space="0"/>
              <w:right w:val="single" w:color="auto" w:sz="4" w:space="0"/>
            </w:tcBorders>
            <w:noWrap w:val="0"/>
            <w:vAlign w:val="center"/>
          </w:tcPr>
          <w:p>
            <w:pPr>
              <w:widowControl/>
              <w:spacing w:line="400" w:lineRule="exact"/>
              <w:rPr>
                <w:rFonts w:hint="default" w:ascii="Times New Roman" w:hAnsi="Times New Roman" w:eastAsia="仿宋_GB2312" w:cs="Times New Roman"/>
                <w:kern w:val="0"/>
                <w:sz w:val="24"/>
              </w:rPr>
            </w:pPr>
          </w:p>
        </w:tc>
      </w:tr>
      <w:tr>
        <w:tblPrEx>
          <w:tblCellMar>
            <w:top w:w="0" w:type="dxa"/>
            <w:left w:w="108" w:type="dxa"/>
            <w:bottom w:w="0" w:type="dxa"/>
            <w:right w:w="108" w:type="dxa"/>
          </w:tblCellMar>
        </w:tblPrEx>
        <w:trPr>
          <w:trHeight w:val="1020" w:hRule="exact"/>
        </w:trPr>
        <w:tc>
          <w:tcPr>
            <w:tcW w:w="231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参保时间</w:t>
            </w:r>
          </w:p>
        </w:tc>
        <w:tc>
          <w:tcPr>
            <w:tcW w:w="3058" w:type="dxa"/>
            <w:tcBorders>
              <w:top w:val="single" w:color="auto" w:sz="4" w:space="0"/>
              <w:left w:val="nil"/>
              <w:right w:val="single" w:color="000000" w:sz="4" w:space="0"/>
            </w:tcBorders>
            <w:noWrap w:val="0"/>
            <w:vAlign w:val="center"/>
          </w:tcPr>
          <w:p>
            <w:pPr>
              <w:widowControl/>
              <w:spacing w:line="400" w:lineRule="exact"/>
              <w:rPr>
                <w:rFonts w:hint="default" w:ascii="Times New Roman" w:hAnsi="Times New Roman" w:eastAsia="仿宋_GB2312" w:cs="Times New Roman"/>
                <w:kern w:val="0"/>
                <w:sz w:val="24"/>
              </w:rPr>
            </w:pPr>
          </w:p>
        </w:tc>
        <w:tc>
          <w:tcPr>
            <w:tcW w:w="1658" w:type="dxa"/>
            <w:tcBorders>
              <w:top w:val="single" w:color="auto" w:sz="4" w:space="0"/>
              <w:left w:val="nil"/>
              <w:bottom w:val="single" w:color="auto" w:sz="4" w:space="0"/>
              <w:right w:val="single" w:color="auto" w:sz="4" w:space="0"/>
            </w:tcBorders>
            <w:noWrap w:val="0"/>
            <w:vAlign w:val="center"/>
          </w:tcPr>
          <w:p>
            <w:pPr>
              <w:widowControl/>
              <w:spacing w:line="400" w:lineRule="exact"/>
              <w:rPr>
                <w:rFonts w:hint="default" w:ascii="Times New Roman" w:hAnsi="Times New Roman" w:eastAsia="仿宋_GB2312" w:cs="Times New Roman"/>
                <w:spacing w:val="-30"/>
                <w:kern w:val="0"/>
                <w:sz w:val="24"/>
              </w:rPr>
            </w:pPr>
            <w:r>
              <w:rPr>
                <w:rFonts w:hint="default" w:ascii="Times New Roman" w:hAnsi="Times New Roman" w:eastAsia="仿宋_GB2312" w:cs="Times New Roman"/>
                <w:kern w:val="0"/>
                <w:sz w:val="24"/>
              </w:rPr>
              <w:t>参保人数</w:t>
            </w:r>
          </w:p>
        </w:tc>
        <w:tc>
          <w:tcPr>
            <w:tcW w:w="2429" w:type="dxa"/>
            <w:tcBorders>
              <w:top w:val="single" w:color="auto" w:sz="4" w:space="0"/>
              <w:left w:val="nil"/>
              <w:bottom w:val="single" w:color="auto" w:sz="4" w:space="0"/>
              <w:right w:val="single" w:color="auto" w:sz="4" w:space="0"/>
            </w:tcBorders>
            <w:noWrap w:val="0"/>
            <w:vAlign w:val="center"/>
          </w:tcPr>
          <w:p>
            <w:pPr>
              <w:widowControl/>
              <w:spacing w:line="400" w:lineRule="exact"/>
              <w:rPr>
                <w:rFonts w:hint="default" w:ascii="Times New Roman" w:hAnsi="Times New Roman" w:eastAsia="仿宋_GB2312" w:cs="Times New Roman"/>
                <w:kern w:val="0"/>
                <w:sz w:val="24"/>
              </w:rPr>
            </w:pPr>
          </w:p>
        </w:tc>
      </w:tr>
      <w:tr>
        <w:tblPrEx>
          <w:tblCellMar>
            <w:top w:w="0" w:type="dxa"/>
            <w:left w:w="108" w:type="dxa"/>
            <w:bottom w:w="0" w:type="dxa"/>
            <w:right w:w="108" w:type="dxa"/>
          </w:tblCellMar>
        </w:tblPrEx>
        <w:trPr>
          <w:trHeight w:val="1020" w:hRule="exact"/>
        </w:trPr>
        <w:tc>
          <w:tcPr>
            <w:tcW w:w="2318" w:type="dxa"/>
            <w:tcBorders>
              <w:top w:val="nil"/>
              <w:left w:val="single" w:color="auto" w:sz="4" w:space="0"/>
              <w:bottom w:val="single" w:color="auto" w:sz="4" w:space="0"/>
              <w:right w:val="single" w:color="auto" w:sz="4" w:space="0"/>
            </w:tcBorders>
            <w:noWrap w:val="0"/>
            <w:vAlign w:val="center"/>
          </w:tcPr>
          <w:p>
            <w:pPr>
              <w:widowControl/>
              <w:spacing w:line="40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申请缓缴起止时间</w:t>
            </w:r>
          </w:p>
        </w:tc>
        <w:tc>
          <w:tcPr>
            <w:tcW w:w="3058" w:type="dxa"/>
            <w:tcBorders>
              <w:top w:val="single" w:color="auto" w:sz="4" w:space="0"/>
              <w:left w:val="nil"/>
              <w:bottom w:val="single" w:color="auto" w:sz="4" w:space="0"/>
              <w:right w:val="single" w:color="000000" w:sz="4" w:space="0"/>
            </w:tcBorders>
            <w:noWrap w:val="0"/>
            <w:vAlign w:val="center"/>
          </w:tcPr>
          <w:p>
            <w:pPr>
              <w:widowControl/>
              <w:spacing w:line="400" w:lineRule="exact"/>
              <w:rPr>
                <w:rFonts w:hint="default" w:ascii="Times New Roman" w:hAnsi="Times New Roman" w:eastAsia="仿宋_GB2312" w:cs="Times New Roman"/>
                <w:kern w:val="0"/>
                <w:sz w:val="24"/>
              </w:rPr>
            </w:pPr>
          </w:p>
        </w:tc>
        <w:tc>
          <w:tcPr>
            <w:tcW w:w="1658" w:type="dxa"/>
            <w:tcBorders>
              <w:top w:val="single" w:color="auto" w:sz="4" w:space="0"/>
              <w:left w:val="nil"/>
              <w:bottom w:val="single" w:color="auto" w:sz="4" w:space="0"/>
              <w:right w:val="single" w:color="auto" w:sz="4" w:space="0"/>
            </w:tcBorders>
            <w:noWrap w:val="0"/>
            <w:vAlign w:val="center"/>
          </w:tcPr>
          <w:p>
            <w:pPr>
              <w:widowControl/>
              <w:spacing w:line="40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限缴日期</w:t>
            </w:r>
          </w:p>
        </w:tc>
        <w:tc>
          <w:tcPr>
            <w:tcW w:w="2429" w:type="dxa"/>
            <w:tcBorders>
              <w:top w:val="single" w:color="auto" w:sz="4" w:space="0"/>
              <w:left w:val="nil"/>
              <w:bottom w:val="single" w:color="auto" w:sz="4" w:space="0"/>
              <w:right w:val="single" w:color="auto" w:sz="4" w:space="0"/>
            </w:tcBorders>
            <w:noWrap w:val="0"/>
            <w:vAlign w:val="center"/>
          </w:tcPr>
          <w:p>
            <w:pPr>
              <w:widowControl/>
              <w:spacing w:line="400" w:lineRule="exact"/>
              <w:rPr>
                <w:rFonts w:hint="default" w:ascii="Times New Roman" w:hAnsi="Times New Roman" w:eastAsia="仿宋_GB2312" w:cs="Times New Roman"/>
                <w:kern w:val="0"/>
                <w:sz w:val="24"/>
              </w:rPr>
            </w:pPr>
          </w:p>
        </w:tc>
      </w:tr>
      <w:tr>
        <w:tblPrEx>
          <w:tblCellMar>
            <w:top w:w="0" w:type="dxa"/>
            <w:left w:w="108" w:type="dxa"/>
            <w:bottom w:w="0" w:type="dxa"/>
            <w:right w:w="108" w:type="dxa"/>
          </w:tblCellMar>
        </w:tblPrEx>
        <w:trPr>
          <w:trHeight w:val="90" w:hRule="atLeast"/>
        </w:trPr>
        <w:tc>
          <w:tcPr>
            <w:tcW w:w="2318" w:type="dxa"/>
            <w:tcBorders>
              <w:top w:val="nil"/>
              <w:left w:val="single" w:color="auto" w:sz="4" w:space="0"/>
              <w:bottom w:val="single" w:color="auto" w:sz="4" w:space="0"/>
              <w:right w:val="single" w:color="auto" w:sz="4" w:space="0"/>
            </w:tcBorders>
            <w:noWrap w:val="0"/>
            <w:textDirection w:val="tbRlV"/>
            <w:vAlign w:val="center"/>
          </w:tcPr>
          <w:p>
            <w:pPr>
              <w:widowControl/>
              <w:spacing w:line="400" w:lineRule="exact"/>
              <w:jc w:val="center"/>
              <w:rPr>
                <w:rFonts w:hint="default" w:ascii="Times New Roman" w:hAnsi="Times New Roman" w:eastAsia="仿宋_GB2312" w:cs="Times New Roman"/>
                <w:bCs/>
                <w:kern w:val="0"/>
                <w:sz w:val="24"/>
              </w:rPr>
            </w:pPr>
            <w:r>
              <w:rPr>
                <w:rFonts w:hint="default" w:ascii="Times New Roman" w:hAnsi="Times New Roman" w:eastAsia="仿宋_GB2312" w:cs="Times New Roman"/>
                <w:bCs/>
                <w:kern w:val="0"/>
                <w:sz w:val="24"/>
              </w:rPr>
              <w:t>单位承诺</w:t>
            </w:r>
          </w:p>
        </w:tc>
        <w:tc>
          <w:tcPr>
            <w:tcW w:w="7145" w:type="dxa"/>
            <w:gridSpan w:val="3"/>
            <w:tcBorders>
              <w:top w:val="single" w:color="auto" w:sz="4" w:space="0"/>
              <w:left w:val="nil"/>
              <w:bottom w:val="single" w:color="auto" w:sz="4" w:space="0"/>
              <w:right w:val="single" w:color="auto" w:sz="4" w:space="0"/>
            </w:tcBorders>
            <w:noWrap w:val="0"/>
            <w:vAlign w:val="center"/>
          </w:tcPr>
          <w:p>
            <w:pPr>
              <w:widowControl/>
              <w:spacing w:line="400" w:lineRule="exact"/>
              <w:ind w:firstLine="480" w:firstLineChars="20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本企业属于    行业，受疫情等影响，生产经营出现严重困难，现按规定申请缓缴      保险费，并郑重承诺：所提供的材料（营业执照复印件等）属实，在缓缴期间按时足额缴纳职工个人部分，在缓缴期满后及时将单位缓缴部分足额缴纳到位。</w:t>
            </w:r>
          </w:p>
          <w:p>
            <w:pPr>
              <w:widowControl/>
              <w:spacing w:line="400" w:lineRule="exact"/>
              <w:ind w:firstLine="480" w:firstLineChars="200"/>
              <w:rPr>
                <w:rFonts w:hint="default" w:ascii="Times New Roman" w:hAnsi="Times New Roman" w:eastAsia="仿宋_GB2312" w:cs="Times New Roman"/>
                <w:kern w:val="0"/>
                <w:sz w:val="24"/>
              </w:rPr>
            </w:pPr>
          </w:p>
          <w:p>
            <w:pPr>
              <w:widowControl/>
              <w:spacing w:line="400" w:lineRule="exact"/>
              <w:ind w:firstLine="4560" w:firstLineChars="190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年    月    日 </w:t>
            </w:r>
          </w:p>
          <w:p>
            <w:pPr>
              <w:widowControl/>
              <w:spacing w:line="400" w:lineRule="exact"/>
              <w:ind w:firstLine="4800" w:firstLineChars="200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（单位盖章）                                                     </w:t>
            </w:r>
          </w:p>
        </w:tc>
      </w:tr>
      <w:tr>
        <w:tblPrEx>
          <w:tblCellMar>
            <w:top w:w="0" w:type="dxa"/>
            <w:left w:w="108" w:type="dxa"/>
            <w:bottom w:w="0" w:type="dxa"/>
            <w:right w:w="108" w:type="dxa"/>
          </w:tblCellMar>
        </w:tblPrEx>
        <w:trPr>
          <w:trHeight w:val="2647" w:hRule="atLeast"/>
        </w:trPr>
        <w:tc>
          <w:tcPr>
            <w:tcW w:w="9463" w:type="dxa"/>
            <w:gridSpan w:val="4"/>
            <w:tcBorders>
              <w:top w:val="single" w:color="auto" w:sz="4" w:space="0"/>
              <w:left w:val="single" w:color="auto" w:sz="4" w:space="0"/>
              <w:bottom w:val="single" w:color="000000" w:sz="4" w:space="0"/>
              <w:right w:val="single" w:color="auto" w:sz="4" w:space="0"/>
            </w:tcBorders>
            <w:noWrap w:val="0"/>
            <w:vAlign w:val="top"/>
          </w:tcPr>
          <w:p>
            <w:pPr>
              <w:pStyle w:val="7"/>
              <w:spacing w:line="400" w:lineRule="exact"/>
              <w:jc w:val="both"/>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参保地经办机构意见：</w:t>
            </w:r>
          </w:p>
          <w:p>
            <w:pPr>
              <w:pStyle w:val="7"/>
              <w:spacing w:line="400" w:lineRule="exact"/>
              <w:ind w:firstLine="480" w:firstLineChars="200"/>
              <w:jc w:val="both"/>
              <w:rPr>
                <w:rFonts w:hint="default" w:ascii="Times New Roman" w:hAnsi="Times New Roman" w:eastAsia="仿宋_GB2312" w:cs="Times New Roman"/>
                <w:kern w:val="0"/>
                <w:sz w:val="24"/>
              </w:rPr>
            </w:pPr>
          </w:p>
          <w:p>
            <w:pPr>
              <w:pStyle w:val="7"/>
              <w:spacing w:line="400" w:lineRule="exact"/>
              <w:ind w:firstLine="480" w:firstLineChars="200"/>
              <w:jc w:val="both"/>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rPr>
              <w:t xml:space="preserve">按照企业申请和营业执照复印件，同意其缓缴     </w:t>
            </w:r>
            <w:r>
              <w:rPr>
                <w:rFonts w:hint="default" w:ascii="Times New Roman" w:hAnsi="Times New Roman" w:eastAsia="仿宋_GB2312" w:cs="Times New Roman"/>
                <w:kern w:val="0"/>
                <w:sz w:val="24"/>
                <w:lang w:val="en-US" w:eastAsia="zh-CN"/>
              </w:rPr>
              <w:t xml:space="preserve"> </w:t>
            </w:r>
            <w:r>
              <w:rPr>
                <w:rFonts w:hint="default" w:ascii="Times New Roman" w:hAnsi="Times New Roman" w:eastAsia="仿宋_GB2312" w:cs="Times New Roman"/>
                <w:kern w:val="0"/>
                <w:sz w:val="24"/>
              </w:rPr>
              <w:t>费</w:t>
            </w:r>
            <w:r>
              <w:rPr>
                <w:rFonts w:hint="default" w:ascii="Times New Roman" w:hAnsi="Times New Roman" w:eastAsia="仿宋_GB2312" w:cs="Times New Roman"/>
                <w:kern w:val="0"/>
                <w:sz w:val="24"/>
                <w:lang w:eastAsia="zh-CN"/>
              </w:rPr>
              <w:t>，缓缴期限为</w:t>
            </w:r>
            <w:r>
              <w:rPr>
                <w:rFonts w:hint="default" w:ascii="Times New Roman" w:hAnsi="Times New Roman" w:eastAsia="仿宋_GB2312" w:cs="Times New Roman"/>
                <w:kern w:val="0"/>
                <w:sz w:val="24"/>
              </w:rPr>
              <w:t>202   年  月至202   年  月</w:t>
            </w:r>
            <w:r>
              <w:rPr>
                <w:rFonts w:hint="default" w:ascii="Times New Roman" w:hAnsi="Times New Roman" w:eastAsia="仿宋_GB2312" w:cs="Times New Roman"/>
                <w:kern w:val="0"/>
                <w:sz w:val="24"/>
                <w:lang w:eastAsia="zh-CN"/>
              </w:rPr>
              <w:t>。</w:t>
            </w:r>
          </w:p>
          <w:p>
            <w:pPr>
              <w:pStyle w:val="7"/>
              <w:spacing w:line="400" w:lineRule="exact"/>
              <w:ind w:left="2265" w:firstLine="5040" w:firstLineChars="2100"/>
              <w:jc w:val="both"/>
              <w:rPr>
                <w:rFonts w:hint="default" w:ascii="Times New Roman" w:hAnsi="Times New Roman" w:eastAsia="仿宋_GB2312" w:cs="Times New Roman"/>
                <w:kern w:val="0"/>
                <w:sz w:val="24"/>
              </w:rPr>
            </w:pPr>
          </w:p>
          <w:p>
            <w:pPr>
              <w:pStyle w:val="7"/>
              <w:spacing w:line="400" w:lineRule="exact"/>
              <w:ind w:firstLine="6960" w:firstLineChars="2900"/>
              <w:jc w:val="both"/>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年    月    日</w:t>
            </w:r>
          </w:p>
          <w:p>
            <w:pPr>
              <w:pStyle w:val="7"/>
              <w:spacing w:line="400" w:lineRule="exact"/>
              <w:ind w:right="360"/>
              <w:jc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 xml:space="preserve">                                                        （单位盖章）</w:t>
            </w:r>
          </w:p>
        </w:tc>
      </w:tr>
    </w:tbl>
    <w:p>
      <w:pPr>
        <w:spacing w:line="592"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备注：此表一式2份，缓缴企业、参保地经办机构各1份。</w:t>
      </w:r>
    </w:p>
    <w:p>
      <w:pPr>
        <w:pStyle w:val="2"/>
        <w:rPr>
          <w:rFonts w:hint="default" w:ascii="Times New Roman" w:hAnsi="Times New Roman" w:eastAsia="仿宋_GB2312" w:cs="Times New Roman"/>
          <w:sz w:val="24"/>
        </w:rPr>
      </w:pPr>
    </w:p>
    <w:p>
      <w:pPr>
        <w:keepNext w:val="0"/>
        <w:keepLines w:val="0"/>
        <w:pageBreakBefore w:val="0"/>
        <w:widowControl w:val="0"/>
        <w:pBdr>
          <w:top w:val="single" w:color="auto" w:sz="4" w:space="0"/>
          <w:left w:val="none" w:color="auto" w:sz="0" w:space="0"/>
          <w:bottom w:val="single" w:color="auto" w:sz="4" w:space="0"/>
          <w:right w:val="none" w:color="auto" w:sz="0" w:space="0"/>
          <w:between w:val="single" w:color="auto" w:sz="4" w:space="0"/>
        </w:pBdr>
        <w:kinsoku/>
        <w:wordWrap/>
        <w:overflowPunct/>
        <w:topLinePunct w:val="0"/>
        <w:autoSpaceDE/>
        <w:autoSpaceDN/>
        <w:bidi w:val="0"/>
        <w:adjustRightInd/>
        <w:snapToGrid/>
        <w:spacing w:line="400" w:lineRule="exact"/>
        <w:textAlignment w:val="auto"/>
        <w:outlineLvl w:val="9"/>
        <w:rPr>
          <w:rFonts w:hint="default" w:ascii="Times New Roman" w:hAnsi="Times New Roman" w:eastAsia="仿宋_GB2312" w:cs="Times New Roman"/>
          <w:sz w:val="24"/>
        </w:rPr>
      </w:pPr>
      <w:r>
        <w:rPr>
          <w:rFonts w:hint="default" w:ascii="Times New Roman" w:hAnsi="Times New Roman" w:eastAsia="楷体_GB2312" w:cs="Times New Roman"/>
          <w:sz w:val="28"/>
          <w:szCs w:val="28"/>
          <w:lang w:val="en-US" w:eastAsia="zh-CN"/>
        </w:rPr>
        <w:t xml:space="preserve"> </w:t>
      </w:r>
      <w:r>
        <w:rPr>
          <w:rFonts w:hint="default" w:ascii="Times New Roman" w:hAnsi="Times New Roman" w:eastAsia="仿宋_GB2312" w:cs="Times New Roman"/>
          <w:sz w:val="28"/>
          <w:szCs w:val="28"/>
        </w:rPr>
        <w:t xml:space="preserve"> 湖南省人力资源和社会保障厅办公室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22</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lang w:val="en-US" w:eastAsia="zh-CN"/>
        </w:rPr>
        <w:t>19</w:t>
      </w:r>
      <w:r>
        <w:rPr>
          <w:rFonts w:hint="default" w:ascii="Times New Roman" w:hAnsi="Times New Roman" w:eastAsia="仿宋_GB2312" w:cs="Times New Roman"/>
          <w:sz w:val="28"/>
          <w:szCs w:val="28"/>
        </w:rPr>
        <w:t>日印</w:t>
      </w:r>
      <w:r>
        <w:rPr>
          <w:rFonts w:hint="default" w:ascii="Times New Roman" w:hAnsi="Times New Roman" w:eastAsia="仿宋_GB2312" w:cs="Times New Roman"/>
          <w:sz w:val="28"/>
          <w:szCs w:val="28"/>
          <w:lang w:eastAsia="zh-CN"/>
        </w:rPr>
        <w:t>发</w:t>
      </w:r>
    </w:p>
    <w:sectPr>
      <w:footerReference r:id="rId3" w:type="default"/>
      <w:pgSz w:w="11906" w:h="16838"/>
      <w:pgMar w:top="2098" w:right="1474" w:bottom="1984" w:left="1587" w:header="851" w:footer="992" w:gutter="0"/>
      <w:pgNumType w:fmt="numberInDash"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- 6 -</w:t>
                          </w:r>
                          <w:r>
                            <w:rPr>
                              <w:rFonts w:hint="eastAsia" w:ascii="宋体" w:hAnsi="宋体" w:eastAsia="宋体" w:cs="宋体"/>
                              <w:sz w:val="28"/>
                              <w:szCs w:val="28"/>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rg6jf7QBAABSAwAADgAAAAAAAAABACAAAAA0AQAAZHJzL2Uyb0Rv&#10;Yy54bWxQSwUGAAAAAAYABgBZAQAAWgUAAAAA&#10;">
              <v:fill on="f" focussize="0,0"/>
              <v:stroke on="f"/>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- 6 -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2OGY4YjM2Zjc3ZTVlOGYxNjRkNzhkMDljZjU0NGUifQ=="/>
  </w:docVars>
  <w:rsids>
    <w:rsidRoot w:val="00132FDE"/>
    <w:rsid w:val="00132FDE"/>
    <w:rsid w:val="00192B33"/>
    <w:rsid w:val="00A805D8"/>
    <w:rsid w:val="00AF0EC0"/>
    <w:rsid w:val="00CA09F4"/>
    <w:rsid w:val="010D66B0"/>
    <w:rsid w:val="01606954"/>
    <w:rsid w:val="026D2E40"/>
    <w:rsid w:val="02F77A30"/>
    <w:rsid w:val="035B70F8"/>
    <w:rsid w:val="050F05C1"/>
    <w:rsid w:val="056D202B"/>
    <w:rsid w:val="062E0F1B"/>
    <w:rsid w:val="067C095E"/>
    <w:rsid w:val="06E459CB"/>
    <w:rsid w:val="06E45A7E"/>
    <w:rsid w:val="083D71F3"/>
    <w:rsid w:val="08D538D0"/>
    <w:rsid w:val="091F50EA"/>
    <w:rsid w:val="0983078B"/>
    <w:rsid w:val="0A983796"/>
    <w:rsid w:val="0B247F12"/>
    <w:rsid w:val="0C437A02"/>
    <w:rsid w:val="0C721436"/>
    <w:rsid w:val="0D7D4138"/>
    <w:rsid w:val="0E3746E5"/>
    <w:rsid w:val="0E39119F"/>
    <w:rsid w:val="0EE24D09"/>
    <w:rsid w:val="0F517A28"/>
    <w:rsid w:val="0FC86356"/>
    <w:rsid w:val="0FD77F2D"/>
    <w:rsid w:val="105002F0"/>
    <w:rsid w:val="10E24DDC"/>
    <w:rsid w:val="10FD38CE"/>
    <w:rsid w:val="11993F0F"/>
    <w:rsid w:val="11C24C0D"/>
    <w:rsid w:val="133751B0"/>
    <w:rsid w:val="150E3C01"/>
    <w:rsid w:val="1757F59E"/>
    <w:rsid w:val="17A258B6"/>
    <w:rsid w:val="18B74DA0"/>
    <w:rsid w:val="18E84035"/>
    <w:rsid w:val="19404D95"/>
    <w:rsid w:val="19BA3C9E"/>
    <w:rsid w:val="1A5A1E87"/>
    <w:rsid w:val="1B583D43"/>
    <w:rsid w:val="1BB60666"/>
    <w:rsid w:val="1D77EC23"/>
    <w:rsid w:val="1D8F13E5"/>
    <w:rsid w:val="1E041E4D"/>
    <w:rsid w:val="1E2C1D91"/>
    <w:rsid w:val="1ECD3675"/>
    <w:rsid w:val="1F3507B0"/>
    <w:rsid w:val="1F4434DF"/>
    <w:rsid w:val="20E119DF"/>
    <w:rsid w:val="20FC2DEA"/>
    <w:rsid w:val="21A023CE"/>
    <w:rsid w:val="222163B9"/>
    <w:rsid w:val="22323CD5"/>
    <w:rsid w:val="23D36806"/>
    <w:rsid w:val="23D558E4"/>
    <w:rsid w:val="23DF33FD"/>
    <w:rsid w:val="23E7405F"/>
    <w:rsid w:val="248D2E59"/>
    <w:rsid w:val="255D6CCF"/>
    <w:rsid w:val="25707940"/>
    <w:rsid w:val="25DD4F9C"/>
    <w:rsid w:val="26162EDC"/>
    <w:rsid w:val="26296BB1"/>
    <w:rsid w:val="26823287"/>
    <w:rsid w:val="26EC7404"/>
    <w:rsid w:val="27182123"/>
    <w:rsid w:val="27483067"/>
    <w:rsid w:val="280671AA"/>
    <w:rsid w:val="294308A4"/>
    <w:rsid w:val="2A8B6F60"/>
    <w:rsid w:val="2B702694"/>
    <w:rsid w:val="2B73763A"/>
    <w:rsid w:val="2BE944A1"/>
    <w:rsid w:val="2BFD6B16"/>
    <w:rsid w:val="2C4D78A5"/>
    <w:rsid w:val="2C5B0ACA"/>
    <w:rsid w:val="2CD22F81"/>
    <w:rsid w:val="2D450775"/>
    <w:rsid w:val="2D7387A8"/>
    <w:rsid w:val="2D7F7C6E"/>
    <w:rsid w:val="2D9E5C48"/>
    <w:rsid w:val="2DE41D28"/>
    <w:rsid w:val="2E752620"/>
    <w:rsid w:val="3208214B"/>
    <w:rsid w:val="33853A5D"/>
    <w:rsid w:val="339E0BDF"/>
    <w:rsid w:val="33E204E0"/>
    <w:rsid w:val="352503A6"/>
    <w:rsid w:val="352670DE"/>
    <w:rsid w:val="35941D23"/>
    <w:rsid w:val="36D3324A"/>
    <w:rsid w:val="36DA5688"/>
    <w:rsid w:val="36EF0D6B"/>
    <w:rsid w:val="387B347E"/>
    <w:rsid w:val="389857A8"/>
    <w:rsid w:val="3A3F0FB4"/>
    <w:rsid w:val="3A502507"/>
    <w:rsid w:val="3CB63BEE"/>
    <w:rsid w:val="3CEF6370"/>
    <w:rsid w:val="3CFDD301"/>
    <w:rsid w:val="3DEB2C72"/>
    <w:rsid w:val="3FFF25F9"/>
    <w:rsid w:val="4044666A"/>
    <w:rsid w:val="40D043A1"/>
    <w:rsid w:val="412E12DF"/>
    <w:rsid w:val="42697DF7"/>
    <w:rsid w:val="42D67878"/>
    <w:rsid w:val="43F247C7"/>
    <w:rsid w:val="453C0257"/>
    <w:rsid w:val="4691012F"/>
    <w:rsid w:val="46EE4FD8"/>
    <w:rsid w:val="4819662E"/>
    <w:rsid w:val="48AB2F5F"/>
    <w:rsid w:val="49FF132D"/>
    <w:rsid w:val="4A286FFC"/>
    <w:rsid w:val="4A786427"/>
    <w:rsid w:val="4AC32AFE"/>
    <w:rsid w:val="4CF45D96"/>
    <w:rsid w:val="4DFF42BA"/>
    <w:rsid w:val="4E4928A9"/>
    <w:rsid w:val="4E4C0E78"/>
    <w:rsid w:val="4EED44A3"/>
    <w:rsid w:val="4F966801"/>
    <w:rsid w:val="4FBA59E4"/>
    <w:rsid w:val="50A74A00"/>
    <w:rsid w:val="51134825"/>
    <w:rsid w:val="5128298F"/>
    <w:rsid w:val="517B5C63"/>
    <w:rsid w:val="522F47D3"/>
    <w:rsid w:val="5239302C"/>
    <w:rsid w:val="52666914"/>
    <w:rsid w:val="52754DA9"/>
    <w:rsid w:val="53146370"/>
    <w:rsid w:val="5369247A"/>
    <w:rsid w:val="53E648B3"/>
    <w:rsid w:val="53E915AA"/>
    <w:rsid w:val="54001133"/>
    <w:rsid w:val="548119AD"/>
    <w:rsid w:val="54ED7E1B"/>
    <w:rsid w:val="55AA6B17"/>
    <w:rsid w:val="55E31B83"/>
    <w:rsid w:val="55F7FE49"/>
    <w:rsid w:val="59537E1B"/>
    <w:rsid w:val="59AA17DC"/>
    <w:rsid w:val="5A214677"/>
    <w:rsid w:val="5AB7D32C"/>
    <w:rsid w:val="5C361105"/>
    <w:rsid w:val="5CE2128D"/>
    <w:rsid w:val="5D3B2B24"/>
    <w:rsid w:val="5D64347F"/>
    <w:rsid w:val="5EF7249F"/>
    <w:rsid w:val="5F562317"/>
    <w:rsid w:val="5F5D4EB4"/>
    <w:rsid w:val="5FDF9FB1"/>
    <w:rsid w:val="5FFFD674"/>
    <w:rsid w:val="618D7A19"/>
    <w:rsid w:val="61FA866B"/>
    <w:rsid w:val="630C0E11"/>
    <w:rsid w:val="63EF5C43"/>
    <w:rsid w:val="65EB4424"/>
    <w:rsid w:val="671169F6"/>
    <w:rsid w:val="67A35EFC"/>
    <w:rsid w:val="692844AF"/>
    <w:rsid w:val="6A3C1FDC"/>
    <w:rsid w:val="6B9D3F11"/>
    <w:rsid w:val="6BC3120C"/>
    <w:rsid w:val="6BDD7A8A"/>
    <w:rsid w:val="6BF60C00"/>
    <w:rsid w:val="6BF756B2"/>
    <w:rsid w:val="6C296590"/>
    <w:rsid w:val="6C313697"/>
    <w:rsid w:val="6C7DBA5B"/>
    <w:rsid w:val="6C8F60CA"/>
    <w:rsid w:val="6D6A55F9"/>
    <w:rsid w:val="6D9F7B46"/>
    <w:rsid w:val="6E4E6782"/>
    <w:rsid w:val="6E7FCDAE"/>
    <w:rsid w:val="6EA97E5C"/>
    <w:rsid w:val="6ECF0504"/>
    <w:rsid w:val="6EE0EF1D"/>
    <w:rsid w:val="6F156F12"/>
    <w:rsid w:val="6FE87D40"/>
    <w:rsid w:val="700724A1"/>
    <w:rsid w:val="721F3D47"/>
    <w:rsid w:val="7279184C"/>
    <w:rsid w:val="73700CE6"/>
    <w:rsid w:val="73B71B19"/>
    <w:rsid w:val="73DECC79"/>
    <w:rsid w:val="73FBE19C"/>
    <w:rsid w:val="73FD61B5"/>
    <w:rsid w:val="74F87447"/>
    <w:rsid w:val="75C02902"/>
    <w:rsid w:val="764B5214"/>
    <w:rsid w:val="766E5C13"/>
    <w:rsid w:val="767F93BF"/>
    <w:rsid w:val="772A6742"/>
    <w:rsid w:val="784B5AE0"/>
    <w:rsid w:val="78E0091E"/>
    <w:rsid w:val="7A1E1E33"/>
    <w:rsid w:val="7A20252D"/>
    <w:rsid w:val="7B7FB8D9"/>
    <w:rsid w:val="7BD73B24"/>
    <w:rsid w:val="7BFF22F9"/>
    <w:rsid w:val="7C3CDE7D"/>
    <w:rsid w:val="7D9879F5"/>
    <w:rsid w:val="7DFFC338"/>
    <w:rsid w:val="7E1354C6"/>
    <w:rsid w:val="7EB51F05"/>
    <w:rsid w:val="7ECD36F3"/>
    <w:rsid w:val="7FFF013E"/>
    <w:rsid w:val="9DF71CDB"/>
    <w:rsid w:val="AFDF9B16"/>
    <w:rsid w:val="B1BD4D3A"/>
    <w:rsid w:val="B599FD05"/>
    <w:rsid w:val="B6FFD875"/>
    <w:rsid w:val="B71D3F5E"/>
    <w:rsid w:val="BEBB8EE5"/>
    <w:rsid w:val="BF77E4B2"/>
    <w:rsid w:val="BFDF0969"/>
    <w:rsid w:val="BFFF53B7"/>
    <w:rsid w:val="CACAF801"/>
    <w:rsid w:val="CF3F8F24"/>
    <w:rsid w:val="CF6BA2B9"/>
    <w:rsid w:val="D7FBD2A1"/>
    <w:rsid w:val="DB7FF0B4"/>
    <w:rsid w:val="DFEBB27F"/>
    <w:rsid w:val="DFFF4CE3"/>
    <w:rsid w:val="DFFFE6D4"/>
    <w:rsid w:val="E74FA5F1"/>
    <w:rsid w:val="E77FDBFB"/>
    <w:rsid w:val="ED7F038F"/>
    <w:rsid w:val="EDC7B5D8"/>
    <w:rsid w:val="EDFE2673"/>
    <w:rsid w:val="EF2E40AC"/>
    <w:rsid w:val="EFFB8F82"/>
    <w:rsid w:val="F5EC7309"/>
    <w:rsid w:val="F6F71F80"/>
    <w:rsid w:val="F7641466"/>
    <w:rsid w:val="F7FA8E74"/>
    <w:rsid w:val="F9CF15CF"/>
    <w:rsid w:val="FA6FBE24"/>
    <w:rsid w:val="FAFB03D2"/>
    <w:rsid w:val="FBFF1F6C"/>
    <w:rsid w:val="FCFF60DC"/>
    <w:rsid w:val="FD7730F1"/>
    <w:rsid w:val="FDBF44A8"/>
    <w:rsid w:val="FDEF43E7"/>
    <w:rsid w:val="FDFFF427"/>
    <w:rsid w:val="FEC7A6B8"/>
    <w:rsid w:val="FFDFE1E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eastAsia="宋体" w:cs="Times New Roman"/>
    </w:rPr>
  </w:style>
  <w:style w:type="paragraph" w:styleId="3">
    <w:name w:val="Body Text Indent"/>
    <w:basedOn w:val="1"/>
    <w:qFormat/>
    <w:uiPriority w:val="0"/>
    <w:pPr>
      <w:spacing w:after="120" w:afterLines="0" w:afterAutospacing="0"/>
      <w:ind w:left="420" w:leftChars="200"/>
    </w:pPr>
    <w:rPr>
      <w:rFonts w:ascii="Calibri" w:hAnsi="Calibri" w:eastAsia="宋体"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qFormat/>
    <w:uiPriority w:val="0"/>
    <w:pPr>
      <w:snapToGrid w:val="0"/>
      <w:jc w:val="left"/>
    </w:pPr>
    <w:rPr>
      <w:rFonts w:ascii="Calibri" w:hAnsi="Calibri" w:eastAsia="宋体" w:cs="Times New Roman"/>
      <w:szCs w:val="24"/>
    </w:r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6</Pages>
  <Words>2295</Words>
  <Characters>2388</Characters>
  <Lines>18</Lines>
  <Paragraphs>5</Paragraphs>
  <TotalTime>0</TotalTime>
  <ScaleCrop>false</ScaleCrop>
  <LinksUpToDate>false</LinksUpToDate>
  <CharactersWithSpaces>2592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2022-04-28T10:37:00Z</dcterms:created>
  <dc:creator>Administrator</dc:creator>
  <cp:lastModifiedBy>greatwall</cp:lastModifiedBy>
  <cp:lastPrinted>2022-05-19T17:25:00Z</cp:lastPrinted>
  <dcterms:modified xsi:type="dcterms:W3CDTF">2022-05-31T08:31:49Z</dcterms:modified>
  <dc:title>HNPR-2022-11015</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C2C20563514646AE93B57AA6F27DB5CA</vt:lpwstr>
  </property>
</Properties>
</file>