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0"/>
      </w:pPr>
      <w:bookmarkStart w:id="0" w:name="OLE_LINK1"/>
    </w:p>
    <w:p>
      <w:pPr>
        <w:spacing w:after="120" w:line="760" w:lineRule="exact"/>
        <w:ind w:firstLine="640"/>
        <w:rPr>
          <w:rFonts w:hint="eastAsia"/>
          <w:color w:val="000000"/>
        </w:rPr>
      </w:pPr>
      <w:r>
        <w:rPr>
          <w:rFonts w:hint="eastAsia"/>
          <w:color w:val="000000"/>
        </w:rPr>
        <w:t>HNPR-2021-17004</w:t>
      </w:r>
    </w:p>
    <w:p>
      <w:pPr>
        <w:spacing w:after="120" w:line="760" w:lineRule="exact"/>
        <w:ind w:firstLine="640"/>
        <w:rPr>
          <w:color w:val="000000"/>
        </w:rPr>
      </w:pPr>
    </w:p>
    <w:tbl>
      <w:tblPr>
        <w:tblStyle w:val="15"/>
        <w:tblW w:w="8845"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5"/>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Pr>
          <w:p>
            <w:pPr>
              <w:pStyle w:val="7"/>
              <w:spacing w:line="1400" w:lineRule="exact"/>
              <w:ind w:firstLine="0" w:firstLineChars="0"/>
              <w:jc w:val="center"/>
              <w:rPr>
                <w:rFonts w:eastAsia="方正小标宋简体"/>
                <w:color w:val="FF0000"/>
                <w:spacing w:val="60"/>
                <w:w w:val="65"/>
                <w:sz w:val="110"/>
                <w:szCs w:val="110"/>
              </w:rPr>
            </w:pPr>
            <w:r>
              <w:rPr>
                <w:rFonts w:eastAsia="方正小标宋简体"/>
                <w:color w:val="FF0000"/>
                <w:spacing w:val="60"/>
                <w:w w:val="65"/>
                <w:sz w:val="110"/>
                <w:szCs w:val="110"/>
              </w:rPr>
              <w:t>湖南省农业农村厅文件</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bottom w:val="single" w:color="FF0000" w:sz="18" w:space="0"/>
            </w:tcBorders>
            <w:shd w:val="clear" w:color="auto" w:fill="auto"/>
          </w:tcPr>
          <w:p>
            <w:pPr>
              <w:pStyle w:val="7"/>
              <w:spacing w:after="0" w:line="400" w:lineRule="exact"/>
              <w:ind w:firstLine="0" w:firstLineChars="0"/>
              <w:rPr>
                <w:color w:val="FF0000"/>
                <w:szCs w:val="32"/>
              </w:rPr>
            </w:pPr>
          </w:p>
          <w:p>
            <w:pPr>
              <w:pStyle w:val="7"/>
              <w:spacing w:after="0" w:line="500" w:lineRule="exact"/>
              <w:ind w:firstLine="320"/>
              <w:rPr>
                <w:color w:val="FF0000"/>
                <w:szCs w:val="32"/>
              </w:rPr>
            </w:pPr>
          </w:p>
          <w:p>
            <w:pPr>
              <w:pStyle w:val="7"/>
              <w:spacing w:line="500" w:lineRule="exact"/>
              <w:ind w:firstLine="0" w:firstLineChars="0"/>
              <w:jc w:val="center"/>
              <w:rPr>
                <w:rFonts w:eastAsia="方正小标宋简体"/>
                <w:color w:val="000000"/>
                <w:sz w:val="32"/>
                <w:szCs w:val="32"/>
              </w:rPr>
            </w:pPr>
            <w:r>
              <w:rPr>
                <w:color w:val="000000"/>
                <w:sz w:val="32"/>
                <w:szCs w:val="32"/>
              </w:rPr>
              <w:t>湘农发〔2021〕10号</w:t>
            </w:r>
          </w:p>
        </w:tc>
      </w:tr>
    </w:tbl>
    <w:p>
      <w:pPr>
        <w:ind w:firstLine="640"/>
      </w:pPr>
    </w:p>
    <w:p>
      <w:pPr>
        <w:ind w:firstLine="640"/>
      </w:pPr>
    </w:p>
    <w:p>
      <w:pPr>
        <w:pStyle w:val="2"/>
        <w:rPr>
          <w:color w:val="000000"/>
          <w:spacing w:val="20"/>
        </w:rPr>
      </w:pPr>
      <w:r>
        <w:rPr>
          <w:color w:val="000000"/>
          <w:spacing w:val="20"/>
        </w:rPr>
        <w:t>湖南省农业农村厅</w:t>
      </w:r>
    </w:p>
    <w:bookmarkEnd w:id="0"/>
    <w:p>
      <w:pPr>
        <w:pStyle w:val="2"/>
      </w:pPr>
      <w:r>
        <w:t>关于做好政策性粮食加工成饲料产品后</w:t>
      </w:r>
    </w:p>
    <w:p>
      <w:pPr>
        <w:pStyle w:val="2"/>
      </w:pPr>
      <w:r>
        <w:t>质量安全监管工作的意见</w:t>
      </w:r>
    </w:p>
    <w:p>
      <w:pPr>
        <w:ind w:firstLine="640"/>
      </w:pPr>
    </w:p>
    <w:p>
      <w:pPr>
        <w:ind w:firstLine="0" w:firstLineChars="0"/>
        <w:rPr>
          <w:rFonts w:eastAsia="仿宋"/>
          <w:sz w:val="28"/>
          <w:szCs w:val="28"/>
        </w:rPr>
      </w:pPr>
      <w:r>
        <w:rPr>
          <w:kern w:val="0"/>
        </w:rPr>
        <w:t>各市州、县市区农业农村局（畜牧水产事务中心）：</w:t>
      </w:r>
    </w:p>
    <w:p>
      <w:pPr>
        <w:ind w:firstLine="640"/>
      </w:pPr>
      <w:r>
        <w:t>为有效防范饲料产品质量安全风险隐患，推进全省政策性粮食库存消化工作，根据《国家发展改革委员会 国家粮食和物资储备局 农业农村部 财政部 国家市场监督管理总局 中国农业发展银行关于做好政策性粮食销售出库监管工作的通知》（国粮执法〔2019〕218号），以及省粮食和物资储备局等部门联合印发的《全省粮食质量安全全程闭合式监管职责分工》（湘产粮〔2020〕95号）、《湖南省农业农村厅关于贯彻落实湖南省粮食质量安全全程闭合式监管职责分工的通知》（湘农办函〔2020〕255 号）等文件要求，结合我省实际，现就政策性粮食加工成饲料产品后质量安全监管工作提出如下意见。</w:t>
      </w:r>
    </w:p>
    <w:p>
      <w:pPr>
        <w:ind w:firstLine="648"/>
        <w:rPr>
          <w:rFonts w:eastAsia="黑体"/>
          <w:spacing w:val="2"/>
        </w:rPr>
      </w:pPr>
      <w:r>
        <w:rPr>
          <w:rFonts w:eastAsia="黑体"/>
          <w:spacing w:val="2"/>
        </w:rPr>
        <w:t>一、加强组织领导。</w:t>
      </w:r>
      <w:r>
        <w:rPr>
          <w:spacing w:val="2"/>
        </w:rPr>
        <w:t>各级农业农村部门要充分认识政策性粮食饲用加工监管工作的重要性，在当地政府的统一领导下，制定切实可行的实施方案，落实具体责任单位和责任人员，确保各项措施落到实处。要加大对使用政策性粮食的饲料加工生产企业监督检查和执法力度，督促定向饲料加工企业增强产品质量安全主体责任意识。积极配合开展联动执法等工作，形成监管合力，提高监管效率。要全面压实定向饲料加工企业产品质量安全主体责任，确保饲料原料和饲料产品中镉含量指标符合《饲料卫生标准》。</w:t>
      </w:r>
    </w:p>
    <w:p>
      <w:pPr>
        <w:ind w:firstLine="640"/>
      </w:pPr>
      <w:r>
        <w:rPr>
          <w:rFonts w:eastAsia="黑体"/>
        </w:rPr>
        <w:t>二、严格原料采购与管理。</w:t>
      </w:r>
      <w:r>
        <w:t>定向饲料加工企业通过竞价销售渠道从粮食部门采购的政策性粮食，要按照</w:t>
      </w:r>
      <w:r>
        <w:rPr>
          <w:spacing w:val="-20"/>
        </w:rPr>
        <w:t>《饲料质量安全管理规范》</w:t>
      </w:r>
      <w:r>
        <w:t>建立原料采购验收制度，逐批查验政策性粮食供应商提供的质量检验报告。符合饲料卫生标准的，要按照</w:t>
      </w:r>
      <w:r>
        <w:rPr>
          <w:spacing w:val="-20"/>
        </w:rPr>
        <w:t>《饲料质量安全管理规范》</w:t>
      </w:r>
      <w:r>
        <w:t>要求，建立原料仓储管理制度，对原料实行仓储管理。不符合饲料卫生指标的政策性粮食，不得作为饲料原料。不得违规倒卖用作饲料加工原料的政策性粮食。</w:t>
      </w:r>
    </w:p>
    <w:p>
      <w:pPr>
        <w:ind w:firstLine="640"/>
        <w:rPr>
          <w:rFonts w:eastAsia="楷体"/>
          <w:b/>
        </w:rPr>
      </w:pPr>
      <w:r>
        <w:rPr>
          <w:rFonts w:eastAsia="黑体"/>
        </w:rPr>
        <w:t>三、严格生产过程监管。</w:t>
      </w:r>
      <w:r>
        <w:t>使用政策性粮食的定向饲料加工企业，应根据原料质量检验报告，合理确定饲料产品中政策性粮食使用比重，确保饲料产品相关指标符合《饲料卫生标准》要求。要建立并完善各项生产岗位操作规程，规范生产行为，自觉接受农业农村部门和粮食部门监管。</w:t>
      </w:r>
    </w:p>
    <w:p>
      <w:pPr>
        <w:ind w:firstLine="640"/>
      </w:pPr>
      <w:r>
        <w:rPr>
          <w:rFonts w:eastAsia="黑体"/>
        </w:rPr>
        <w:t>四、严格产品质量控制。</w:t>
      </w:r>
      <w:r>
        <w:t>使用政策性粮食加工的饲料产品，镉含量须符合《饲料卫生标准》。定向饲料加工企业要把镉含量纳入重点检</w:t>
      </w:r>
      <w:r>
        <w:rPr>
          <w:color w:val="000000"/>
        </w:rPr>
        <w:t>测项</w:t>
      </w:r>
      <w:r>
        <w:t>目，检测发现镉含量超标的，应立即停止生产，暂停使用同批次政策性粮食。已加工的饲料产品，要立即封存并参照《不合格品管理制度》进行处置。已经销售的产品，要按照《饲料和饲料添加剂管理条例》有关规定，停止使用、启动召回程序。</w:t>
      </w:r>
    </w:p>
    <w:p>
      <w:pPr>
        <w:ind w:firstLine="640"/>
      </w:pPr>
      <w:r>
        <w:rPr>
          <w:rFonts w:eastAsia="黑体"/>
        </w:rPr>
        <w:t>五、严格全过程记录管理。</w:t>
      </w:r>
      <w:r>
        <w:t>定向饲料加工企业要按照《饲料和饲料添加剂管理条例》的要求，建立政策性粮食使用台账，如实填写并保存政策性粮食入库记录、生产过程记录、检化验记录和产品销售记录等。留存政策性粮食定向竞价购销合同、入库单据、发票、验收确认单和运输车辆信息等资料，全面实现从原料入库到产品出厂全过程可追溯。政策性粮食质量检验报告、自行检验结果、委托检验报告应分类保存。原料进货记录、产品销售台帐、产品出厂检验记录等保存期限不得少于2年。严格落实留样观察制度，对每批次产品实施留样观察，填写并保存留样观察记录，留样保存时间应当超过产品保质期1个月。鼓励有条件的企业对政策性粮食加工成的饲料产品，</w:t>
      </w:r>
      <w:r>
        <w:rPr>
          <w:spacing w:val="-20"/>
        </w:rPr>
        <w:t>进入养殖环节后进行质量安全追踪评价。</w:t>
      </w:r>
    </w:p>
    <w:p>
      <w:pPr>
        <w:ind w:firstLine="640"/>
      </w:pPr>
      <w:r>
        <w:rPr>
          <w:rFonts w:eastAsia="黑体"/>
        </w:rPr>
        <w:t>六、严格监督检查。</w:t>
      </w:r>
      <w:r>
        <w:t>各级农业农村部门要及时掌握本辖区政策性粮食饲用加工企业情况，将政策性粮食饲用加工企业纳入重点监管范围，切实加强对重点地区、重要企业和重要生产环节的饲料质量安全监管。采取“双随机”检查和抽样检测相结合方式，定期开展监督检查。在各级年度饲料质量安全监督抽查中，将政策性粮食饲用加工企业作为必检企业，使用政策性粮食加工的饲料产品要抽检“镉、黄曲霉毒素B 1 、玉米赤霉烯酮、T-2 毒素”等卫生指标。</w:t>
      </w:r>
    </w:p>
    <w:p>
      <w:pPr>
        <w:ind w:firstLine="640"/>
      </w:pPr>
      <w:r>
        <w:rPr>
          <w:rFonts w:eastAsia="黑体"/>
        </w:rPr>
        <w:t>七、建立健全信息共享机制</w:t>
      </w:r>
      <w:r>
        <w:t>。推进政策性粮食加工成饲料产品后质量安全监管信息报送常态化。定向饲料加工企业要及时将政策性粮食购进、加工、销售等基本数据，报所在地农业农村部门备案。各级农业农村部门要主动加强与本级粮食、市场监督和公安等部门的沟通协调，及时掌握定向竞价使用政策性粮食饲料加工企业情况。及时将具备一定规模的饲料企业生产资质、企业规模、产品质量等情况向粮食部门通报，对企业管理不规范、产品质量安全监督抽检不合格、有违法违规行为的建议取消其竞价资格。</w:t>
      </w:r>
    </w:p>
    <w:p>
      <w:pPr>
        <w:ind w:firstLine="640"/>
        <w:rPr>
          <w:rFonts w:eastAsia="华文仿宋"/>
          <w:color w:val="000000"/>
        </w:rPr>
      </w:pPr>
      <w:r>
        <w:rPr>
          <w:rFonts w:eastAsia="黑体"/>
        </w:rPr>
        <w:t>八、全面落实饲料质量安全监管责任</w:t>
      </w:r>
      <w:r>
        <w:t>。各级农业农村部门要督促相关企业建立问题可倒查、责任可追究的问责机制。对检查发现不按要求履行原料查验及产品出厂检验义务、使用不符合《饲料卫生标准》原料、销售不符合《饲料卫生标准》产品的企业，各地农业农村部门要严肃查处并及时将查处情况上报省农业农村厅畜牧兽医处和省饲料工业办公室。对在生产过程中发现违规倒卖政策性粮食的，要及时通报当地粮食、市场监管等部门。</w:t>
      </w:r>
      <w:r>
        <w:rPr>
          <w:rFonts w:eastAsia="华文仿宋"/>
          <w:color w:val="000000"/>
        </w:rPr>
        <w:t xml:space="preserve"> </w:t>
      </w:r>
    </w:p>
    <w:p>
      <w:pPr>
        <w:ind w:firstLine="640"/>
      </w:pPr>
    </w:p>
    <w:p>
      <w:pPr>
        <w:ind w:firstLine="640"/>
      </w:pPr>
    </w:p>
    <w:p>
      <w:pPr>
        <w:ind w:right="640" w:rightChars="200" w:firstLine="0" w:firstLineChars="0"/>
        <w:rPr>
          <w:spacing w:val="20"/>
          <w:szCs w:val="32"/>
        </w:rPr>
      </w:pPr>
      <w:r>
        <w:rPr>
          <w:spacing w:val="20"/>
        </w:rPr>
        <w:t xml:space="preserve">                        </w:t>
      </w:r>
      <w:r>
        <w:rPr>
          <w:spacing w:val="20"/>
          <w:szCs w:val="32"/>
        </w:rPr>
        <w:t xml:space="preserve">  湖南省农业农村厅</w:t>
      </w: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425" w:num="1"/>
          <w:docGrid w:type="linesAndChars" w:linePitch="579" w:charSpace="0"/>
        </w:sectPr>
      </w:pPr>
      <w:r>
        <w:t xml:space="preserve">                              2021年</w:t>
      </w:r>
      <w:r>
        <w:rPr>
          <w:rFonts w:hint="eastAsia"/>
        </w:rPr>
        <w:t>3</w:t>
      </w:r>
      <w:r>
        <w:t>月</w:t>
      </w:r>
      <w:r>
        <w:rPr>
          <w:rFonts w:hint="eastAsia"/>
        </w:rPr>
        <w:t>1</w:t>
      </w:r>
      <w:r>
        <w:t>日</w:t>
      </w:r>
    </w:p>
    <w:p>
      <w:pPr>
        <w:ind w:firstLine="640"/>
      </w:pPr>
      <w:r>
        <w:br w:type="page"/>
      </w:r>
    </w:p>
    <w:p>
      <w:pPr>
        <w:ind w:firstLine="640"/>
      </w:pPr>
    </w:p>
    <w:p>
      <w:pPr>
        <w:ind w:firstLine="640"/>
      </w:pPr>
    </w:p>
    <w:p>
      <w:pPr>
        <w:pStyle w:val="5"/>
        <w:spacing w:before="289" w:after="289"/>
        <w:ind w:firstLine="640"/>
        <w:rPr>
          <w:color w:val="00000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w:pict>
          <v:line id="_x0000_s1066" o:spid="_x0000_s1066" o:spt="20" style="position:absolute;left:0pt;margin-left:0pt;margin-top:1.05pt;height:0pt;width:442.2pt;z-index:251659264;mso-width-relative:page;mso-height-relative:page;" coordsize="21600,21600">
            <v:path arrowok="t"/>
            <v:fill focussize="0,0"/>
            <v:stroke weight="0.35pt"/>
            <v:imagedata o:title=""/>
            <o:lock v:ext="edit"/>
          </v:line>
        </w:pict>
      </w:r>
      <w:r>
        <w:rPr>
          <w:color w:val="000000"/>
        </w:rPr>
        <w:pict>
          <v:line id="_x0000_s1067" o:spid="_x0000_s1067" o:spt="20" style="position:absolute;left:0pt;margin-left:0pt;margin-top:30.95pt;height:0pt;width:442.2pt;z-index:251660288;mso-width-relative:page;mso-height-relative:page;" coordsize="21600,21600">
            <v:path arrowok="t"/>
            <v:fill focussize="0,0"/>
            <v:stroke weight="0.35pt"/>
            <v:imagedata o:title=""/>
            <o:lock v:ext="edit"/>
          </v:line>
        </w:pict>
      </w:r>
      <w:r>
        <w:rPr>
          <w:color w:val="000000"/>
          <w:sz w:val="28"/>
          <w:szCs w:val="28"/>
        </w:rPr>
        <w:t xml:space="preserve">湖南省农业农村厅办公室               </w:t>
      </w:r>
      <w:r>
        <w:rPr>
          <w:rFonts w:hint="eastAsia"/>
          <w:color w:val="000000"/>
          <w:sz w:val="28"/>
          <w:szCs w:val="28"/>
        </w:rPr>
        <w:t xml:space="preserve"> </w:t>
      </w:r>
      <w:r>
        <w:rPr>
          <w:color w:val="000000"/>
          <w:sz w:val="28"/>
          <w:szCs w:val="28"/>
        </w:rPr>
        <w:t xml:space="preserve">  2021年</w:t>
      </w:r>
      <w:r>
        <w:rPr>
          <w:rFonts w:hint="eastAsia"/>
          <w:color w:val="000000"/>
          <w:sz w:val="28"/>
          <w:szCs w:val="28"/>
          <w:lang w:val="en-US" w:eastAsia="zh-CN"/>
        </w:rPr>
        <w:t>3</w:t>
      </w:r>
      <w:r>
        <w:rPr>
          <w:color w:val="000000"/>
          <w:sz w:val="28"/>
          <w:szCs w:val="28"/>
        </w:rPr>
        <w:t>月</w:t>
      </w:r>
      <w:r>
        <w:rPr>
          <w:rFonts w:hint="eastAsia"/>
          <w:color w:val="000000"/>
          <w:sz w:val="28"/>
          <w:szCs w:val="28"/>
          <w:lang w:val="en-US" w:eastAsia="zh-CN"/>
        </w:rPr>
        <w:t>1</w:t>
      </w:r>
      <w:bookmarkStart w:id="1" w:name="_GoBack"/>
      <w:bookmarkEnd w:id="1"/>
      <w:r>
        <w:rPr>
          <w:color w:val="000000"/>
          <w:sz w:val="28"/>
          <w:szCs w:val="28"/>
        </w:rPr>
        <w:t>日印发</w:t>
      </w:r>
    </w:p>
    <w:sectPr>
      <w:footerReference r:id="rId11" w:type="default"/>
      <w:pgSz w:w="11906" w:h="16838"/>
      <w:pgMar w:top="2098" w:right="1474" w:bottom="1985" w:left="1588" w:header="851" w:footer="1588" w:gutter="0"/>
      <w:cols w:space="425"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9"/>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5</w:t>
    </w:r>
    <w:r>
      <w:rPr>
        <w:rStyle w:val="19"/>
        <w:sz w:val="28"/>
        <w:szCs w:val="28"/>
      </w:rPr>
      <w:fldChar w:fldCharType="end"/>
    </w:r>
    <w:r>
      <w:rPr>
        <w:rStyle w:val="19"/>
        <w:rFonts w:hint="eastAsia"/>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360"/>
      <w:rPr>
        <w:rStyle w:val="19"/>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60"/>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1ED1"/>
    <w:rsid w:val="00001D0D"/>
    <w:rsid w:val="00006C32"/>
    <w:rsid w:val="000070BB"/>
    <w:rsid w:val="00007908"/>
    <w:rsid w:val="00007A2A"/>
    <w:rsid w:val="0004127B"/>
    <w:rsid w:val="00061E0A"/>
    <w:rsid w:val="000651D7"/>
    <w:rsid w:val="00081764"/>
    <w:rsid w:val="00090311"/>
    <w:rsid w:val="00091522"/>
    <w:rsid w:val="000C1B41"/>
    <w:rsid w:val="000D695F"/>
    <w:rsid w:val="000D7E84"/>
    <w:rsid w:val="000F43A1"/>
    <w:rsid w:val="000F73F0"/>
    <w:rsid w:val="00105649"/>
    <w:rsid w:val="0010709A"/>
    <w:rsid w:val="001268CD"/>
    <w:rsid w:val="00130888"/>
    <w:rsid w:val="00136158"/>
    <w:rsid w:val="00136317"/>
    <w:rsid w:val="00137536"/>
    <w:rsid w:val="001377BA"/>
    <w:rsid w:val="0015554F"/>
    <w:rsid w:val="0019261B"/>
    <w:rsid w:val="001B6E9A"/>
    <w:rsid w:val="001C22AE"/>
    <w:rsid w:val="001C7FE3"/>
    <w:rsid w:val="001D4AFD"/>
    <w:rsid w:val="001E56FA"/>
    <w:rsid w:val="001F7E44"/>
    <w:rsid w:val="0020637D"/>
    <w:rsid w:val="002121D0"/>
    <w:rsid w:val="00215AAE"/>
    <w:rsid w:val="002450AD"/>
    <w:rsid w:val="00251ED1"/>
    <w:rsid w:val="00292204"/>
    <w:rsid w:val="00293EAF"/>
    <w:rsid w:val="00293F32"/>
    <w:rsid w:val="002A3CA4"/>
    <w:rsid w:val="002C02DE"/>
    <w:rsid w:val="002C2BE9"/>
    <w:rsid w:val="002C6F29"/>
    <w:rsid w:val="002D5F5D"/>
    <w:rsid w:val="002E37FF"/>
    <w:rsid w:val="002F4908"/>
    <w:rsid w:val="002F4C64"/>
    <w:rsid w:val="002F5464"/>
    <w:rsid w:val="003326BD"/>
    <w:rsid w:val="00340785"/>
    <w:rsid w:val="00346980"/>
    <w:rsid w:val="00354E3D"/>
    <w:rsid w:val="00361BA3"/>
    <w:rsid w:val="003837BF"/>
    <w:rsid w:val="003A225C"/>
    <w:rsid w:val="003B61D2"/>
    <w:rsid w:val="003B68C1"/>
    <w:rsid w:val="003D1A2E"/>
    <w:rsid w:val="003D383D"/>
    <w:rsid w:val="003D4160"/>
    <w:rsid w:val="003E1C9F"/>
    <w:rsid w:val="003E6E7A"/>
    <w:rsid w:val="003F569A"/>
    <w:rsid w:val="003F6070"/>
    <w:rsid w:val="003F6FAE"/>
    <w:rsid w:val="003F7FA2"/>
    <w:rsid w:val="0041133A"/>
    <w:rsid w:val="0042011E"/>
    <w:rsid w:val="0042601C"/>
    <w:rsid w:val="00427D75"/>
    <w:rsid w:val="00447ED8"/>
    <w:rsid w:val="00457133"/>
    <w:rsid w:val="00460443"/>
    <w:rsid w:val="004645D7"/>
    <w:rsid w:val="00470C1E"/>
    <w:rsid w:val="0048169E"/>
    <w:rsid w:val="00491265"/>
    <w:rsid w:val="004A4F35"/>
    <w:rsid w:val="004B4FE9"/>
    <w:rsid w:val="004C43A4"/>
    <w:rsid w:val="004D0131"/>
    <w:rsid w:val="004E6FE0"/>
    <w:rsid w:val="00520B7F"/>
    <w:rsid w:val="00527AFA"/>
    <w:rsid w:val="005357A5"/>
    <w:rsid w:val="00547ADF"/>
    <w:rsid w:val="005513D6"/>
    <w:rsid w:val="005630F8"/>
    <w:rsid w:val="00570F7F"/>
    <w:rsid w:val="00576DA7"/>
    <w:rsid w:val="005B16E7"/>
    <w:rsid w:val="005F0127"/>
    <w:rsid w:val="005F5909"/>
    <w:rsid w:val="00606BEA"/>
    <w:rsid w:val="00620A06"/>
    <w:rsid w:val="00623F5C"/>
    <w:rsid w:val="00635979"/>
    <w:rsid w:val="006867BE"/>
    <w:rsid w:val="00687D51"/>
    <w:rsid w:val="00690E4B"/>
    <w:rsid w:val="0069343F"/>
    <w:rsid w:val="006B0675"/>
    <w:rsid w:val="006B2A1B"/>
    <w:rsid w:val="006B44B2"/>
    <w:rsid w:val="006C1646"/>
    <w:rsid w:val="006C1E2E"/>
    <w:rsid w:val="006C285B"/>
    <w:rsid w:val="006C38AC"/>
    <w:rsid w:val="006C5097"/>
    <w:rsid w:val="006D180D"/>
    <w:rsid w:val="006D57C6"/>
    <w:rsid w:val="006E5060"/>
    <w:rsid w:val="006E5C7E"/>
    <w:rsid w:val="006E6528"/>
    <w:rsid w:val="0070643A"/>
    <w:rsid w:val="00706782"/>
    <w:rsid w:val="00711091"/>
    <w:rsid w:val="007130C8"/>
    <w:rsid w:val="0073058D"/>
    <w:rsid w:val="00731FD8"/>
    <w:rsid w:val="0073790C"/>
    <w:rsid w:val="0074608C"/>
    <w:rsid w:val="0075390B"/>
    <w:rsid w:val="007568E8"/>
    <w:rsid w:val="00773DAA"/>
    <w:rsid w:val="00783D94"/>
    <w:rsid w:val="00791964"/>
    <w:rsid w:val="007B6D99"/>
    <w:rsid w:val="007D10F7"/>
    <w:rsid w:val="007F4C07"/>
    <w:rsid w:val="007F732C"/>
    <w:rsid w:val="0080406F"/>
    <w:rsid w:val="008053E0"/>
    <w:rsid w:val="00812925"/>
    <w:rsid w:val="00821DD4"/>
    <w:rsid w:val="00822CC0"/>
    <w:rsid w:val="00823403"/>
    <w:rsid w:val="00825531"/>
    <w:rsid w:val="008413A8"/>
    <w:rsid w:val="008623AE"/>
    <w:rsid w:val="008801BC"/>
    <w:rsid w:val="0088031F"/>
    <w:rsid w:val="008849F7"/>
    <w:rsid w:val="00891B53"/>
    <w:rsid w:val="00894C34"/>
    <w:rsid w:val="008B6A32"/>
    <w:rsid w:val="008C17DA"/>
    <w:rsid w:val="008E7182"/>
    <w:rsid w:val="008F5E38"/>
    <w:rsid w:val="008F7A7F"/>
    <w:rsid w:val="00901CF8"/>
    <w:rsid w:val="0090777C"/>
    <w:rsid w:val="0093506A"/>
    <w:rsid w:val="00962E71"/>
    <w:rsid w:val="00964ADC"/>
    <w:rsid w:val="0097251B"/>
    <w:rsid w:val="00975EF5"/>
    <w:rsid w:val="00977FED"/>
    <w:rsid w:val="00981924"/>
    <w:rsid w:val="009A23D6"/>
    <w:rsid w:val="009A6FFC"/>
    <w:rsid w:val="009B48A8"/>
    <w:rsid w:val="009B6E9B"/>
    <w:rsid w:val="009C269B"/>
    <w:rsid w:val="009C4BA5"/>
    <w:rsid w:val="009F168E"/>
    <w:rsid w:val="00A0669D"/>
    <w:rsid w:val="00A32391"/>
    <w:rsid w:val="00A36FEC"/>
    <w:rsid w:val="00A43102"/>
    <w:rsid w:val="00A70CA8"/>
    <w:rsid w:val="00A75C4C"/>
    <w:rsid w:val="00A81410"/>
    <w:rsid w:val="00A86E3A"/>
    <w:rsid w:val="00AA1884"/>
    <w:rsid w:val="00AA65DD"/>
    <w:rsid w:val="00AA771C"/>
    <w:rsid w:val="00AB6476"/>
    <w:rsid w:val="00AB7578"/>
    <w:rsid w:val="00AD233F"/>
    <w:rsid w:val="00AD4BBF"/>
    <w:rsid w:val="00AD7358"/>
    <w:rsid w:val="00AE253A"/>
    <w:rsid w:val="00AF2506"/>
    <w:rsid w:val="00B01682"/>
    <w:rsid w:val="00B10150"/>
    <w:rsid w:val="00B147B6"/>
    <w:rsid w:val="00B15CE7"/>
    <w:rsid w:val="00B23B84"/>
    <w:rsid w:val="00B24AE3"/>
    <w:rsid w:val="00B32A8A"/>
    <w:rsid w:val="00B4037B"/>
    <w:rsid w:val="00B54BBB"/>
    <w:rsid w:val="00B624A4"/>
    <w:rsid w:val="00B663B8"/>
    <w:rsid w:val="00B6716C"/>
    <w:rsid w:val="00B674E4"/>
    <w:rsid w:val="00B718C5"/>
    <w:rsid w:val="00B84A53"/>
    <w:rsid w:val="00B8517D"/>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73CAE"/>
    <w:rsid w:val="00C75EE9"/>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40741"/>
    <w:rsid w:val="00D508AA"/>
    <w:rsid w:val="00D66493"/>
    <w:rsid w:val="00D7010C"/>
    <w:rsid w:val="00D7623D"/>
    <w:rsid w:val="00D7641E"/>
    <w:rsid w:val="00D82337"/>
    <w:rsid w:val="00D95331"/>
    <w:rsid w:val="00D96068"/>
    <w:rsid w:val="00DF1B80"/>
    <w:rsid w:val="00DF2AA3"/>
    <w:rsid w:val="00E06D71"/>
    <w:rsid w:val="00E3159F"/>
    <w:rsid w:val="00E3393A"/>
    <w:rsid w:val="00E56355"/>
    <w:rsid w:val="00E60CDB"/>
    <w:rsid w:val="00E720E8"/>
    <w:rsid w:val="00E845D7"/>
    <w:rsid w:val="00EB13FB"/>
    <w:rsid w:val="00EB3EA1"/>
    <w:rsid w:val="00EB73DF"/>
    <w:rsid w:val="00EC508F"/>
    <w:rsid w:val="00EC7DD2"/>
    <w:rsid w:val="00ED4053"/>
    <w:rsid w:val="00EF0B1C"/>
    <w:rsid w:val="00EF3047"/>
    <w:rsid w:val="00F07B36"/>
    <w:rsid w:val="00F451CB"/>
    <w:rsid w:val="00F472A5"/>
    <w:rsid w:val="00F509BB"/>
    <w:rsid w:val="00F567D6"/>
    <w:rsid w:val="00F7403A"/>
    <w:rsid w:val="00F75AC5"/>
    <w:rsid w:val="00F8230A"/>
    <w:rsid w:val="00F83ED8"/>
    <w:rsid w:val="00F946ED"/>
    <w:rsid w:val="00F96F2F"/>
    <w:rsid w:val="00FA113D"/>
    <w:rsid w:val="00FA6FE8"/>
    <w:rsid w:val="00FA73BC"/>
    <w:rsid w:val="00FB4C0B"/>
    <w:rsid w:val="00FC3452"/>
    <w:rsid w:val="00FE59BB"/>
    <w:rsid w:val="45AB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qFormat/>
    <w:uiPriority w:val="0"/>
    <w:pPr>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link w:val="33"/>
    <w:qFormat/>
    <w:uiPriority w:val="0"/>
    <w:pPr>
      <w:outlineLvl w:val="1"/>
    </w:pPr>
    <w:rPr>
      <w:rFonts w:eastAsia="黑体"/>
      <w:bCs/>
      <w:szCs w:val="32"/>
    </w:rPr>
  </w:style>
  <w:style w:type="paragraph" w:styleId="4">
    <w:name w:val="heading 3"/>
    <w:basedOn w:val="1"/>
    <w:next w:val="1"/>
    <w:link w:val="21"/>
    <w:qFormat/>
    <w:uiPriority w:val="0"/>
    <w:pPr>
      <w:outlineLvl w:val="2"/>
    </w:pPr>
    <w:rPr>
      <w:rFonts w:eastAsia="楷体_GB2312"/>
      <w:b/>
      <w:bCs/>
      <w:szCs w:val="32"/>
    </w:rPr>
  </w:style>
  <w:style w:type="paragraph" w:styleId="5">
    <w:name w:val="heading 4"/>
    <w:basedOn w:val="1"/>
    <w:next w:val="1"/>
    <w:link w:val="22"/>
    <w:qFormat/>
    <w:uiPriority w:val="0"/>
    <w:pPr>
      <w:spacing w:beforeLines="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Body Text 3"/>
    <w:basedOn w:val="1"/>
    <w:uiPriority w:val="0"/>
    <w:pPr>
      <w:spacing w:after="120"/>
    </w:pPr>
    <w:rPr>
      <w:sz w:val="16"/>
      <w:szCs w:val="16"/>
    </w:rPr>
  </w:style>
  <w:style w:type="paragraph" w:styleId="8">
    <w:name w:val="Plain Text"/>
    <w:basedOn w:val="1"/>
    <w:link w:val="30"/>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uiPriority w:val="0"/>
    <w:pPr>
      <w:ind w:left="100" w:leftChars="2500"/>
    </w:pPr>
  </w:style>
  <w:style w:type="paragraph" w:styleId="10">
    <w:name w:val="Body Text Indent 2"/>
    <w:basedOn w:val="1"/>
    <w:uiPriority w:val="0"/>
    <w:pPr>
      <w:adjustRightInd/>
      <w:snapToGrid/>
      <w:spacing w:line="240" w:lineRule="auto"/>
      <w:ind w:firstLine="420"/>
    </w:pPr>
    <w:rPr>
      <w:rFonts w:ascii="仿宋_GB2312"/>
      <w:color w:val="FF6600"/>
      <w:sz w:val="21"/>
    </w:rPr>
  </w:style>
  <w:style w:type="paragraph" w:styleId="11">
    <w:name w:val="Balloon Text"/>
    <w:basedOn w:val="1"/>
    <w:link w:val="27"/>
    <w:semiHidden/>
    <w:uiPriority w:val="0"/>
    <w:pPr>
      <w:adjustRightInd/>
      <w:snapToGrid/>
      <w:spacing w:line="240" w:lineRule="auto"/>
      <w:ind w:firstLine="0" w:firstLineChars="0"/>
    </w:pPr>
    <w:rPr>
      <w:rFonts w:eastAsia="宋体"/>
      <w:sz w:val="18"/>
      <w:szCs w:val="18"/>
    </w:rPr>
  </w:style>
  <w:style w:type="paragraph" w:styleId="12">
    <w:name w:val="footer"/>
    <w:basedOn w:val="1"/>
    <w:link w:val="23"/>
    <w:uiPriority w:val="0"/>
    <w:pPr>
      <w:tabs>
        <w:tab w:val="center" w:pos="4153"/>
        <w:tab w:val="right" w:pos="8306"/>
      </w:tabs>
      <w:spacing w:line="240" w:lineRule="atLeast"/>
      <w:jc w:val="left"/>
    </w:pPr>
    <w:rPr>
      <w:sz w:val="18"/>
      <w:szCs w:val="18"/>
    </w:rPr>
  </w:style>
  <w:style w:type="paragraph" w:styleId="13">
    <w:name w:val="header"/>
    <w:basedOn w:val="1"/>
    <w:link w:val="24"/>
    <w:uiPriority w:val="0"/>
    <w:pPr>
      <w:pBdr>
        <w:bottom w:val="single" w:color="auto" w:sz="6" w:space="1"/>
      </w:pBdr>
      <w:tabs>
        <w:tab w:val="center" w:pos="4153"/>
        <w:tab w:val="right" w:pos="8306"/>
      </w:tabs>
      <w:spacing w:line="240" w:lineRule="atLeast"/>
      <w:jc w:val="center"/>
    </w:pPr>
    <w:rPr>
      <w:sz w:val="18"/>
      <w:szCs w:val="18"/>
    </w:rPr>
  </w:style>
  <w:style w:type="paragraph" w:styleId="14">
    <w:name w:val="HTML Preformatted"/>
    <w:basedOn w:val="1"/>
    <w:link w:val="29"/>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uiPriority w:val="0"/>
  </w:style>
  <w:style w:type="character" w:customStyle="1" w:styleId="20">
    <w:name w:val="标题 1 Char"/>
    <w:basedOn w:val="17"/>
    <w:link w:val="2"/>
    <w:locked/>
    <w:uiPriority w:val="0"/>
    <w:rPr>
      <w:rFonts w:eastAsia="方正小标宋简体"/>
      <w:bCs/>
      <w:kern w:val="44"/>
      <w:sz w:val="44"/>
      <w:szCs w:val="44"/>
    </w:rPr>
  </w:style>
  <w:style w:type="character" w:customStyle="1" w:styleId="21">
    <w:name w:val="标题 3 Char"/>
    <w:basedOn w:val="17"/>
    <w:link w:val="4"/>
    <w:uiPriority w:val="0"/>
    <w:rPr>
      <w:rFonts w:eastAsia="楷体_GB2312"/>
      <w:b/>
      <w:bCs/>
      <w:kern w:val="2"/>
      <w:sz w:val="32"/>
      <w:szCs w:val="32"/>
    </w:rPr>
  </w:style>
  <w:style w:type="character" w:customStyle="1" w:styleId="22">
    <w:name w:val="标题 4 Char1"/>
    <w:basedOn w:val="17"/>
    <w:link w:val="5"/>
    <w:locked/>
    <w:uiPriority w:val="0"/>
    <w:rPr>
      <w:rFonts w:eastAsia="方正小标宋简体"/>
      <w:bCs/>
      <w:kern w:val="2"/>
      <w:sz w:val="36"/>
      <w:szCs w:val="28"/>
    </w:rPr>
  </w:style>
  <w:style w:type="character" w:customStyle="1" w:styleId="23">
    <w:name w:val="页脚 Char"/>
    <w:basedOn w:val="17"/>
    <w:link w:val="12"/>
    <w:semiHidden/>
    <w:uiPriority w:val="0"/>
    <w:rPr>
      <w:rFonts w:eastAsia="仿宋_GB2312"/>
      <w:kern w:val="2"/>
      <w:sz w:val="18"/>
      <w:szCs w:val="18"/>
      <w:lang w:val="en-US" w:eastAsia="zh-CN" w:bidi="ar-SA"/>
    </w:rPr>
  </w:style>
  <w:style w:type="character" w:customStyle="1" w:styleId="24">
    <w:name w:val="页眉 Char"/>
    <w:basedOn w:val="17"/>
    <w:link w:val="13"/>
    <w:semiHidden/>
    <w:uiPriority w:val="0"/>
    <w:rPr>
      <w:rFonts w:eastAsia="仿宋_GB2312"/>
      <w:kern w:val="2"/>
      <w:sz w:val="18"/>
      <w:szCs w:val="18"/>
      <w:lang w:val="en-US" w:eastAsia="zh-CN" w:bidi="ar-SA"/>
    </w:rPr>
  </w:style>
  <w:style w:type="paragraph" w:customStyle="1" w:styleId="25">
    <w:name w:val="表头"/>
    <w:basedOn w:val="1"/>
    <w:uiPriority w:val="0"/>
    <w:pPr>
      <w:spacing w:before="80" w:after="80" w:line="280" w:lineRule="atLeast"/>
      <w:ind w:firstLine="0" w:firstLineChars="0"/>
      <w:jc w:val="center"/>
    </w:pPr>
    <w:rPr>
      <w:rFonts w:eastAsia="黑体" w:cs="宋体"/>
      <w:sz w:val="24"/>
    </w:rPr>
  </w:style>
  <w:style w:type="paragraph" w:customStyle="1" w:styleId="26">
    <w:name w:val="表内文字"/>
    <w:basedOn w:val="1"/>
    <w:uiPriority w:val="0"/>
    <w:pPr>
      <w:spacing w:before="60" w:after="60" w:line="280" w:lineRule="atLeast"/>
      <w:ind w:firstLine="0" w:firstLineChars="0"/>
    </w:pPr>
    <w:rPr>
      <w:sz w:val="24"/>
    </w:rPr>
  </w:style>
  <w:style w:type="character" w:customStyle="1" w:styleId="27">
    <w:name w:val="批注框文本 Char"/>
    <w:basedOn w:val="17"/>
    <w:link w:val="11"/>
    <w:semiHidden/>
    <w:uiPriority w:val="0"/>
    <w:rPr>
      <w:rFonts w:eastAsia="宋体"/>
      <w:kern w:val="2"/>
      <w:sz w:val="18"/>
      <w:szCs w:val="18"/>
      <w:lang w:val="en-US" w:eastAsia="zh-CN" w:bidi="ar-SA"/>
    </w:rPr>
  </w:style>
  <w:style w:type="paragraph" w:customStyle="1" w:styleId="28">
    <w:name w:val="p0"/>
    <w:basedOn w:val="1"/>
    <w:uiPriority w:val="0"/>
    <w:pPr>
      <w:widowControl/>
      <w:adjustRightInd/>
      <w:snapToGrid/>
      <w:spacing w:line="240" w:lineRule="auto"/>
      <w:ind w:firstLine="0" w:firstLineChars="0"/>
    </w:pPr>
    <w:rPr>
      <w:rFonts w:eastAsia="宋体"/>
      <w:kern w:val="0"/>
      <w:sz w:val="21"/>
      <w:szCs w:val="21"/>
    </w:rPr>
  </w:style>
  <w:style w:type="character" w:customStyle="1" w:styleId="29">
    <w:name w:val="HTML 预设格式 Char"/>
    <w:basedOn w:val="17"/>
    <w:link w:val="14"/>
    <w:semiHidden/>
    <w:locked/>
    <w:uiPriority w:val="0"/>
    <w:rPr>
      <w:rFonts w:ascii="宋体" w:hAnsi="宋体" w:eastAsia="宋体" w:cs="宋体"/>
      <w:sz w:val="24"/>
      <w:szCs w:val="24"/>
      <w:lang w:val="en-US" w:eastAsia="zh-CN" w:bidi="ar-SA"/>
    </w:rPr>
  </w:style>
  <w:style w:type="character" w:customStyle="1" w:styleId="30">
    <w:name w:val="纯文本 Char"/>
    <w:basedOn w:val="17"/>
    <w:link w:val="8"/>
    <w:locked/>
    <w:uiPriority w:val="0"/>
    <w:rPr>
      <w:rFonts w:ascii="宋体" w:hAnsi="Courier New" w:eastAsia="宋体" w:cs="Courier New"/>
      <w:kern w:val="2"/>
      <w:sz w:val="21"/>
      <w:szCs w:val="21"/>
      <w:lang w:val="en-US" w:eastAsia="zh-CN" w:bidi="ar-SA"/>
    </w:rPr>
  </w:style>
  <w:style w:type="paragraph" w:customStyle="1" w:styleId="31">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2">
    <w:name w:val="15"/>
    <w:basedOn w:val="17"/>
    <w:uiPriority w:val="0"/>
    <w:rPr>
      <w:rFonts w:hint="default" w:ascii="Times New Roman" w:hAnsi="Times New Roman" w:cs="Times New Roman"/>
      <w:color w:val="0000FF"/>
      <w:u w:val="single"/>
    </w:rPr>
  </w:style>
  <w:style w:type="character" w:customStyle="1" w:styleId="33">
    <w:name w:val="标题 2 Char"/>
    <w:basedOn w:val="17"/>
    <w:link w:val="3"/>
    <w:uiPriority w:val="0"/>
    <w:rPr>
      <w:rFonts w:eastAsia="黑体"/>
      <w:bCs/>
      <w:kern w:val="2"/>
      <w:sz w:val="32"/>
      <w:szCs w:val="32"/>
    </w:rPr>
  </w:style>
  <w:style w:type="character" w:customStyle="1" w:styleId="34">
    <w:name w:val="标题 4 Char"/>
    <w:basedOn w:val="17"/>
    <w:uiPriority w:val="0"/>
    <w:rPr>
      <w:rFonts w:eastAsia="仿宋_GB2312"/>
      <w:bCs/>
      <w:kern w:val="2"/>
      <w:sz w:val="32"/>
      <w:szCs w:val="28"/>
      <w:lang w:val="en-US" w:eastAsia="zh-CN" w:bidi="ar-SA"/>
    </w:rPr>
  </w:style>
  <w:style w:type="paragraph" w:styleId="35">
    <w:name w:val="List Paragraph"/>
    <w:basedOn w:val="1"/>
    <w:qFormat/>
    <w:uiPriority w:val="34"/>
    <w:pPr>
      <w:adjustRightInd/>
      <w:snapToGrid/>
      <w:spacing w:line="240" w:lineRule="auto"/>
      <w:ind w:firstLine="420"/>
    </w:pPr>
    <w:rPr>
      <w:rFonts w:eastAsia="宋体"/>
      <w:sz w:val="21"/>
      <w:szCs w:val="22"/>
    </w:rPr>
  </w:style>
  <w:style w:type="paragraph" w:customStyle="1" w:styleId="36">
    <w:name w:val="Defaul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6"/>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334</Words>
  <Characters>1905</Characters>
  <Lines>15</Lines>
  <Paragraphs>4</Paragraphs>
  <TotalTime>3</TotalTime>
  <ScaleCrop>false</ScaleCrop>
  <LinksUpToDate>false</LinksUpToDate>
  <CharactersWithSpaces>2235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2021-02-05T02:49:00Z</dcterms:created>
  <dc:creator>walkinnet</dc:creator>
  <cp:lastModifiedBy>Administrator</cp:lastModifiedBy>
  <cp:lastPrinted>2021-02-05T02:47:00Z</cp:lastPrinted>
  <dcterms:modified xsi:type="dcterms:W3CDTF">2021-04-15T07:54:45Z</dcterms:modified>
  <dc:title>湘农业函〔2014〕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AEB8842E4A554967B5A5F31F4FDDE290</vt:lpwstr>
  </property>
</Properties>
</file>