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Ansi="Times New Roman"/>
          <w:b/>
          <w:bCs/>
          <w:color w:val="000000"/>
          <w:sz w:val="32"/>
          <w:szCs w:val="32"/>
          <w:highlight w:val="none"/>
        </w:rPr>
      </w:pP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HNPR</w:t>
      </w:r>
      <w:r>
        <w:rPr>
          <w:rFonts w:hint="eastAsia" w:ascii="Times New Roman" w:hAnsi="Times New Roman" w:eastAsia="宋体" w:cs="宋体"/>
          <w:i w:val="0"/>
          <w:caps w:val="0"/>
          <w:color w:val="333333"/>
          <w:spacing w:val="0"/>
          <w:kern w:val="0"/>
          <w:sz w:val="32"/>
          <w:szCs w:val="32"/>
          <w:shd w:val="clear" w:color="auto" w:fill="FFFFFF"/>
          <w:lang w:val="en-US" w:eastAsia="zh-CN" w:bidi="ar"/>
        </w:rPr>
        <w:t>－</w:t>
      </w: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202</w:t>
      </w:r>
      <w:r>
        <w:rPr>
          <w:rFonts w:hint="eastAsia" w:ascii="Times New Roman" w:hAnsi="Times New Roman" w:eastAsia="微软雅黑" w:cs="Times New Roman"/>
          <w:i w:val="0"/>
          <w:caps w:val="0"/>
          <w:color w:val="333333"/>
          <w:spacing w:val="0"/>
          <w:kern w:val="0"/>
          <w:sz w:val="32"/>
          <w:szCs w:val="32"/>
          <w:shd w:val="clear" w:color="auto" w:fill="FFFFFF"/>
          <w:lang w:val="en-US" w:eastAsia="zh-CN" w:bidi="ar"/>
        </w:rPr>
        <w:t>6</w:t>
      </w:r>
      <w:r>
        <w:rPr>
          <w:rFonts w:hint="eastAsia" w:ascii="Times New Roman" w:hAnsi="Times New Roman" w:eastAsia="宋体" w:cs="宋体"/>
          <w:i w:val="0"/>
          <w:caps w:val="0"/>
          <w:color w:val="333333"/>
          <w:spacing w:val="0"/>
          <w:kern w:val="0"/>
          <w:sz w:val="32"/>
          <w:szCs w:val="32"/>
          <w:shd w:val="clear" w:color="auto" w:fill="FFFFFF"/>
          <w:lang w:val="en-US" w:eastAsia="zh-CN" w:bidi="ar"/>
        </w:rPr>
        <w:t>－</w:t>
      </w: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040</w:t>
      </w:r>
      <w:r>
        <w:rPr>
          <w:rFonts w:hint="eastAsia" w:ascii="Times New Roman" w:hAnsi="Times New Roman" w:eastAsia="微软雅黑" w:cs="Times New Roman"/>
          <w:i w:val="0"/>
          <w:caps w:val="0"/>
          <w:color w:val="333333"/>
          <w:spacing w:val="0"/>
          <w:kern w:val="0"/>
          <w:sz w:val="32"/>
          <w:szCs w:val="32"/>
          <w:shd w:val="clear" w:color="auto" w:fill="FFFFFF"/>
          <w:lang w:val="en-US" w:eastAsia="zh-CN" w:bidi="ar"/>
        </w:rPr>
        <w:t>1</w:t>
      </w:r>
      <w:r>
        <w:rPr>
          <w:rFonts w:hint="eastAsia" w:eastAsia="微软雅黑" w:cs="Times New Roman"/>
          <w:i w:val="0"/>
          <w:caps w:val="0"/>
          <w:color w:val="333333"/>
          <w:spacing w:val="0"/>
          <w:kern w:val="0"/>
          <w:sz w:val="32"/>
          <w:szCs w:val="32"/>
          <w:shd w:val="clear" w:color="auto" w:fill="FFFFFF"/>
          <w:lang w:val="en-US" w:eastAsia="zh-CN" w:bidi="ar"/>
        </w:rPr>
        <w:t>5</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highlight w:val="none"/>
        </w:rPr>
      </w:pPr>
    </w:p>
    <w:tbl>
      <w:tblPr>
        <w:tblStyle w:val="29"/>
        <w:tblW w:w="757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93"/>
        <w:gridCol w:w="1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5993"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0"/>
                <w:w w:val="95"/>
                <w:sz w:val="68"/>
                <w:szCs w:val="68"/>
                <w:highlight w:val="none"/>
                <w:lang w:val="en-US" w:eastAsia="zh-CN"/>
              </w:rPr>
            </w:pPr>
          </w:p>
        </w:tc>
        <w:tc>
          <w:tcPr>
            <w:tcW w:w="1586" w:type="dxa"/>
            <w:vMerge w:val="restart"/>
            <w:tcBorders>
              <w:lef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center"/>
              <w:textAlignment w:val="auto"/>
              <w:outlineLvl w:val="9"/>
              <w:rPr>
                <w:rFonts w:hint="eastAsia" w:ascii="Times New Roman" w:hAnsi="Times New Roman" w:eastAsia="方正大标宋简体"/>
                <w:bCs/>
                <w:color w:val="FF0000"/>
                <w:spacing w:val="0"/>
                <w:w w:val="95"/>
                <w:sz w:val="68"/>
                <w:szCs w:val="6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5993"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0"/>
                <w:w w:val="95"/>
                <w:sz w:val="68"/>
                <w:szCs w:val="68"/>
                <w:highlight w:val="none"/>
                <w:lang w:val="en-US" w:eastAsia="zh-CN"/>
              </w:rPr>
            </w:pPr>
          </w:p>
        </w:tc>
        <w:tc>
          <w:tcPr>
            <w:tcW w:w="1586" w:type="dxa"/>
            <w:vMerge w:val="continue"/>
            <w:tcBorders>
              <w:lef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distribute"/>
              <w:textAlignment w:val="auto"/>
              <w:rPr>
                <w:rFonts w:hint="eastAsia" w:ascii="Times New Roman" w:hAnsi="Times New Roman" w:eastAsia="方正大标宋简体"/>
                <w:bCs/>
                <w:color w:val="FF0000"/>
                <w:spacing w:val="0"/>
                <w:w w:val="95"/>
                <w:sz w:val="72"/>
                <w:szCs w:val="72"/>
                <w:highlight w:val="none"/>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5993"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left"/>
              <w:textAlignment w:val="auto"/>
              <w:outlineLvl w:val="9"/>
              <w:rPr>
                <w:rFonts w:hint="eastAsia" w:ascii="Times New Roman" w:hAnsi="Times New Roman" w:eastAsia="方正大标宋简体" w:cs="Times New Roman"/>
                <w:bCs/>
                <w:color w:val="FF0000"/>
                <w:spacing w:val="0"/>
                <w:w w:val="65"/>
                <w:sz w:val="68"/>
                <w:szCs w:val="68"/>
                <w:highlight w:val="none"/>
                <w:lang w:val="en-US" w:eastAsia="zh-CN"/>
              </w:rPr>
            </w:pPr>
          </w:p>
        </w:tc>
        <w:tc>
          <w:tcPr>
            <w:tcW w:w="1586" w:type="dxa"/>
            <w:vMerge w:val="continue"/>
            <w:tcBorders>
              <w:lef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line="800" w:lineRule="exact"/>
              <w:ind w:left="0" w:leftChars="0" w:right="0" w:rightChars="0" w:firstLine="0" w:firstLineChars="0"/>
              <w:jc w:val="distribute"/>
              <w:textAlignment w:val="auto"/>
              <w:rPr>
                <w:rFonts w:hint="eastAsia" w:ascii="Times New Roman" w:hAnsi="Times New Roman" w:eastAsia="方正大标宋简体"/>
                <w:bCs/>
                <w:color w:val="FF0000"/>
                <w:spacing w:val="0"/>
                <w:w w:val="95"/>
                <w:sz w:val="72"/>
                <w:szCs w:val="72"/>
                <w:highlight w:val="none"/>
                <w:vertAlign w:val="baseline"/>
                <w:lang w:val="en-US" w:eastAsia="zh-CN"/>
              </w:rPr>
            </w:pPr>
          </w:p>
        </w:tc>
      </w:tr>
    </w:tbl>
    <w:p>
      <w:pPr>
        <w:pStyle w:val="2"/>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highlight w:val="none"/>
        </w:rPr>
      </w:pP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0" w:firstLineChars="0"/>
        <w:jc w:val="center"/>
        <w:textAlignment w:val="auto"/>
        <w:outlineLvl w:val="9"/>
        <w:rPr>
          <w:rFonts w:hint="default" w:ascii="Times New Roman" w:hAnsi="Times New Roman" w:eastAsia="长城长宋体" w:cs="Times New Roman"/>
          <w:bCs/>
          <w:color w:val="000000"/>
          <w:w w:val="80"/>
          <w:sz w:val="84"/>
          <w:szCs w:val="84"/>
          <w:highlight w:val="none"/>
        </w:rPr>
      </w:pPr>
      <w:r>
        <w:rPr>
          <w:rFonts w:hint="default" w:ascii="Times New Roman" w:hAnsi="Times New Roman" w:eastAsia="仿宋_GB2312" w:cs="Times New Roman"/>
          <w:color w:val="000000"/>
          <w:sz w:val="32"/>
          <w:szCs w:val="32"/>
          <w:highlight w:val="none"/>
        </w:rPr>
        <w:t>湘科</w:t>
      </w:r>
      <w:r>
        <w:rPr>
          <w:rFonts w:hint="default" w:ascii="Times New Roman" w:hAnsi="Times New Roman" w:eastAsia="仿宋_GB2312" w:cs="Times New Roman"/>
          <w:color w:val="000000"/>
          <w:sz w:val="32"/>
          <w:szCs w:val="32"/>
          <w:highlight w:val="none"/>
          <w:lang w:eastAsia="zh-CN"/>
        </w:rPr>
        <w:t>发</w:t>
      </w:r>
      <w:r>
        <w:rPr>
          <w:rFonts w:hint="eastAsia" w:ascii="Times New Roman" w:hAnsi="Times New Roman" w:eastAsia="仿宋_GB2312" w:cs="仿宋_GB2312"/>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2026</w:t>
      </w:r>
      <w:r>
        <w:rPr>
          <w:rFonts w:hint="eastAsia" w:ascii="Times New Roman" w:hAnsi="Times New Roman" w:eastAsia="仿宋_GB2312" w:cs="仿宋_GB2312"/>
          <w:color w:val="000000"/>
          <w:sz w:val="32"/>
          <w:szCs w:val="32"/>
          <w:highlight w:val="none"/>
        </w:rPr>
        <w:t>〕</w:t>
      </w:r>
      <w:r>
        <w:rPr>
          <w:rFonts w:hint="eastAsia" w:ascii="Times New Roman" w:hAnsi="Times New Roman" w:cs="Times New Roman"/>
          <w:color w:val="000000"/>
          <w:sz w:val="32"/>
          <w:szCs w:val="32"/>
          <w:highlight w:val="none"/>
          <w:lang w:val="en-US" w:eastAsia="zh-CN"/>
        </w:rPr>
        <w:t>98</w:t>
      </w:r>
      <w:r>
        <w:rPr>
          <w:rFonts w:hint="default" w:ascii="Times New Roman" w:hAnsi="Times New Roman" w:eastAsia="仿宋_GB2312" w:cs="Times New Roman"/>
          <w:color w:val="000000"/>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spacing w:val="-19"/>
          <w:sz w:val="44"/>
          <w:szCs w:val="44"/>
        </w:rPr>
      </w:pPr>
      <w:r>
        <w:rPr>
          <w:rFonts w:hint="default" w:ascii="Times New Roman" w:hAnsi="Times New Roman" w:eastAsia="方正小标宋简体" w:cs="Times New Roman"/>
          <w:color w:val="000000"/>
          <w:spacing w:val="-19"/>
          <w:sz w:val="44"/>
          <w:szCs w:val="44"/>
        </w:rPr>
        <w:t>关于印发《</w:t>
      </w:r>
      <w:r>
        <w:rPr>
          <w:rFonts w:hint="default" w:ascii="Times New Roman" w:hAnsi="Times New Roman" w:eastAsia="方正小标宋简体" w:cs="Times New Roman"/>
          <w:color w:val="000000"/>
          <w:sz w:val="44"/>
          <w:szCs w:val="44"/>
          <w:lang w:eastAsia="zh-CN"/>
        </w:rPr>
        <w:t>关于实施湖南省大学生创业实战型校外导师激励的若干措施（试行）</w:t>
      </w:r>
      <w:r>
        <w:rPr>
          <w:rFonts w:hint="default" w:ascii="Times New Roman" w:hAnsi="Times New Roman" w:eastAsia="方正小标宋简体" w:cs="Times New Roman"/>
          <w:color w:val="000000"/>
          <w:spacing w:val="-19"/>
          <w:sz w:val="44"/>
          <w:szCs w:val="44"/>
        </w:rPr>
        <w:t>》的通知</w:t>
      </w:r>
    </w:p>
    <w:p>
      <w:pPr>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rightChars="0" w:firstLine="0" w:firstLineChars="0"/>
        <w:jc w:val="both"/>
        <w:textAlignment w:val="auto"/>
        <w:outlineLvl w:val="9"/>
        <w:rPr>
          <w:rFonts w:hint="eastAsia" w:ascii="Times New Roman" w:hAnsi="Times New Roman" w:eastAsia="仿宋_GB2312" w:cs="仿宋_GB2312"/>
          <w:color w:val="000000"/>
          <w:spacing w:val="0"/>
          <w:w w:val="100"/>
          <w:sz w:val="32"/>
          <w:szCs w:val="32"/>
        </w:rPr>
      </w:pP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jc w:val="both"/>
        <w:textAlignment w:val="auto"/>
        <w:outlineLvl w:val="9"/>
        <w:rPr>
          <w:rFonts w:hint="eastAsia" w:ascii="Times New Roman" w:hAnsi="Times New Roman" w:eastAsia="仿宋_GB2312" w:cs="仿宋_GB2312"/>
          <w:color w:val="000000"/>
          <w:spacing w:val="0"/>
          <w:w w:val="100"/>
          <w:sz w:val="32"/>
          <w:szCs w:val="32"/>
        </w:rPr>
      </w:pPr>
      <w:r>
        <w:rPr>
          <w:rFonts w:hint="eastAsia" w:ascii="Times New Roman" w:hAnsi="Times New Roman" w:eastAsia="仿宋_GB2312" w:cs="仿宋_GB2312"/>
          <w:color w:val="000000"/>
          <w:spacing w:val="0"/>
          <w:w w:val="100"/>
          <w:sz w:val="32"/>
          <w:szCs w:val="32"/>
        </w:rPr>
        <w:t>各市州科技、教育、人力资源社会保障管理部门，各</w:t>
      </w:r>
      <w:r>
        <w:rPr>
          <w:rFonts w:hint="eastAsia" w:ascii="Times New Roman" w:hAnsi="Times New Roman" w:eastAsia="仿宋_GB2312" w:cs="仿宋_GB2312"/>
          <w:color w:val="000000"/>
          <w:spacing w:val="0"/>
          <w:w w:val="100"/>
          <w:sz w:val="32"/>
          <w:szCs w:val="32"/>
          <w:lang w:eastAsia="zh-CN"/>
        </w:rPr>
        <w:t>普通</w:t>
      </w:r>
      <w:r>
        <w:rPr>
          <w:rFonts w:hint="eastAsia" w:ascii="Times New Roman" w:hAnsi="Times New Roman" w:eastAsia="仿宋_GB2312" w:cs="仿宋_GB2312"/>
          <w:color w:val="000000"/>
          <w:spacing w:val="0"/>
          <w:w w:val="100"/>
          <w:sz w:val="32"/>
          <w:szCs w:val="32"/>
        </w:rPr>
        <w:t>高校，湖南湘江新区管委会，各高新区管委会：</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spacing w:val="0"/>
          <w:w w:val="100"/>
          <w:sz w:val="32"/>
          <w:szCs w:val="32"/>
        </w:rPr>
      </w:pPr>
      <w:r>
        <w:rPr>
          <w:rFonts w:hint="eastAsia" w:ascii="Times New Roman" w:hAnsi="Times New Roman" w:eastAsia="仿宋_GB2312" w:cs="仿宋_GB2312"/>
          <w:color w:val="000000"/>
          <w:spacing w:val="0"/>
          <w:w w:val="100"/>
          <w:sz w:val="32"/>
          <w:szCs w:val="32"/>
        </w:rPr>
        <w:t>现将《关于实施湖南省大学生创业实战型校外导师激励的若干措施（试行）》印发给你们，请认真贯彻执行。</w:t>
      </w:r>
    </w:p>
    <w:p>
      <w:pPr>
        <w:pStyle w:val="20"/>
        <w:keepNext w:val="0"/>
        <w:keepLines w:val="0"/>
        <w:pageBreakBefore w:val="0"/>
        <w:widowControl w:val="0"/>
        <w:kinsoku/>
        <w:wordWrap/>
        <w:overflowPunct/>
        <w:topLinePunct w:val="0"/>
        <w:autoSpaceDE/>
        <w:autoSpaceDN/>
        <w:bidi w:val="0"/>
        <w:adjustRightInd/>
        <w:snapToGrid/>
        <w:spacing w:after="160" w:line="800" w:lineRule="exact"/>
        <w:ind w:left="0" w:leftChars="0" w:right="0" w:rightChars="0" w:firstLine="0" w:firstLineChars="0"/>
        <w:jc w:val="both"/>
        <w:textAlignment w:val="auto"/>
        <w:outlineLvl w:val="9"/>
        <w:rPr>
          <w:rFonts w:hint="eastAsia" w:ascii="Times New Roman" w:hAnsi="Times New Roman" w:eastAsia="仿宋_GB2312" w:cs="仿宋_GB2312"/>
        </w:rPr>
      </w:pPr>
    </w:p>
    <w:p>
      <w:pPr>
        <w:pStyle w:val="13"/>
        <w:keepNext w:val="0"/>
        <w:keepLines w:val="0"/>
        <w:pageBreakBefore w:val="0"/>
        <w:widowControl w:val="0"/>
        <w:kinsoku/>
        <w:wordWrap/>
        <w:overflowPunct/>
        <w:topLinePunct w:val="0"/>
        <w:autoSpaceDE/>
        <w:autoSpaceDN/>
        <w:bidi w:val="0"/>
        <w:adjustRightInd/>
        <w:snapToGrid/>
        <w:spacing w:after="240" w:line="279" w:lineRule="auto"/>
        <w:ind w:left="0" w:leftChars="0" w:right="0" w:rightChars="0" w:firstLine="0" w:firstLineChars="0"/>
        <w:jc w:val="both"/>
        <w:textAlignment w:val="auto"/>
        <w:outlineLvl w:val="9"/>
        <w:rPr>
          <w:rFonts w:hint="eastAsia" w:ascii="Times New Roman" w:hAnsi="Times New Roman"/>
        </w:rPr>
      </w:pP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0" w:firstLineChars="0"/>
        <w:jc w:val="center"/>
        <w:textAlignment w:val="auto"/>
        <w:outlineLvl w:val="9"/>
        <w:rPr>
          <w:rFonts w:hint="eastAsia" w:ascii="Times New Roman" w:hAnsi="Times New Roman" w:eastAsia="仿宋_GB2312" w:cs="仿宋_GB2312"/>
          <w:color w:val="000000"/>
          <w:w w:val="95"/>
          <w:sz w:val="32"/>
          <w:szCs w:val="32"/>
        </w:rPr>
      </w:pPr>
      <w:r>
        <w:rPr>
          <w:rFonts w:hint="eastAsia" w:ascii="Times New Roman" w:hAnsi="Times New Roman" w:eastAsia="仿宋_GB2312" w:cs="仿宋_GB2312"/>
          <w:color w:val="000000"/>
          <w:spacing w:val="0"/>
          <w:w w:val="91"/>
          <w:sz w:val="32"/>
          <w:szCs w:val="32"/>
        </w:rPr>
        <w:t>湖南省科学技术厅</w:t>
      </w:r>
      <w:r>
        <w:rPr>
          <w:rFonts w:hint="eastAsia" w:ascii="Times New Roman" w:hAnsi="Times New Roman" w:eastAsia="仿宋_GB2312" w:cs="仿宋_GB2312"/>
          <w:color w:val="000000"/>
          <w:spacing w:val="0"/>
          <w:w w:val="91"/>
          <w:sz w:val="32"/>
          <w:szCs w:val="32"/>
          <w:lang w:val="en-US" w:eastAsia="zh-CN"/>
        </w:rPr>
        <w:t xml:space="preserve">     </w:t>
      </w:r>
      <w:r>
        <w:rPr>
          <w:rFonts w:hint="eastAsia" w:ascii="Times New Roman" w:hAnsi="Times New Roman" w:eastAsia="仿宋_GB2312" w:cs="仿宋_GB2312"/>
          <w:color w:val="000000"/>
          <w:spacing w:val="0"/>
          <w:w w:val="91"/>
          <w:sz w:val="32"/>
          <w:szCs w:val="32"/>
        </w:rPr>
        <w:t>湖南省</w:t>
      </w:r>
      <w:r>
        <w:rPr>
          <w:rFonts w:hint="eastAsia" w:ascii="Times New Roman" w:hAnsi="Times New Roman" w:eastAsia="仿宋_GB2312" w:cs="仿宋_GB2312"/>
          <w:color w:val="000000"/>
          <w:spacing w:val="0"/>
          <w:w w:val="91"/>
          <w:sz w:val="32"/>
          <w:szCs w:val="32"/>
          <w:lang w:eastAsia="zh-CN"/>
        </w:rPr>
        <w:t>教育厅</w:t>
      </w:r>
      <w:r>
        <w:rPr>
          <w:rFonts w:hint="eastAsia" w:ascii="Times New Roman" w:hAnsi="Times New Roman" w:eastAsia="仿宋_GB2312" w:cs="仿宋_GB2312"/>
          <w:color w:val="000000"/>
          <w:spacing w:val="0"/>
          <w:w w:val="91"/>
          <w:sz w:val="32"/>
          <w:szCs w:val="32"/>
          <w:lang w:val="en-US" w:eastAsia="zh-CN"/>
        </w:rPr>
        <w:t xml:space="preserve">  </w:t>
      </w:r>
      <w:r>
        <w:rPr>
          <w:rFonts w:hint="eastAsia" w:ascii="Times New Roman" w:hAnsi="Times New Roman" w:eastAsia="仿宋_GB2312" w:cs="仿宋_GB2312"/>
          <w:color w:val="000000"/>
          <w:spacing w:val="-6"/>
          <w:w w:val="91"/>
          <w:sz w:val="32"/>
          <w:szCs w:val="32"/>
        </w:rPr>
        <w:t>湖南省人力资源</w:t>
      </w:r>
      <w:r>
        <w:rPr>
          <w:rFonts w:hint="eastAsia" w:ascii="Times New Roman" w:hAnsi="Times New Roman" w:eastAsia="仿宋_GB2312" w:cs="仿宋_GB2312"/>
          <w:color w:val="000000"/>
          <w:spacing w:val="-6"/>
          <w:w w:val="91"/>
          <w:sz w:val="32"/>
          <w:szCs w:val="32"/>
          <w:lang w:eastAsia="zh-CN"/>
        </w:rPr>
        <w:t>和</w:t>
      </w:r>
      <w:r>
        <w:rPr>
          <w:rFonts w:hint="eastAsia" w:ascii="Times New Roman" w:hAnsi="Times New Roman" w:eastAsia="仿宋_GB2312" w:cs="仿宋_GB2312"/>
          <w:color w:val="000000"/>
          <w:spacing w:val="-6"/>
          <w:w w:val="91"/>
          <w:sz w:val="32"/>
          <w:szCs w:val="32"/>
        </w:rPr>
        <w:t xml:space="preserve">社会保障厅  </w:t>
      </w:r>
      <w:r>
        <w:rPr>
          <w:rFonts w:hint="eastAsia" w:ascii="Times New Roman" w:hAnsi="Times New Roman" w:eastAsia="仿宋_GB2312" w:cs="仿宋_GB2312"/>
          <w:color w:val="000000"/>
          <w:spacing w:val="-6"/>
          <w:w w:val="95"/>
          <w:sz w:val="32"/>
          <w:szCs w:val="32"/>
        </w:rPr>
        <w:t xml:space="preserve">    </w:t>
      </w:r>
      <w:r>
        <w:rPr>
          <w:rFonts w:hint="eastAsia" w:ascii="Times New Roman" w:hAnsi="Times New Roman" w:eastAsia="仿宋_GB2312" w:cs="仿宋_GB2312"/>
          <w:color w:val="000000"/>
          <w:w w:val="95"/>
          <w:sz w:val="32"/>
          <w:szCs w:val="32"/>
        </w:rPr>
        <w:t xml:space="preserve">   </w:t>
      </w:r>
    </w:p>
    <w:p>
      <w:pPr>
        <w:pStyle w:val="14"/>
        <w:keepNext w:val="0"/>
        <w:keepLines w:val="0"/>
        <w:pageBreakBefore w:val="0"/>
        <w:widowControl w:val="0"/>
        <w:kinsoku/>
        <w:wordWrap/>
        <w:overflowPunct/>
        <w:topLinePunct w:val="0"/>
        <w:autoSpaceDE/>
        <w:autoSpaceDN/>
        <w:bidi w:val="0"/>
        <w:spacing w:after="0" w:line="240" w:lineRule="auto"/>
        <w:ind w:left="0" w:leftChars="0" w:right="0" w:rightChars="0" w:firstLine="0" w:firstLineChars="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仿宋_GB2312"/>
          <w:color w:val="000000"/>
          <w:sz w:val="32"/>
          <w:szCs w:val="32"/>
        </w:rPr>
        <w:t xml:space="preserve"> </w:t>
      </w: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Times New Roman"/>
          <w:bCs/>
          <w:kern w:val="2"/>
          <w:sz w:val="32"/>
          <w:szCs w:val="32"/>
          <w:lang w:val="en-US" w:eastAsia="zh-CN" w:bidi="ar-SA"/>
        </w:rPr>
        <w:t xml:space="preserve"> 2026年7月20日</w:t>
      </w:r>
    </w:p>
    <w:p>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52"/>
          <w:lang w:val="en" w:eastAsia="zh-CN"/>
        </w:rPr>
      </w:pPr>
    </w:p>
    <w:p>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52"/>
          <w:lang w:val="en" w:eastAsia="zh-CN"/>
        </w:rPr>
      </w:pPr>
      <w:r>
        <w:rPr>
          <w:rFonts w:hint="default" w:ascii="Times New Roman" w:hAnsi="Times New Roman" w:eastAsia="方正小标宋简体" w:cs="Times New Roman"/>
          <w:sz w:val="44"/>
          <w:szCs w:val="52"/>
          <w:lang w:val="en" w:eastAsia="zh-CN"/>
        </w:rPr>
        <w:t>关于实施</w:t>
      </w:r>
      <w:r>
        <w:rPr>
          <w:rFonts w:hint="eastAsia" w:ascii="Times New Roman" w:hAnsi="Times New Roman" w:eastAsia="方正小标宋简体" w:cs="Times New Roman"/>
          <w:sz w:val="44"/>
          <w:szCs w:val="52"/>
          <w:lang w:val="en" w:eastAsia="zh-CN"/>
        </w:rPr>
        <w:t>湖南省</w:t>
      </w:r>
      <w:r>
        <w:rPr>
          <w:rFonts w:hint="default" w:ascii="Times New Roman" w:hAnsi="Times New Roman" w:eastAsia="方正小标宋简体" w:cs="Times New Roman"/>
          <w:sz w:val="44"/>
          <w:szCs w:val="52"/>
          <w:lang w:val="en" w:eastAsia="zh-CN"/>
        </w:rPr>
        <w:t>大学生创业实战型校外导师</w:t>
      </w:r>
    </w:p>
    <w:p>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52"/>
          <w:lang w:val="en" w:eastAsia="zh-CN"/>
        </w:rPr>
      </w:pPr>
      <w:r>
        <w:rPr>
          <w:rFonts w:hint="default" w:ascii="Times New Roman" w:hAnsi="Times New Roman" w:eastAsia="方正小标宋简体" w:cs="Times New Roman"/>
          <w:sz w:val="44"/>
          <w:szCs w:val="52"/>
          <w:lang w:val="en" w:eastAsia="zh-CN"/>
        </w:rPr>
        <w:t>激励</w:t>
      </w:r>
      <w:r>
        <w:rPr>
          <w:rFonts w:hint="eastAsia" w:ascii="Times New Roman" w:hAnsi="Times New Roman" w:eastAsia="方正小标宋简体" w:cs="Times New Roman"/>
          <w:sz w:val="44"/>
          <w:szCs w:val="52"/>
          <w:lang w:val="en" w:eastAsia="zh-CN"/>
        </w:rPr>
        <w:t>的若干措施（试行）</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sz w:val="44"/>
          <w:szCs w:val="52"/>
          <w:lang w:val="en"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40"/>
        <w:textAlignment w:val="auto"/>
        <w:outlineLvl w:val="9"/>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pP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为</w:t>
      </w:r>
      <w:r>
        <w:rPr>
          <w:rFonts w:ascii="Times New Roman" w:hAnsi="Times New Roman" w:eastAsia="仿宋_GB2312" w:cs="Times New Roman"/>
          <w:i w:val="0"/>
          <w:caps w:val="0"/>
          <w:color w:val="0F1115"/>
          <w:spacing w:val="0"/>
          <w:kern w:val="2"/>
          <w:sz w:val="32"/>
          <w:szCs w:val="40"/>
          <w:shd w:val="clear" w:color="auto" w:fill="auto"/>
          <w:lang w:val="en-US" w:eastAsia="zh-CN" w:bidi="ar"/>
        </w:rPr>
        <w:t>进一步</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激励</w:t>
      </w:r>
      <w:r>
        <w:rPr>
          <w:rFonts w:ascii="Times New Roman" w:hAnsi="Times New Roman" w:eastAsia="仿宋_GB2312" w:cs="Times New Roman"/>
          <w:i w:val="0"/>
          <w:caps w:val="0"/>
          <w:color w:val="0F1115"/>
          <w:spacing w:val="0"/>
          <w:kern w:val="2"/>
          <w:sz w:val="32"/>
          <w:szCs w:val="40"/>
          <w:shd w:val="clear" w:color="auto" w:fill="auto"/>
          <w:lang w:val="en-US" w:eastAsia="zh-CN" w:bidi="ar"/>
        </w:rPr>
        <w:t>大学生创业实战型校外</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企业</w:t>
      </w:r>
      <w:r>
        <w:rPr>
          <w:rFonts w:ascii="Times New Roman" w:hAnsi="Times New Roman" w:eastAsia="仿宋_GB2312" w:cs="Times New Roman"/>
          <w:i w:val="0"/>
          <w:caps w:val="0"/>
          <w:color w:val="0F1115"/>
          <w:spacing w:val="0"/>
          <w:kern w:val="2"/>
          <w:sz w:val="32"/>
          <w:szCs w:val="40"/>
          <w:shd w:val="clear" w:color="auto" w:fill="auto"/>
          <w:lang w:val="en-US" w:eastAsia="zh-CN" w:bidi="ar"/>
        </w:rPr>
        <w:t>导师（以下简称</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w:t>
      </w:r>
      <w:r>
        <w:rPr>
          <w:rFonts w:ascii="Times New Roman" w:hAnsi="Times New Roman" w:eastAsia="仿宋_GB2312" w:cs="Times New Roman"/>
          <w:i w:val="0"/>
          <w:caps w:val="0"/>
          <w:color w:val="0F1115"/>
          <w:spacing w:val="0"/>
          <w:kern w:val="2"/>
          <w:sz w:val="32"/>
          <w:szCs w:val="40"/>
          <w:shd w:val="clear" w:color="auto" w:fill="auto"/>
          <w:lang w:val="en-US" w:eastAsia="zh-CN" w:bidi="ar"/>
        </w:rPr>
        <w:t>校外导师</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w:t>
      </w:r>
      <w:r>
        <w:rPr>
          <w:rFonts w:ascii="Times New Roman" w:hAnsi="Times New Roman" w:eastAsia="仿宋_GB2312" w:cs="Times New Roman"/>
          <w:i w:val="0"/>
          <w:caps w:val="0"/>
          <w:color w:val="0F1115"/>
          <w:spacing w:val="0"/>
          <w:kern w:val="2"/>
          <w:sz w:val="32"/>
          <w:szCs w:val="40"/>
          <w:shd w:val="clear" w:color="auto" w:fill="auto"/>
          <w:lang w:val="en-US" w:eastAsia="zh-CN" w:bidi="ar"/>
        </w:rPr>
        <w:t>）的积极性、主动性和创造性，</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建设一支“专兼结合、知创贯通、产融联动、精准赋能”的高水平导师队伍</w:t>
      </w:r>
      <w:r>
        <w:rPr>
          <w:rFonts w:ascii="Times New Roman" w:hAnsi="Times New Roman" w:eastAsia="仿宋_GB2312" w:cs="Times New Roman"/>
          <w:i w:val="0"/>
          <w:caps w:val="0"/>
          <w:color w:val="0F1115"/>
          <w:spacing w:val="0"/>
          <w:kern w:val="2"/>
          <w:sz w:val="32"/>
          <w:szCs w:val="40"/>
          <w:shd w:val="clear" w:color="auto" w:fill="auto"/>
          <w:lang w:val="en-US" w:eastAsia="zh-CN" w:bidi="ar"/>
        </w:rPr>
        <w:t>，切实提升大学生创业指导服务水平，</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特制定</w:t>
      </w:r>
      <w:r>
        <w:rPr>
          <w:rFonts w:ascii="Times New Roman" w:hAnsi="Times New Roman" w:eastAsia="仿宋_GB2312" w:cs="Times New Roman"/>
          <w:i w:val="0"/>
          <w:caps w:val="0"/>
          <w:color w:val="0F1115"/>
          <w:spacing w:val="0"/>
          <w:kern w:val="2"/>
          <w:sz w:val="32"/>
          <w:szCs w:val="40"/>
          <w:shd w:val="clear" w:color="auto" w:fill="auto"/>
          <w:lang w:val="en-US" w:eastAsia="zh-CN" w:bidi="ar"/>
        </w:rPr>
        <w:t>如下举措</w:t>
      </w:r>
      <w:r>
        <w:rPr>
          <w:rFonts w:hint="eastAsia" w:ascii="Times New Roman" w:hAnsi="Times New Roman" w:eastAsia="仿宋_GB2312" w:cs="Times New Roman"/>
          <w:i w:val="0"/>
          <w:caps w:val="0"/>
          <w:color w:val="0F1115"/>
          <w:spacing w:val="0"/>
          <w:kern w:val="2"/>
          <w:sz w:val="32"/>
          <w:szCs w:val="40"/>
          <w:shd w:val="clear" w:color="auto" w:fill="auto"/>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40" w:firstLineChars="0"/>
        <w:jc w:val="left"/>
        <w:textAlignment w:val="auto"/>
        <w:outlineLvl w:val="9"/>
        <w:rPr>
          <w:rFonts w:hint="eastAsia" w:ascii="Times New Roman" w:hAnsi="Times New Roman" w:eastAsia="仿宋_GB2312" w:cs="Times New Roman"/>
          <w:color w:val="0F1115"/>
          <w:spacing w:val="-6"/>
          <w:sz w:val="32"/>
          <w:szCs w:val="40"/>
          <w:shd w:val="clear" w:color="auto" w:fill="auto"/>
          <w:lang w:val="en-US" w:eastAsia="zh-CN" w:bidi="ar"/>
        </w:rPr>
      </w:pPr>
      <w:r>
        <w:rPr>
          <w:rFonts w:hint="eastAsia" w:ascii="Times New Roman" w:hAnsi="Times New Roman" w:eastAsia="黑体" w:cs="黑体"/>
          <w:sz w:val="32"/>
          <w:szCs w:val="40"/>
          <w:lang w:val="en" w:eastAsia="zh-CN"/>
        </w:rPr>
        <w:t>一、组织</w:t>
      </w:r>
      <w:r>
        <w:rPr>
          <w:rFonts w:hint="eastAsia" w:ascii="Times New Roman" w:hAnsi="Times New Roman" w:eastAsia="黑体" w:cs="黑体"/>
          <w:color w:val="0F1115"/>
          <w:sz w:val="32"/>
          <w:szCs w:val="40"/>
          <w:shd w:val="clear" w:color="auto" w:fill="auto"/>
          <w:lang w:val="en-US" w:eastAsia="zh-CN" w:bidi="ar"/>
        </w:rPr>
        <w:t>选树推优。</w:t>
      </w:r>
      <w:r>
        <w:rPr>
          <w:rFonts w:hint="eastAsia" w:ascii="Times New Roman" w:hAnsi="Times New Roman" w:eastAsia="仿宋_GB2312" w:cs="Times New Roman"/>
          <w:color w:val="0F1115"/>
          <w:sz w:val="32"/>
          <w:szCs w:val="40"/>
          <w:shd w:val="clear" w:color="auto" w:fill="auto"/>
          <w:lang w:val="en-US" w:eastAsia="zh-CN" w:bidi="ar"/>
        </w:rPr>
        <w:t>组织开展“金牌</w:t>
      </w:r>
      <w:r>
        <w:rPr>
          <w:rFonts w:hint="default" w:ascii="Times New Roman" w:hAnsi="Times New Roman" w:eastAsia="仿宋_GB2312" w:cs="Times New Roman"/>
          <w:color w:val="0F1115"/>
          <w:sz w:val="32"/>
          <w:szCs w:val="40"/>
          <w:shd w:val="clear" w:color="auto" w:fill="auto"/>
          <w:lang w:val="en-US" w:eastAsia="zh-CN" w:bidi="ar"/>
        </w:rPr>
        <w:t>创业导师</w:t>
      </w:r>
      <w:r>
        <w:rPr>
          <w:rFonts w:hint="eastAsia" w:ascii="Times New Roman" w:hAnsi="Times New Roman" w:eastAsia="仿宋_GB2312" w:cs="Times New Roman"/>
          <w:color w:val="0F1115"/>
          <w:sz w:val="32"/>
          <w:szCs w:val="40"/>
          <w:shd w:val="clear" w:color="auto" w:fill="auto"/>
          <w:lang w:val="en-US" w:eastAsia="zh-CN" w:bidi="ar"/>
        </w:rPr>
        <w:t>”选树工作</w:t>
      </w:r>
      <w:r>
        <w:rPr>
          <w:rFonts w:hint="default" w:ascii="Times New Roman" w:hAnsi="Times New Roman" w:eastAsia="仿宋_GB2312" w:cs="Times New Roman"/>
          <w:color w:val="0F1115"/>
          <w:sz w:val="32"/>
          <w:szCs w:val="40"/>
          <w:shd w:val="clear" w:color="auto" w:fill="auto"/>
          <w:lang w:val="en-US" w:eastAsia="zh-CN" w:bidi="ar"/>
        </w:rPr>
        <w:t>，对表现突出、成效显著、师生评价优</w:t>
      </w:r>
      <w:r>
        <w:rPr>
          <w:rFonts w:hint="eastAsia" w:ascii="Times New Roman" w:hAnsi="Times New Roman" w:eastAsia="仿宋_GB2312" w:cs="Times New Roman"/>
          <w:color w:val="0F1115"/>
          <w:sz w:val="32"/>
          <w:szCs w:val="40"/>
          <w:shd w:val="clear" w:color="auto" w:fill="auto"/>
          <w:lang w:val="en-US" w:eastAsia="zh-CN" w:bidi="ar"/>
        </w:rPr>
        <w:t>秀</w:t>
      </w:r>
      <w:r>
        <w:rPr>
          <w:rFonts w:hint="default" w:ascii="Times New Roman" w:hAnsi="Times New Roman" w:eastAsia="仿宋_GB2312" w:cs="Times New Roman"/>
          <w:color w:val="0F1115"/>
          <w:sz w:val="32"/>
          <w:szCs w:val="40"/>
          <w:shd w:val="clear" w:color="auto" w:fill="auto"/>
          <w:lang w:val="en-US" w:eastAsia="zh-CN" w:bidi="ar"/>
        </w:rPr>
        <w:t>的</w:t>
      </w:r>
      <w:r>
        <w:rPr>
          <w:rFonts w:hint="eastAsia" w:ascii="Times New Roman" w:hAnsi="Times New Roman" w:eastAsia="仿宋_GB2312" w:cs="Times New Roman"/>
          <w:color w:val="0F1115"/>
          <w:sz w:val="32"/>
          <w:szCs w:val="40"/>
          <w:shd w:val="clear" w:color="auto" w:fill="auto"/>
          <w:lang w:val="en-US" w:eastAsia="zh-CN" w:bidi="ar"/>
        </w:rPr>
        <w:t>给</w:t>
      </w:r>
      <w:r>
        <w:rPr>
          <w:rFonts w:hint="default" w:ascii="Times New Roman" w:hAnsi="Times New Roman" w:eastAsia="仿宋_GB2312" w:cs="Times New Roman"/>
          <w:color w:val="0F1115"/>
          <w:sz w:val="32"/>
          <w:szCs w:val="40"/>
          <w:shd w:val="clear" w:color="auto" w:fill="auto"/>
          <w:lang w:val="en-US" w:eastAsia="zh-CN" w:bidi="ar"/>
        </w:rPr>
        <w:t>予</w:t>
      </w:r>
      <w:r>
        <w:rPr>
          <w:rFonts w:hint="eastAsia" w:ascii="Times New Roman" w:hAnsi="Times New Roman" w:eastAsia="仿宋_GB2312" w:cs="Times New Roman"/>
          <w:color w:val="0F1115"/>
          <w:sz w:val="32"/>
          <w:szCs w:val="40"/>
          <w:shd w:val="clear" w:color="auto" w:fill="auto"/>
          <w:lang w:val="en-US" w:eastAsia="zh-CN" w:bidi="ar"/>
        </w:rPr>
        <w:t>“金牌</w:t>
      </w:r>
      <w:r>
        <w:rPr>
          <w:rFonts w:hint="default" w:ascii="Times New Roman" w:hAnsi="Times New Roman" w:eastAsia="仿宋_GB2312" w:cs="Times New Roman"/>
          <w:color w:val="0F1115"/>
          <w:sz w:val="32"/>
          <w:szCs w:val="40"/>
          <w:shd w:val="clear" w:color="auto" w:fill="auto"/>
          <w:lang w:val="en-US" w:eastAsia="zh-CN" w:bidi="ar"/>
        </w:rPr>
        <w:t>创业导师</w:t>
      </w:r>
      <w:r>
        <w:rPr>
          <w:rFonts w:hint="eastAsia" w:ascii="Times New Roman" w:hAnsi="Times New Roman" w:eastAsia="仿宋_GB2312" w:cs="Times New Roman"/>
          <w:color w:val="0F1115"/>
          <w:sz w:val="32"/>
          <w:szCs w:val="40"/>
          <w:shd w:val="clear" w:color="auto" w:fill="auto"/>
          <w:lang w:val="en-US" w:eastAsia="zh-CN" w:bidi="ar"/>
        </w:rPr>
        <w:t>”称号</w:t>
      </w:r>
      <w:r>
        <w:rPr>
          <w:rFonts w:hint="default" w:ascii="Times New Roman" w:hAnsi="Times New Roman" w:eastAsia="仿宋_GB2312" w:cs="Times New Roman"/>
          <w:color w:val="0F1115"/>
          <w:sz w:val="32"/>
          <w:szCs w:val="40"/>
          <w:shd w:val="clear" w:color="auto" w:fill="auto"/>
          <w:lang w:val="en-US" w:eastAsia="zh-CN" w:bidi="ar"/>
        </w:rPr>
        <w:t>，</w:t>
      </w:r>
      <w:r>
        <w:rPr>
          <w:rFonts w:ascii="Times New Roman" w:hAnsi="Times New Roman" w:eastAsia="仿宋_GB2312" w:cs="Times New Roman"/>
          <w:kern w:val="2"/>
          <w:sz w:val="32"/>
          <w:szCs w:val="40"/>
          <w:lang w:val="en-US" w:eastAsia="zh-CN" w:bidi="ar"/>
        </w:rPr>
        <w:t>给予</w:t>
      </w:r>
      <w:r>
        <w:rPr>
          <w:rFonts w:hint="default" w:ascii="Times New Roman" w:hAnsi="Times New Roman" w:eastAsia="仿宋_GB2312" w:cs="Times New Roman"/>
          <w:color w:val="0F1115"/>
          <w:sz w:val="32"/>
          <w:szCs w:val="40"/>
          <w:shd w:val="clear" w:color="auto" w:fill="auto"/>
          <w:lang w:val="en-US" w:eastAsia="zh-CN" w:bidi="ar"/>
        </w:rPr>
        <w:t>通报</w:t>
      </w:r>
      <w:r>
        <w:rPr>
          <w:rFonts w:hint="eastAsia" w:ascii="Times New Roman" w:hAnsi="Times New Roman" w:eastAsia="仿宋_GB2312" w:cs="Times New Roman"/>
          <w:color w:val="0F1115"/>
          <w:sz w:val="32"/>
          <w:szCs w:val="40"/>
          <w:shd w:val="clear" w:color="auto" w:fill="auto"/>
          <w:lang w:val="en-US" w:eastAsia="zh-CN" w:bidi="ar"/>
        </w:rPr>
        <w:t>表扬，并在专项计划中予以支持</w:t>
      </w:r>
      <w:r>
        <w:rPr>
          <w:rFonts w:hint="default" w:ascii="Times New Roman" w:hAnsi="Times New Roman" w:eastAsia="仿宋_GB2312" w:cs="Times New Roman"/>
          <w:color w:val="0F1115"/>
          <w:sz w:val="32"/>
          <w:szCs w:val="40"/>
          <w:shd w:val="clear" w:color="auto" w:fill="auto"/>
          <w:lang w:val="en-US" w:eastAsia="zh-CN" w:bidi="ar"/>
        </w:rPr>
        <w:t>。在</w:t>
      </w:r>
      <w:r>
        <w:rPr>
          <w:rFonts w:hint="eastAsia" w:ascii="Times New Roman" w:hAnsi="Times New Roman" w:eastAsia="仿宋_GB2312" w:cs="Times New Roman"/>
          <w:color w:val="0F1115"/>
          <w:sz w:val="32"/>
          <w:szCs w:val="40"/>
          <w:shd w:val="clear" w:color="auto" w:fill="auto"/>
          <w:lang w:val="en-US" w:eastAsia="zh-CN" w:bidi="ar"/>
        </w:rPr>
        <w:t>省</w:t>
      </w:r>
      <w:r>
        <w:rPr>
          <w:rFonts w:hint="default" w:ascii="Times New Roman" w:hAnsi="Times New Roman" w:eastAsia="仿宋_GB2312" w:cs="Times New Roman"/>
          <w:color w:val="0F1115"/>
          <w:sz w:val="32"/>
          <w:szCs w:val="40"/>
          <w:shd w:val="clear" w:color="auto" w:fill="auto"/>
          <w:lang w:val="en-US" w:eastAsia="zh-CN" w:bidi="ar"/>
        </w:rPr>
        <w:t>五一劳动奖章</w:t>
      </w:r>
      <w:r>
        <w:rPr>
          <w:rFonts w:hint="eastAsia" w:ascii="Times New Roman" w:hAnsi="Times New Roman" w:eastAsia="仿宋_GB2312" w:cs="Times New Roman"/>
          <w:color w:val="0F1115"/>
          <w:sz w:val="32"/>
          <w:szCs w:val="40"/>
          <w:shd w:val="clear" w:color="auto" w:fill="auto"/>
          <w:lang w:val="en-US" w:eastAsia="zh-CN" w:bidi="ar"/>
        </w:rPr>
        <w:t>、省</w:t>
      </w:r>
      <w:r>
        <w:rPr>
          <w:rFonts w:hint="default" w:ascii="Times New Roman" w:hAnsi="Times New Roman" w:eastAsia="仿宋_GB2312" w:cs="Times New Roman"/>
          <w:color w:val="0F1115"/>
          <w:sz w:val="32"/>
          <w:szCs w:val="40"/>
          <w:shd w:val="clear" w:color="auto" w:fill="auto"/>
          <w:lang w:val="en-US" w:eastAsia="zh-CN" w:bidi="ar"/>
        </w:rPr>
        <w:t>三八红旗手</w:t>
      </w:r>
      <w:r>
        <w:rPr>
          <w:rFonts w:hint="eastAsia" w:ascii="Times New Roman" w:hAnsi="Times New Roman" w:eastAsia="仿宋_GB2312" w:cs="Times New Roman"/>
          <w:color w:val="0F1115"/>
          <w:sz w:val="32"/>
          <w:szCs w:val="40"/>
          <w:shd w:val="clear" w:color="auto" w:fill="auto"/>
          <w:lang w:val="en-US" w:eastAsia="zh-CN" w:bidi="ar"/>
        </w:rPr>
        <w:t>、省</w:t>
      </w:r>
      <w:r>
        <w:rPr>
          <w:rFonts w:hint="default" w:ascii="Times New Roman" w:hAnsi="Times New Roman" w:eastAsia="仿宋_GB2312" w:cs="Times New Roman"/>
          <w:color w:val="0F1115"/>
          <w:sz w:val="32"/>
          <w:szCs w:val="40"/>
          <w:shd w:val="clear" w:color="auto" w:fill="auto"/>
          <w:lang w:val="en-US" w:eastAsia="zh-CN" w:bidi="ar"/>
        </w:rPr>
        <w:t>青年五四奖章等评选</w:t>
      </w:r>
      <w:r>
        <w:rPr>
          <w:rFonts w:hint="eastAsia" w:ascii="Times New Roman" w:hAnsi="Times New Roman" w:eastAsia="仿宋_GB2312" w:cs="Times New Roman"/>
          <w:color w:val="0F1115"/>
          <w:sz w:val="32"/>
          <w:szCs w:val="40"/>
          <w:shd w:val="clear" w:color="auto" w:fill="auto"/>
          <w:lang w:val="en-US" w:eastAsia="zh-CN" w:bidi="ar"/>
        </w:rPr>
        <w:t>表彰中，同等条件下予以考虑，并积极推荐参评相应国家级荣誉；对符合条</w:t>
      </w:r>
      <w:r>
        <w:rPr>
          <w:rFonts w:hint="eastAsia" w:ascii="Times New Roman" w:hAnsi="Times New Roman" w:eastAsia="仿宋_GB2312" w:cs="Times New Roman"/>
          <w:color w:val="0F1115"/>
          <w:spacing w:val="-6"/>
          <w:sz w:val="32"/>
          <w:szCs w:val="40"/>
          <w:shd w:val="clear" w:color="auto" w:fill="auto"/>
          <w:lang w:val="en-US" w:eastAsia="zh-CN" w:bidi="ar"/>
        </w:rPr>
        <w:t>件的，推荐担任各级人大代表、政协委员，加强组织培养和政治吸纳。</w:t>
      </w:r>
      <w:r>
        <w:rPr>
          <w:rFonts w:hint="default" w:ascii="Times New Roman" w:hAnsi="Times New Roman" w:eastAsia="仿宋_GB2312" w:cs="Times New Roman"/>
          <w:color w:val="0F1115"/>
          <w:spacing w:val="-6"/>
          <w:sz w:val="32"/>
          <w:szCs w:val="40"/>
          <w:shd w:val="clear" w:color="auto" w:fill="auto"/>
          <w:lang w:val="en-US" w:eastAsia="zh-CN" w:bidi="ar"/>
        </w:rPr>
        <w:t>支持其申报省级人才计划、科技计划项目和科技奖励评选</w:t>
      </w:r>
      <w:r>
        <w:rPr>
          <w:rFonts w:hint="eastAsia" w:ascii="Times New Roman" w:hAnsi="Times New Roman" w:eastAsia="仿宋_GB2312" w:cs="Times New Roman"/>
          <w:color w:val="0F1115"/>
          <w:spacing w:val="-6"/>
          <w:sz w:val="32"/>
          <w:szCs w:val="40"/>
          <w:shd w:val="clear" w:color="auto" w:fill="auto"/>
          <w:lang w:val="en-US" w:eastAsia="zh-CN" w:bidi="ar"/>
        </w:rPr>
        <w:t>。</w:t>
      </w:r>
    </w:p>
    <w:p>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0F1115"/>
          <w:sz w:val="32"/>
          <w:szCs w:val="40"/>
          <w:shd w:val="clear" w:color="auto" w:fill="auto"/>
          <w:lang w:val="en-US" w:eastAsia="zh-CN" w:bidi="ar"/>
        </w:rPr>
      </w:pPr>
      <w:r>
        <w:rPr>
          <w:rFonts w:hint="eastAsia" w:ascii="Times New Roman" w:hAnsi="Times New Roman" w:eastAsia="黑体" w:cs="黑体"/>
          <w:b w:val="0"/>
          <w:bCs w:val="0"/>
          <w:sz w:val="32"/>
          <w:szCs w:val="40"/>
          <w:lang w:val="en" w:eastAsia="zh-CN"/>
        </w:rPr>
        <w:t>二、畅通职称评审通道。</w:t>
      </w:r>
      <w:r>
        <w:rPr>
          <w:rFonts w:hint="default" w:ascii="Times New Roman" w:hAnsi="Times New Roman" w:eastAsia="仿宋_GB2312" w:cs="Times New Roman"/>
          <w:b w:val="0"/>
          <w:bCs w:val="0"/>
          <w:color w:val="0F1115"/>
          <w:sz w:val="32"/>
          <w:szCs w:val="40"/>
          <w:shd w:val="clear" w:color="auto" w:fill="auto"/>
          <w:lang w:val="en-US" w:eastAsia="zh-CN" w:bidi="ar"/>
        </w:rPr>
        <w:t>积极拓宽校外导师职业发展路径，支持贡献突出且符合条件的导师参与全省人力资源管理专业职称</w:t>
      </w:r>
      <w:r>
        <w:rPr>
          <w:rFonts w:hint="eastAsia" w:ascii="Times New Roman" w:hAnsi="Times New Roman" w:eastAsia="仿宋_GB2312" w:cs="Times New Roman"/>
          <w:b w:val="0"/>
          <w:bCs w:val="0"/>
          <w:color w:val="0F1115"/>
          <w:sz w:val="32"/>
          <w:szCs w:val="40"/>
          <w:shd w:val="clear" w:color="auto" w:fill="auto"/>
          <w:lang w:val="en-US" w:eastAsia="zh-CN" w:bidi="ar"/>
        </w:rPr>
        <w:t>考试或</w:t>
      </w:r>
      <w:r>
        <w:rPr>
          <w:rFonts w:hint="default" w:ascii="Times New Roman" w:hAnsi="Times New Roman" w:eastAsia="仿宋_GB2312" w:cs="Times New Roman"/>
          <w:b w:val="0"/>
          <w:bCs w:val="0"/>
          <w:color w:val="0F1115"/>
          <w:sz w:val="32"/>
          <w:szCs w:val="40"/>
          <w:shd w:val="clear" w:color="auto" w:fill="auto"/>
          <w:lang w:val="en-US" w:eastAsia="zh-CN" w:bidi="ar"/>
        </w:rPr>
        <w:t>评审</w:t>
      </w:r>
      <w:r>
        <w:rPr>
          <w:rFonts w:hint="eastAsia" w:ascii="Times New Roman" w:hAnsi="Times New Roman" w:eastAsia="仿宋_GB2312" w:cs="Times New Roman"/>
          <w:b w:val="0"/>
          <w:bCs w:val="0"/>
          <w:color w:val="0F1115"/>
          <w:sz w:val="32"/>
          <w:szCs w:val="40"/>
          <w:shd w:val="clear" w:color="auto" w:fill="auto"/>
          <w:lang w:val="en-US" w:eastAsia="zh-CN" w:bidi="ar"/>
        </w:rPr>
        <w:t>，</w:t>
      </w:r>
      <w:r>
        <w:rPr>
          <w:rFonts w:hint="default" w:ascii="Times New Roman" w:hAnsi="Times New Roman" w:eastAsia="仿宋_GB2312" w:cs="Times New Roman"/>
          <w:b w:val="0"/>
          <w:bCs w:val="0"/>
          <w:color w:val="0F1115"/>
          <w:sz w:val="32"/>
          <w:szCs w:val="40"/>
          <w:shd w:val="clear" w:color="auto" w:fill="auto"/>
          <w:lang w:val="en-US" w:eastAsia="zh-CN" w:bidi="ar"/>
        </w:rPr>
        <w:t>将其在指导创业项目、推动成果转化、提升学生创新创业能力等方面取得的实绩，作为评</w:t>
      </w:r>
      <w:r>
        <w:rPr>
          <w:rFonts w:hint="eastAsia" w:ascii="Times New Roman" w:hAnsi="Times New Roman" w:eastAsia="仿宋_GB2312" w:cs="Times New Roman"/>
          <w:b w:val="0"/>
          <w:bCs w:val="0"/>
          <w:color w:val="0F1115"/>
          <w:sz w:val="32"/>
          <w:szCs w:val="40"/>
          <w:shd w:val="clear" w:color="auto" w:fill="auto"/>
          <w:lang w:val="en-US" w:eastAsia="zh-CN" w:bidi="ar"/>
        </w:rPr>
        <w:t>审内容</w:t>
      </w:r>
      <w:r>
        <w:rPr>
          <w:rFonts w:hint="default" w:ascii="Times New Roman" w:hAnsi="Times New Roman" w:eastAsia="仿宋_GB2312" w:cs="Times New Roman"/>
          <w:b w:val="0"/>
          <w:bCs w:val="0"/>
          <w:color w:val="0F1115"/>
          <w:sz w:val="32"/>
          <w:szCs w:val="40"/>
          <w:shd w:val="clear" w:color="auto" w:fill="auto"/>
          <w:lang w:val="en-US" w:eastAsia="zh-CN" w:bidi="ar"/>
        </w:rPr>
        <w:t>。</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40"/>
          <w:lang w:val="en-US" w:eastAsia="zh-CN" w:bidi="ar"/>
        </w:rPr>
      </w:pPr>
      <w:r>
        <w:rPr>
          <w:rFonts w:hint="eastAsia" w:ascii="Times New Roman" w:hAnsi="Times New Roman" w:eastAsia="黑体" w:cs="黑体"/>
          <w:b w:val="0"/>
          <w:bCs w:val="0"/>
          <w:sz w:val="32"/>
          <w:szCs w:val="40"/>
          <w:lang w:val="en" w:eastAsia="zh-CN"/>
        </w:rPr>
        <w:t>三、给予</w:t>
      </w:r>
      <w:r>
        <w:rPr>
          <w:rFonts w:hint="eastAsia" w:ascii="Times New Roman" w:hAnsi="Times New Roman" w:eastAsia="黑体" w:cs="黑体"/>
          <w:b w:val="0"/>
          <w:bCs w:val="0"/>
          <w:sz w:val="32"/>
          <w:szCs w:val="40"/>
          <w:lang w:val="en-US" w:eastAsia="zh-CN" w:bidi="ar"/>
        </w:rPr>
        <w:t>服务报酬。</w:t>
      </w:r>
      <w:r>
        <w:rPr>
          <w:rFonts w:hint="default" w:ascii="Times New Roman" w:hAnsi="Times New Roman" w:eastAsia="仿宋_GB2312" w:cs="Times New Roman"/>
          <w:b w:val="0"/>
          <w:bCs w:val="0"/>
          <w:sz w:val="32"/>
          <w:szCs w:val="40"/>
          <w:lang w:val="en-US" w:eastAsia="zh-CN" w:bidi="ar"/>
        </w:rPr>
        <w:t>对开展创业辅导、一对一培育、公开授课等工作的校外导师，由</w:t>
      </w:r>
      <w:r>
        <w:rPr>
          <w:rFonts w:hint="eastAsia" w:ascii="Times New Roman" w:hAnsi="Times New Roman" w:eastAsia="仿宋_GB2312" w:cs="Times New Roman"/>
          <w:kern w:val="2"/>
          <w:sz w:val="32"/>
          <w:szCs w:val="40"/>
          <w:lang w:val="en-US" w:eastAsia="zh-CN" w:bidi="ar"/>
        </w:rPr>
        <w:t>服务对象所在单位</w:t>
      </w:r>
      <w:r>
        <w:rPr>
          <w:rFonts w:hint="default" w:ascii="Times New Roman" w:hAnsi="Times New Roman" w:eastAsia="仿宋_GB2312" w:cs="Times New Roman"/>
          <w:b w:val="0"/>
          <w:bCs w:val="0"/>
          <w:sz w:val="32"/>
          <w:szCs w:val="40"/>
          <w:lang w:val="en-US" w:eastAsia="zh-CN" w:bidi="ar"/>
        </w:rPr>
        <w:t>参照相关标准支付课酬或专家咨询费。未设立</w:t>
      </w:r>
      <w:r>
        <w:rPr>
          <w:rFonts w:hint="eastAsia" w:ascii="Times New Roman" w:hAnsi="Times New Roman" w:eastAsia="仿宋_GB2312" w:cs="Times New Roman"/>
          <w:b w:val="0"/>
          <w:bCs w:val="0"/>
          <w:sz w:val="32"/>
          <w:szCs w:val="40"/>
          <w:lang w:val="en-US" w:eastAsia="zh-CN" w:bidi="ar"/>
        </w:rPr>
        <w:t>大学生创业指导</w:t>
      </w:r>
      <w:r>
        <w:rPr>
          <w:rFonts w:hint="default" w:ascii="Times New Roman" w:hAnsi="Times New Roman" w:eastAsia="仿宋_GB2312" w:cs="Times New Roman"/>
          <w:b w:val="0"/>
          <w:bCs w:val="0"/>
          <w:sz w:val="32"/>
          <w:szCs w:val="40"/>
          <w:lang w:val="en-US" w:eastAsia="zh-CN" w:bidi="ar"/>
        </w:rPr>
        <w:t>工作室的高校，应明确经费来源和管理部门，参照校内同类或本地区相关标准，为校外导师支付服务报酬。</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640" w:firstLineChars="200"/>
        <w:jc w:val="left"/>
        <w:textAlignment w:val="auto"/>
        <w:outlineLvl w:val="9"/>
        <w:rPr>
          <w:rFonts w:hint="default" w:ascii="Times New Roman" w:hAnsi="Times New Roman" w:eastAsia="仿宋_GB2312" w:cs="Times New Roman"/>
          <w:color w:val="0F1115"/>
          <w:sz w:val="32"/>
          <w:szCs w:val="40"/>
          <w:shd w:val="clear" w:color="auto" w:fill="auto"/>
          <w:lang w:val="en" w:eastAsia="zh-CN" w:bidi="ar"/>
        </w:rPr>
      </w:pPr>
      <w:r>
        <w:rPr>
          <w:rFonts w:hint="eastAsia" w:ascii="Times New Roman" w:hAnsi="Times New Roman" w:eastAsia="黑体" w:cs="黑体"/>
          <w:b w:val="0"/>
          <w:bCs w:val="0"/>
          <w:sz w:val="32"/>
          <w:szCs w:val="40"/>
          <w:lang w:val="en-US" w:eastAsia="zh-CN"/>
        </w:rPr>
        <w:t>四、按实效</w:t>
      </w:r>
      <w:r>
        <w:rPr>
          <w:rFonts w:hint="eastAsia" w:ascii="Times New Roman" w:hAnsi="Times New Roman" w:eastAsia="黑体" w:cs="黑体"/>
          <w:b w:val="0"/>
          <w:bCs w:val="0"/>
          <w:sz w:val="32"/>
          <w:szCs w:val="40"/>
          <w:lang w:val="en" w:eastAsia="zh-CN"/>
        </w:rPr>
        <w:t>给予</w:t>
      </w:r>
      <w:r>
        <w:rPr>
          <w:rFonts w:hint="eastAsia" w:ascii="Times New Roman" w:hAnsi="Times New Roman" w:eastAsia="黑体" w:cs="黑体"/>
          <w:b w:val="0"/>
          <w:bCs w:val="0"/>
          <w:sz w:val="32"/>
          <w:szCs w:val="40"/>
          <w:lang w:val="en-US" w:eastAsia="zh-CN"/>
        </w:rPr>
        <w:t>奖励。</w:t>
      </w:r>
      <w:r>
        <w:rPr>
          <w:rFonts w:ascii="Times New Roman" w:hAnsi="Times New Roman" w:eastAsia="仿宋_GB2312" w:cs="Times New Roman"/>
          <w:kern w:val="2"/>
          <w:sz w:val="32"/>
          <w:szCs w:val="40"/>
          <w:lang w:val="en-US" w:eastAsia="zh-CN" w:bidi="ar"/>
        </w:rPr>
        <w:t>以校外导师履职实绩为核心，</w:t>
      </w:r>
      <w:r>
        <w:rPr>
          <w:rFonts w:hint="eastAsia" w:ascii="Times New Roman" w:hAnsi="Times New Roman" w:eastAsia="仿宋_GB2312" w:cs="Times New Roman"/>
          <w:kern w:val="2"/>
          <w:sz w:val="32"/>
          <w:szCs w:val="40"/>
          <w:lang w:val="en-US" w:eastAsia="zh-CN" w:bidi="ar"/>
        </w:rPr>
        <w:t>从</w:t>
      </w:r>
      <w:r>
        <w:rPr>
          <w:rFonts w:ascii="Times New Roman" w:hAnsi="Times New Roman" w:eastAsia="仿宋_GB2312" w:cs="Times New Roman"/>
          <w:kern w:val="2"/>
          <w:sz w:val="32"/>
          <w:szCs w:val="40"/>
          <w:lang w:val="en-US" w:eastAsia="zh-CN" w:bidi="ar"/>
        </w:rPr>
        <w:t>日常服务工作量（创业团队辅导、一对一</w:t>
      </w:r>
      <w:r>
        <w:rPr>
          <w:rFonts w:hint="eastAsia" w:ascii="Times New Roman" w:hAnsi="Times New Roman" w:eastAsia="仿宋_GB2312" w:cs="Times New Roman"/>
          <w:kern w:val="2"/>
          <w:sz w:val="32"/>
          <w:szCs w:val="40"/>
          <w:lang w:val="en-US" w:eastAsia="zh-CN" w:bidi="ar"/>
        </w:rPr>
        <w:t>培育</w:t>
      </w:r>
      <w:r>
        <w:rPr>
          <w:rFonts w:ascii="Times New Roman" w:hAnsi="Times New Roman" w:eastAsia="仿宋_GB2312" w:cs="Times New Roman"/>
          <w:kern w:val="2"/>
          <w:sz w:val="32"/>
          <w:szCs w:val="40"/>
          <w:lang w:val="en-US" w:eastAsia="zh-CN" w:bidi="ar"/>
        </w:rPr>
        <w:t>频次及质量）、教学授课贡献（创业类课程、讲座、培训的课时量、质量及学员反馈）、成果产出成效（项目进展、赛事获奖、技术突破、成果转化及融资落地）等</w:t>
      </w:r>
      <w:r>
        <w:rPr>
          <w:rFonts w:hint="eastAsia" w:ascii="Times New Roman" w:hAnsi="Times New Roman" w:eastAsia="仿宋_GB2312" w:cs="Times New Roman"/>
          <w:kern w:val="2"/>
          <w:sz w:val="32"/>
          <w:szCs w:val="40"/>
          <w:lang w:val="en-US" w:eastAsia="zh-CN" w:bidi="ar"/>
        </w:rPr>
        <w:t>方面</w:t>
      </w:r>
      <w:r>
        <w:rPr>
          <w:rFonts w:ascii="Times New Roman" w:hAnsi="Times New Roman" w:eastAsia="仿宋_GB2312" w:cs="Times New Roman"/>
          <w:kern w:val="2"/>
          <w:sz w:val="32"/>
          <w:szCs w:val="40"/>
          <w:lang w:val="en-US" w:eastAsia="zh-CN" w:bidi="ar"/>
        </w:rPr>
        <w:t>，对</w:t>
      </w:r>
      <w:r>
        <w:rPr>
          <w:rFonts w:hint="eastAsia" w:ascii="Times New Roman" w:hAnsi="Times New Roman" w:eastAsia="仿宋_GB2312" w:cs="Times New Roman"/>
          <w:kern w:val="2"/>
          <w:sz w:val="32"/>
          <w:szCs w:val="40"/>
          <w:lang w:val="en-US" w:eastAsia="zh-CN" w:bidi="ar"/>
        </w:rPr>
        <w:t>实效成绩突出</w:t>
      </w:r>
      <w:r>
        <w:rPr>
          <w:rFonts w:ascii="Times New Roman" w:hAnsi="Times New Roman" w:eastAsia="仿宋_GB2312" w:cs="Times New Roman"/>
          <w:kern w:val="2"/>
          <w:sz w:val="32"/>
          <w:szCs w:val="40"/>
          <w:lang w:val="en-US" w:eastAsia="zh-CN" w:bidi="ar"/>
        </w:rPr>
        <w:t>的校外导师，</w:t>
      </w:r>
      <w:r>
        <w:rPr>
          <w:rFonts w:hint="eastAsia" w:ascii="Times New Roman" w:hAnsi="Times New Roman" w:eastAsia="仿宋_GB2312" w:cs="Times New Roman"/>
          <w:kern w:val="2"/>
          <w:sz w:val="32"/>
          <w:szCs w:val="40"/>
          <w:lang w:val="en-US" w:eastAsia="zh-CN" w:bidi="ar"/>
        </w:rPr>
        <w:t>由服务对象所在单位按</w:t>
      </w:r>
      <w:r>
        <w:rPr>
          <w:rFonts w:ascii="Times New Roman" w:hAnsi="Times New Roman" w:eastAsia="仿宋_GB2312" w:cs="Times New Roman"/>
          <w:kern w:val="2"/>
          <w:sz w:val="32"/>
          <w:szCs w:val="40"/>
          <w:lang w:val="en-US" w:eastAsia="zh-CN" w:bidi="ar"/>
        </w:rPr>
        <w:t>相关规定，给予</w:t>
      </w:r>
      <w:r>
        <w:rPr>
          <w:rFonts w:hint="eastAsia" w:ascii="Times New Roman" w:hAnsi="Times New Roman" w:eastAsia="仿宋_GB2312" w:cs="Times New Roman"/>
          <w:kern w:val="2"/>
          <w:sz w:val="32"/>
          <w:szCs w:val="40"/>
          <w:lang w:val="en-US" w:eastAsia="zh-CN" w:bidi="ar"/>
        </w:rPr>
        <w:t>奖励</w:t>
      </w:r>
      <w:r>
        <w:rPr>
          <w:rFonts w:hint="default" w:ascii="Times New Roman" w:hAnsi="Times New Roman" w:eastAsia="仿宋_GB2312" w:cs="Times New Roman"/>
          <w:b w:val="0"/>
          <w:bCs w:val="0"/>
          <w:sz w:val="32"/>
          <w:szCs w:val="40"/>
          <w:lang w:val="en" w:eastAsia="zh-CN"/>
        </w:rPr>
        <w:t>。</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40"/>
          <w:lang w:val="en" w:eastAsia="zh-CN"/>
        </w:rPr>
      </w:pPr>
      <w:r>
        <w:rPr>
          <w:rFonts w:hint="eastAsia" w:ascii="Times New Roman" w:hAnsi="Times New Roman" w:eastAsia="黑体" w:cs="黑体"/>
          <w:b w:val="0"/>
          <w:bCs w:val="0"/>
          <w:sz w:val="32"/>
          <w:szCs w:val="40"/>
          <w:lang w:val="en" w:eastAsia="zh-CN"/>
        </w:rPr>
        <w:t>五、支持校外导师跟投项目。</w:t>
      </w:r>
      <w:r>
        <w:rPr>
          <w:rFonts w:hint="default" w:ascii="Times New Roman" w:hAnsi="Times New Roman" w:eastAsia="仿宋_GB2312" w:cs="Times New Roman"/>
          <w:b w:val="0"/>
          <w:bCs w:val="0"/>
          <w:sz w:val="32"/>
          <w:szCs w:val="40"/>
          <w:lang w:val="en" w:eastAsia="zh-CN"/>
        </w:rPr>
        <w:t>支持在省级</w:t>
      </w:r>
      <w:r>
        <w:rPr>
          <w:rFonts w:hint="eastAsia" w:ascii="Times New Roman" w:hAnsi="Times New Roman" w:eastAsia="仿宋_GB2312" w:cs="Times New Roman"/>
          <w:b w:val="0"/>
          <w:bCs w:val="0"/>
          <w:sz w:val="32"/>
          <w:szCs w:val="40"/>
          <w:lang w:val="en" w:eastAsia="zh-CN"/>
        </w:rPr>
        <w:t>及</w:t>
      </w:r>
      <w:r>
        <w:rPr>
          <w:rFonts w:hint="default" w:ascii="Times New Roman" w:hAnsi="Times New Roman" w:eastAsia="仿宋_GB2312" w:cs="Times New Roman"/>
          <w:b w:val="0"/>
          <w:bCs w:val="0"/>
          <w:sz w:val="32"/>
          <w:szCs w:val="40"/>
          <w:lang w:val="en" w:eastAsia="zh-CN"/>
        </w:rPr>
        <w:t>以上科技</w:t>
      </w:r>
      <w:r>
        <w:rPr>
          <w:rFonts w:hint="eastAsia" w:ascii="Times New Roman" w:hAnsi="Times New Roman" w:eastAsia="仿宋_GB2312" w:cs="Times New Roman"/>
          <w:b w:val="0"/>
          <w:bCs w:val="0"/>
          <w:sz w:val="32"/>
          <w:szCs w:val="40"/>
          <w:lang w:val="en" w:eastAsia="zh-CN"/>
        </w:rPr>
        <w:t>型</w:t>
      </w:r>
      <w:r>
        <w:rPr>
          <w:rFonts w:hint="default" w:ascii="Times New Roman" w:hAnsi="Times New Roman" w:eastAsia="仿宋_GB2312" w:cs="Times New Roman"/>
          <w:b w:val="0"/>
          <w:bCs w:val="0"/>
          <w:sz w:val="32"/>
          <w:szCs w:val="40"/>
          <w:lang w:val="en" w:eastAsia="zh-CN"/>
        </w:rPr>
        <w:t>企业孵化器、大学生创业孵化基地和大学生创业指导工作室中，</w:t>
      </w:r>
      <w:r>
        <w:rPr>
          <w:rFonts w:hint="eastAsia" w:ascii="Times New Roman" w:hAnsi="Times New Roman" w:eastAsia="仿宋_GB2312" w:cs="Times New Roman"/>
          <w:b w:val="0"/>
          <w:bCs w:val="0"/>
          <w:sz w:val="32"/>
          <w:szCs w:val="40"/>
          <w:lang w:val="en" w:eastAsia="zh-CN"/>
        </w:rPr>
        <w:t>探索</w:t>
      </w:r>
      <w:r>
        <w:rPr>
          <w:rFonts w:hint="default" w:ascii="Times New Roman" w:hAnsi="Times New Roman" w:eastAsia="仿宋_GB2312" w:cs="Times New Roman"/>
          <w:b w:val="0"/>
          <w:bCs w:val="0"/>
          <w:sz w:val="32"/>
          <w:szCs w:val="40"/>
          <w:lang w:val="en" w:eastAsia="zh-CN"/>
        </w:rPr>
        <w:t>开展</w:t>
      </w:r>
      <w:r>
        <w:rPr>
          <w:rFonts w:hint="eastAsia" w:ascii="Times New Roman" w:hAnsi="Times New Roman" w:eastAsia="仿宋_GB2312" w:cs="Times New Roman"/>
          <w:b w:val="0"/>
          <w:bCs w:val="0"/>
          <w:sz w:val="32"/>
          <w:szCs w:val="40"/>
          <w:lang w:val="en" w:eastAsia="zh-CN"/>
        </w:rPr>
        <w:t>“创业</w:t>
      </w:r>
      <w:r>
        <w:rPr>
          <w:rFonts w:hint="default" w:ascii="Times New Roman" w:hAnsi="Times New Roman" w:eastAsia="仿宋_GB2312" w:cs="Times New Roman"/>
          <w:b w:val="0"/>
          <w:bCs w:val="0"/>
          <w:sz w:val="32"/>
          <w:szCs w:val="40"/>
          <w:lang w:val="en" w:eastAsia="zh-CN"/>
        </w:rPr>
        <w:t>导师跟投</w:t>
      </w:r>
      <w:r>
        <w:rPr>
          <w:rFonts w:hint="eastAsia" w:ascii="Times New Roman" w:hAnsi="Times New Roman" w:eastAsia="仿宋_GB2312" w:cs="Times New Roman"/>
          <w:b w:val="0"/>
          <w:bCs w:val="0"/>
          <w:sz w:val="32"/>
          <w:szCs w:val="40"/>
          <w:lang w:val="en" w:eastAsia="zh-CN"/>
        </w:rPr>
        <w:t>项目</w:t>
      </w:r>
      <w:r>
        <w:rPr>
          <w:rFonts w:hint="default" w:ascii="Times New Roman" w:hAnsi="Times New Roman" w:eastAsia="仿宋_GB2312" w:cs="Times New Roman"/>
          <w:b w:val="0"/>
          <w:bCs w:val="0"/>
          <w:sz w:val="32"/>
          <w:szCs w:val="40"/>
          <w:lang w:val="en" w:eastAsia="zh-CN"/>
        </w:rPr>
        <w:t>激励试点</w:t>
      </w:r>
      <w:r>
        <w:rPr>
          <w:rFonts w:hint="eastAsia" w:ascii="Times New Roman" w:hAnsi="Times New Roman" w:eastAsia="仿宋_GB2312" w:cs="Times New Roman"/>
          <w:b w:val="0"/>
          <w:bCs w:val="0"/>
          <w:sz w:val="32"/>
          <w:szCs w:val="40"/>
          <w:lang w:val="en" w:eastAsia="zh-CN"/>
        </w:rPr>
        <w:t>工作”</w:t>
      </w:r>
      <w:r>
        <w:rPr>
          <w:rFonts w:hint="default" w:ascii="Times New Roman" w:hAnsi="Times New Roman" w:eastAsia="仿宋_GB2312" w:cs="Times New Roman"/>
          <w:b w:val="0"/>
          <w:bCs w:val="0"/>
          <w:sz w:val="32"/>
          <w:szCs w:val="40"/>
          <w:lang w:val="en" w:eastAsia="zh-CN"/>
        </w:rPr>
        <w:t>，在不违反国家法律法规和强制性规定前提下，允许</w:t>
      </w:r>
      <w:r>
        <w:rPr>
          <w:rFonts w:hint="eastAsia" w:ascii="Times New Roman" w:hAnsi="Times New Roman" w:eastAsia="仿宋_GB2312" w:cs="Times New Roman"/>
          <w:b w:val="0"/>
          <w:bCs w:val="0"/>
          <w:sz w:val="32"/>
          <w:szCs w:val="40"/>
          <w:lang w:val="en" w:eastAsia="zh-CN"/>
        </w:rPr>
        <w:t>校外</w:t>
      </w:r>
      <w:r>
        <w:rPr>
          <w:rFonts w:hint="default" w:ascii="Times New Roman" w:hAnsi="Times New Roman" w:eastAsia="仿宋_GB2312" w:cs="Times New Roman"/>
          <w:b w:val="0"/>
          <w:bCs w:val="0"/>
          <w:sz w:val="32"/>
          <w:szCs w:val="40"/>
          <w:lang w:val="en" w:eastAsia="zh-CN"/>
        </w:rPr>
        <w:t>导师通过技术入股、服务作价、资金投入等方式依法持有其所辅导创业企业的股权。建立校外导师投资项目信息库，对</w:t>
      </w:r>
      <w:r>
        <w:rPr>
          <w:rFonts w:hint="eastAsia" w:ascii="Times New Roman" w:hAnsi="Times New Roman" w:eastAsia="仿宋_GB2312" w:cs="Times New Roman"/>
          <w:b w:val="0"/>
          <w:bCs w:val="0"/>
          <w:sz w:val="32"/>
          <w:szCs w:val="40"/>
          <w:lang w:val="en" w:eastAsia="zh-CN"/>
        </w:rPr>
        <w:t>校外</w:t>
      </w:r>
      <w:r>
        <w:rPr>
          <w:rFonts w:hint="default" w:ascii="Times New Roman" w:hAnsi="Times New Roman" w:eastAsia="仿宋_GB2312" w:cs="Times New Roman"/>
          <w:b w:val="0"/>
          <w:bCs w:val="0"/>
          <w:sz w:val="32"/>
          <w:szCs w:val="40"/>
          <w:lang w:val="en" w:eastAsia="zh-CN"/>
        </w:rPr>
        <w:t>导师以自有资金投资的大学生创业项目，省级大学生创业</w:t>
      </w:r>
      <w:r>
        <w:rPr>
          <w:rFonts w:hint="eastAsia" w:ascii="Times New Roman" w:hAnsi="Times New Roman" w:eastAsia="仿宋_GB2312" w:cs="Times New Roman"/>
          <w:b w:val="0"/>
          <w:bCs w:val="0"/>
          <w:sz w:val="32"/>
          <w:szCs w:val="40"/>
          <w:lang w:val="en" w:eastAsia="zh-CN"/>
        </w:rPr>
        <w:t>投资</w:t>
      </w:r>
      <w:r>
        <w:rPr>
          <w:rFonts w:hint="default" w:ascii="Times New Roman" w:hAnsi="Times New Roman" w:eastAsia="仿宋_GB2312" w:cs="Times New Roman"/>
          <w:b w:val="0"/>
          <w:bCs w:val="0"/>
          <w:sz w:val="32"/>
          <w:szCs w:val="40"/>
          <w:lang w:val="en" w:eastAsia="zh-CN"/>
        </w:rPr>
        <w:t>基金可按程序给予配套跟投支持，形成风险共担、收益共享的合作机制。</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640" w:firstLineChars="200"/>
        <w:textAlignment w:val="auto"/>
        <w:rPr>
          <w:rFonts w:hint="eastAsia" w:ascii="Times New Roman" w:hAnsi="Times New Roman"/>
          <w:lang w:val="en" w:eastAsia="zh-CN"/>
        </w:rPr>
      </w:pPr>
      <w:r>
        <w:rPr>
          <w:rFonts w:hint="eastAsia" w:ascii="Times New Roman" w:hAnsi="Times New Roman" w:eastAsia="黑体" w:cs="黑体"/>
          <w:b w:val="0"/>
          <w:bCs w:val="0"/>
          <w:sz w:val="32"/>
          <w:szCs w:val="40"/>
          <w:lang w:val="en" w:eastAsia="zh-CN"/>
        </w:rPr>
        <w:t>六、开展交流培训。</w:t>
      </w:r>
      <w:r>
        <w:rPr>
          <w:rFonts w:hint="eastAsia" w:ascii="Times New Roman" w:hAnsi="Times New Roman" w:eastAsia="仿宋_GB2312" w:cs="Times New Roman"/>
          <w:b w:val="0"/>
          <w:bCs w:val="0"/>
          <w:sz w:val="32"/>
          <w:szCs w:val="40"/>
          <w:lang w:val="en" w:eastAsia="zh-CN"/>
        </w:rPr>
        <w:t>建立校外导师</w:t>
      </w:r>
      <w:r>
        <w:rPr>
          <w:rFonts w:hint="default" w:ascii="Times New Roman" w:hAnsi="Times New Roman" w:eastAsia="仿宋_GB2312" w:cs="Times New Roman"/>
          <w:b w:val="0"/>
          <w:bCs w:val="0"/>
          <w:sz w:val="32"/>
          <w:szCs w:val="40"/>
          <w:lang w:val="en" w:eastAsia="zh-CN"/>
        </w:rPr>
        <w:t>常态化培训提升机制。定期组织能力提升专题活动，</w:t>
      </w:r>
      <w:r>
        <w:rPr>
          <w:rFonts w:hint="eastAsia" w:ascii="Times New Roman" w:hAnsi="Times New Roman" w:eastAsia="仿宋_GB2312" w:cs="Times New Roman"/>
          <w:b w:val="0"/>
          <w:bCs w:val="0"/>
          <w:sz w:val="32"/>
          <w:szCs w:val="40"/>
          <w:lang w:val="en" w:eastAsia="zh-CN"/>
        </w:rPr>
        <w:t>不定期选派校外导师</w:t>
      </w:r>
      <w:r>
        <w:rPr>
          <w:rFonts w:hint="default" w:ascii="Times New Roman" w:hAnsi="Times New Roman" w:eastAsia="仿宋_GB2312" w:cs="Times New Roman"/>
          <w:b w:val="0"/>
          <w:bCs w:val="0"/>
          <w:sz w:val="32"/>
          <w:szCs w:val="40"/>
          <w:lang w:val="en" w:eastAsia="zh-CN"/>
        </w:rPr>
        <w:t>赴国内外创新创业发达地区、知名高校和龙头企业开展考察交流和专项培训。择优推荐参加国际创新创业峰会、行业高端论坛等交流活动，不断提升</w:t>
      </w:r>
      <w:r>
        <w:rPr>
          <w:rFonts w:hint="eastAsia" w:ascii="Times New Roman" w:hAnsi="Times New Roman" w:eastAsia="仿宋_GB2312" w:cs="Times New Roman"/>
          <w:b w:val="0"/>
          <w:bCs w:val="0"/>
          <w:sz w:val="32"/>
          <w:szCs w:val="40"/>
          <w:lang w:val="en" w:eastAsia="zh-CN"/>
        </w:rPr>
        <w:t>校外导师</w:t>
      </w:r>
      <w:r>
        <w:rPr>
          <w:rFonts w:hint="default" w:ascii="Times New Roman" w:hAnsi="Times New Roman" w:eastAsia="仿宋_GB2312" w:cs="Times New Roman"/>
          <w:b w:val="0"/>
          <w:bCs w:val="0"/>
          <w:sz w:val="32"/>
          <w:szCs w:val="40"/>
          <w:lang w:val="en" w:eastAsia="zh-CN"/>
        </w:rPr>
        <w:t>专业指导能力和服务水平</w:t>
      </w:r>
      <w:r>
        <w:rPr>
          <w:rFonts w:hint="eastAsia" w:ascii="Times New Roman" w:hAnsi="Times New Roman" w:eastAsia="仿宋_GB2312" w:cs="Times New Roman"/>
          <w:b w:val="0"/>
          <w:bCs w:val="0"/>
          <w:sz w:val="32"/>
          <w:szCs w:val="40"/>
          <w:lang w:val="en"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0F1115"/>
          <w:sz w:val="32"/>
          <w:szCs w:val="40"/>
          <w:shd w:val="clear" w:color="auto" w:fill="auto"/>
          <w:lang w:val="en" w:eastAsia="zh-CN" w:bidi="ar"/>
        </w:rPr>
      </w:pPr>
      <w:r>
        <w:rPr>
          <w:rFonts w:hint="eastAsia" w:ascii="Times New Roman" w:hAnsi="Times New Roman" w:eastAsia="黑体" w:cs="黑体"/>
          <w:b w:val="0"/>
          <w:bCs w:val="0"/>
          <w:sz w:val="32"/>
          <w:szCs w:val="40"/>
          <w:lang w:val="en-US" w:eastAsia="zh-CN"/>
        </w:rPr>
        <w:t>七、加大宣传报道。</w:t>
      </w:r>
      <w:r>
        <w:rPr>
          <w:rFonts w:hint="default" w:ascii="Times New Roman" w:hAnsi="Times New Roman" w:eastAsia="仿宋_GB2312" w:cs="Times New Roman"/>
          <w:b w:val="0"/>
          <w:bCs w:val="0"/>
          <w:sz w:val="32"/>
          <w:szCs w:val="40"/>
          <w:lang w:val="en" w:eastAsia="zh-CN"/>
        </w:rPr>
        <w:t>统筹省级主流媒体、重点网络平台等宣传资源，定期对校外导师先进事迹、典型服务案例开展</w:t>
      </w:r>
      <w:r>
        <w:rPr>
          <w:rFonts w:hint="eastAsia" w:ascii="Times New Roman" w:hAnsi="Times New Roman" w:eastAsia="仿宋_GB2312" w:cs="Times New Roman"/>
          <w:b w:val="0"/>
          <w:bCs w:val="0"/>
          <w:sz w:val="32"/>
          <w:szCs w:val="40"/>
          <w:lang w:val="en" w:eastAsia="zh-CN"/>
        </w:rPr>
        <w:t>宣传</w:t>
      </w:r>
      <w:r>
        <w:rPr>
          <w:rFonts w:hint="default" w:ascii="Times New Roman" w:hAnsi="Times New Roman" w:eastAsia="仿宋_GB2312" w:cs="Times New Roman"/>
          <w:b w:val="0"/>
          <w:bCs w:val="0"/>
          <w:sz w:val="32"/>
          <w:szCs w:val="40"/>
          <w:lang w:val="en" w:eastAsia="zh-CN"/>
        </w:rPr>
        <w:t>报道，提升校外导师群体的行业影响力与社会美誉度</w:t>
      </w:r>
      <w:r>
        <w:rPr>
          <w:rFonts w:hint="eastAsia" w:ascii="Times New Roman" w:hAnsi="Times New Roman" w:eastAsia="仿宋_GB2312" w:cs="Times New Roman"/>
          <w:b w:val="0"/>
          <w:bCs w:val="0"/>
          <w:sz w:val="32"/>
          <w:szCs w:val="40"/>
          <w:lang w:val="en" w:eastAsia="zh-CN"/>
        </w:rPr>
        <w:t>，</w:t>
      </w:r>
      <w:r>
        <w:rPr>
          <w:rFonts w:hint="default" w:ascii="Times New Roman" w:hAnsi="Times New Roman" w:eastAsia="仿宋_GB2312" w:cs="Times New Roman"/>
          <w:b w:val="0"/>
          <w:bCs w:val="0"/>
          <w:sz w:val="32"/>
          <w:szCs w:val="40"/>
          <w:lang w:val="en" w:eastAsia="zh-CN"/>
        </w:rPr>
        <w:t>营造全社会尊重创业导师、支持创业服务的良好氛围。</w:t>
      </w:r>
    </w:p>
    <w:p>
      <w:pPr>
        <w:keepNext w:val="0"/>
        <w:keepLines w:val="0"/>
        <w:pageBreakBefore w:val="0"/>
        <w:numPr>
          <w:ilvl w:val="0"/>
          <w:numId w:val="0"/>
        </w:numPr>
        <w:kinsoku/>
        <w:wordWrap/>
        <w:overflowPunct/>
        <w:topLinePunct w:val="0"/>
        <w:autoSpaceDE/>
        <w:autoSpaceDN/>
        <w:bidi w:val="0"/>
        <w:adjustRightInd/>
        <w:snapToGrid/>
        <w:spacing w:after="0" w:line="600" w:lineRule="exact"/>
        <w:ind w:left="0" w:leftChars="0" w:right="0" w:rightChars="0" w:firstLine="640" w:firstLineChars="200"/>
        <w:textAlignment w:val="auto"/>
        <w:outlineLvl w:val="9"/>
        <w:rPr>
          <w:rFonts w:hint="default" w:ascii="Times New Roman" w:hAnsi="Times New Roman" w:eastAsia="仿宋_GB2312" w:cs="Times New Roman"/>
          <w:sz w:val="32"/>
          <w:szCs w:val="40"/>
          <w:highlight w:val="none"/>
          <w:lang w:val="en" w:eastAsia="zh-CN"/>
        </w:rPr>
      </w:pPr>
      <w:r>
        <w:rPr>
          <w:rFonts w:hint="eastAsia" w:ascii="Times New Roman" w:hAnsi="Times New Roman" w:eastAsia="黑体" w:cs="黑体"/>
          <w:sz w:val="32"/>
          <w:szCs w:val="40"/>
          <w:lang w:val="en-US" w:eastAsia="zh-CN"/>
        </w:rPr>
        <w:t>八、加强跟踪问效。</w:t>
      </w:r>
      <w:r>
        <w:rPr>
          <w:rFonts w:hint="default" w:ascii="Times New Roman" w:hAnsi="Times New Roman" w:eastAsia="仿宋_GB2312" w:cs="Times New Roman"/>
          <w:sz w:val="32"/>
          <w:szCs w:val="40"/>
          <w:lang w:val="en" w:eastAsia="zh-CN"/>
        </w:rPr>
        <w:t>依托湖南省大学生创业导师与指导工作室综合服务平台等信息化载体，建立健全校外导师创业服务跟踪评价体系，</w:t>
      </w:r>
      <w:r>
        <w:rPr>
          <w:rFonts w:hint="eastAsia" w:ascii="Times New Roman" w:hAnsi="Times New Roman" w:eastAsia="仿宋_GB2312" w:cs="Times New Roman"/>
          <w:sz w:val="32"/>
          <w:szCs w:val="40"/>
          <w:lang w:val="en" w:eastAsia="zh-CN"/>
        </w:rPr>
        <w:t>对导师履职实施负面清单管理，加强</w:t>
      </w:r>
      <w:r>
        <w:rPr>
          <w:rFonts w:hint="default" w:ascii="Times New Roman" w:hAnsi="Times New Roman" w:eastAsia="仿宋_GB2312" w:cs="Times New Roman"/>
          <w:sz w:val="32"/>
          <w:szCs w:val="40"/>
          <w:lang w:val="en" w:eastAsia="zh-CN"/>
        </w:rPr>
        <w:t>导师</w:t>
      </w:r>
      <w:r>
        <w:rPr>
          <w:rFonts w:hint="eastAsia" w:ascii="Times New Roman" w:hAnsi="Times New Roman" w:eastAsia="仿宋_GB2312" w:cs="Times New Roman"/>
          <w:sz w:val="32"/>
          <w:szCs w:val="40"/>
          <w:lang w:val="en" w:eastAsia="zh-CN"/>
        </w:rPr>
        <w:t>资源信息共享</w:t>
      </w:r>
      <w:r>
        <w:rPr>
          <w:rFonts w:hint="default" w:ascii="Times New Roman" w:hAnsi="Times New Roman" w:eastAsia="仿宋_GB2312" w:cs="Times New Roman"/>
          <w:sz w:val="32"/>
          <w:szCs w:val="40"/>
          <w:lang w:val="en" w:eastAsia="zh-CN"/>
        </w:rPr>
        <w:t>与动态调整。</w:t>
      </w:r>
    </w:p>
    <w:p>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left="0" w:leftChars="0" w:right="0" w:rightChars="0" w:firstLine="640" w:firstLineChars="200"/>
        <w:textAlignment w:val="auto"/>
        <w:outlineLvl w:val="9"/>
        <w:rPr>
          <w:rFonts w:hint="eastAsia" w:ascii="Times New Roman" w:hAnsi="Times New Roman" w:eastAsia="仿宋_GB2312" w:cs="Times New Roman"/>
          <w:color w:val="auto"/>
          <w:sz w:val="32"/>
          <w:szCs w:val="40"/>
          <w:lang w:val="en-US" w:eastAsia="zh-CN"/>
        </w:rPr>
      </w:pPr>
      <w:r>
        <w:rPr>
          <w:rFonts w:hint="eastAsia" w:ascii="Times New Roman" w:hAnsi="Times New Roman" w:eastAsia="仿宋_GB2312" w:cs="Times New Roman"/>
          <w:sz w:val="32"/>
          <w:szCs w:val="40"/>
          <w:highlight w:val="none"/>
          <w:lang w:eastAsia="zh-CN"/>
        </w:rPr>
        <w:t>本措施自202</w:t>
      </w:r>
      <w:r>
        <w:rPr>
          <w:rFonts w:hint="eastAsia" w:ascii="Times New Roman" w:hAnsi="Times New Roman" w:eastAsia="仿宋_GB2312" w:cs="Times New Roman"/>
          <w:sz w:val="32"/>
          <w:szCs w:val="40"/>
          <w:highlight w:val="none"/>
          <w:lang w:val="en-US" w:eastAsia="zh-CN"/>
        </w:rPr>
        <w:t>6</w:t>
      </w:r>
      <w:r>
        <w:rPr>
          <w:rFonts w:hint="eastAsia" w:ascii="Times New Roman" w:hAnsi="Times New Roman" w:eastAsia="仿宋_GB2312" w:cs="Times New Roman"/>
          <w:sz w:val="32"/>
          <w:szCs w:val="40"/>
          <w:highlight w:val="none"/>
          <w:lang w:eastAsia="zh-CN"/>
        </w:rPr>
        <w:t>年</w:t>
      </w:r>
      <w:r>
        <w:rPr>
          <w:rFonts w:hint="eastAsia" w:ascii="Times New Roman" w:hAnsi="Times New Roman" w:eastAsia="仿宋_GB2312" w:cs="Times New Roman"/>
          <w:sz w:val="32"/>
          <w:szCs w:val="40"/>
          <w:highlight w:val="none"/>
          <w:lang w:val="en-US" w:eastAsia="zh-CN"/>
        </w:rPr>
        <w:t>7</w:t>
      </w:r>
      <w:r>
        <w:rPr>
          <w:rFonts w:hint="eastAsia" w:ascii="Times New Roman" w:hAnsi="Times New Roman" w:eastAsia="仿宋_GB2312" w:cs="Times New Roman"/>
          <w:sz w:val="32"/>
          <w:szCs w:val="40"/>
          <w:highlight w:val="none"/>
          <w:lang w:eastAsia="zh-CN"/>
        </w:rPr>
        <w:t>月</w:t>
      </w:r>
      <w:r>
        <w:rPr>
          <w:rFonts w:hint="eastAsia" w:ascii="Times New Roman" w:hAnsi="Times New Roman" w:eastAsia="仿宋_GB2312" w:cs="Times New Roman"/>
          <w:sz w:val="32"/>
          <w:szCs w:val="40"/>
          <w:highlight w:val="none"/>
          <w:lang w:val="en-US" w:eastAsia="zh-CN"/>
        </w:rPr>
        <w:t>31</w:t>
      </w:r>
      <w:r>
        <w:rPr>
          <w:rFonts w:hint="eastAsia" w:ascii="Times New Roman" w:hAnsi="Times New Roman" w:eastAsia="仿宋_GB2312" w:cs="Times New Roman"/>
          <w:sz w:val="32"/>
          <w:szCs w:val="40"/>
          <w:highlight w:val="none"/>
          <w:lang w:eastAsia="zh-CN"/>
        </w:rPr>
        <w:t>日施行，有效期</w:t>
      </w:r>
      <w:r>
        <w:rPr>
          <w:rFonts w:hint="eastAsia" w:ascii="Times New Roman" w:hAnsi="Times New Roman" w:eastAsia="仿宋_GB2312" w:cs="Times New Roman"/>
          <w:sz w:val="32"/>
          <w:szCs w:val="40"/>
          <w:highlight w:val="none"/>
          <w:lang w:val="en-US" w:eastAsia="zh-CN"/>
        </w:rPr>
        <w:t>2</w:t>
      </w:r>
      <w:r>
        <w:rPr>
          <w:rFonts w:hint="eastAsia" w:ascii="Times New Roman" w:hAnsi="Times New Roman" w:eastAsia="仿宋_GB2312" w:cs="Times New Roman"/>
          <w:sz w:val="32"/>
          <w:szCs w:val="40"/>
          <w:highlight w:val="none"/>
          <w:lang w:eastAsia="zh-CN"/>
        </w:rPr>
        <w:t>年。</w:t>
      </w:r>
      <w:r>
        <w:rPr>
          <w:rFonts w:hint="default" w:ascii="Times New Roman" w:hAnsi="Times New Roman" w:eastAsia="仿宋_GB2312" w:cs="Times New Roman"/>
          <w:sz w:val="32"/>
          <w:szCs w:val="40"/>
          <w:highlight w:val="none"/>
          <w:lang w:eastAsia="zh-CN"/>
        </w:rPr>
        <w:t>省</w:t>
      </w:r>
      <w:r>
        <w:rPr>
          <w:rFonts w:hint="default" w:ascii="Times New Roman" w:hAnsi="Times New Roman" w:eastAsia="仿宋_GB2312" w:cs="Times New Roman"/>
          <w:sz w:val="32"/>
          <w:szCs w:val="40"/>
          <w:lang w:eastAsia="zh-CN"/>
        </w:rPr>
        <w:t>直有关</w:t>
      </w:r>
      <w:r>
        <w:rPr>
          <w:rFonts w:hint="eastAsia" w:ascii="Times New Roman" w:hAnsi="Times New Roman" w:eastAsia="仿宋_GB2312" w:cs="Times New Roman"/>
          <w:sz w:val="32"/>
          <w:szCs w:val="40"/>
          <w:lang w:eastAsia="zh-CN"/>
        </w:rPr>
        <w:t>部门依据职责分工，</w:t>
      </w:r>
      <w:r>
        <w:rPr>
          <w:rFonts w:hint="default" w:ascii="Times New Roman" w:hAnsi="Times New Roman" w:eastAsia="仿宋_GB2312" w:cs="Times New Roman"/>
          <w:sz w:val="32"/>
          <w:szCs w:val="40"/>
          <w:lang w:eastAsia="zh-CN"/>
        </w:rPr>
        <w:t>制定具体实施方案</w:t>
      </w:r>
      <w:r>
        <w:rPr>
          <w:rFonts w:hint="eastAsia"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eastAsia="zh-CN"/>
        </w:rPr>
        <w:t>各市</w:t>
      </w:r>
      <w:r>
        <w:rPr>
          <w:rFonts w:hint="default" w:ascii="Times New Roman" w:hAnsi="Times New Roman" w:eastAsia="仿宋_GB2312" w:cs="Times New Roman"/>
          <w:sz w:val="32"/>
          <w:szCs w:val="40"/>
          <w:lang w:val="en-US" w:eastAsia="zh-CN"/>
        </w:rPr>
        <w:t>州、</w:t>
      </w:r>
      <w:r>
        <w:rPr>
          <w:rFonts w:hint="eastAsia" w:ascii="Times New Roman" w:hAnsi="Times New Roman" w:eastAsia="仿宋_GB2312" w:cs="Times New Roman"/>
          <w:sz w:val="32"/>
          <w:szCs w:val="40"/>
          <w:lang w:val="en-US" w:eastAsia="zh-CN"/>
        </w:rPr>
        <w:t>湘江新区、</w:t>
      </w:r>
      <w:r>
        <w:rPr>
          <w:rFonts w:hint="default" w:ascii="Times New Roman" w:hAnsi="Times New Roman" w:eastAsia="仿宋_GB2312" w:cs="Times New Roman"/>
          <w:sz w:val="32"/>
          <w:szCs w:val="40"/>
          <w:lang w:val="en-US" w:eastAsia="zh-CN"/>
        </w:rPr>
        <w:t>县市区</w:t>
      </w:r>
      <w:r>
        <w:rPr>
          <w:rFonts w:hint="eastAsia" w:ascii="Times New Roman" w:hAnsi="Times New Roman" w:eastAsia="仿宋_GB2312" w:cs="Times New Roman"/>
          <w:sz w:val="32"/>
          <w:szCs w:val="40"/>
          <w:lang w:val="en-US" w:eastAsia="zh-CN"/>
        </w:rPr>
        <w:t>、园区可结合实际情况，制定相应激励措施。</w:t>
      </w: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1653" w:leftChars="303" w:right="0" w:rightChars="0" w:hanging="1017" w:hangingChars="318"/>
        <w:textAlignment w:val="auto"/>
        <w:outlineLvl w:val="9"/>
        <w:rPr>
          <w:rFonts w:hint="eastAsia" w:ascii="Times New Roman" w:hAnsi="Times New Roman" w:eastAsia="仿宋_GB2312" w:cs="Times New Roman"/>
          <w:color w:val="auto"/>
          <w:sz w:val="32"/>
          <w:szCs w:val="4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1709" w:leftChars="302" w:right="0" w:rightChars="0" w:hanging="1075" w:hangingChars="336"/>
        <w:textAlignment w:val="auto"/>
        <w:outlineLvl w:val="9"/>
        <w:rPr>
          <w:rFonts w:hint="eastAsia" w:ascii="Times New Roman" w:hAnsi="Times New Roman" w:eastAsia="仿宋_GB2312" w:cs="Times New Roman"/>
          <w:color w:val="auto"/>
          <w:sz w:val="32"/>
          <w:szCs w:val="40"/>
          <w:lang w:val="en-US" w:eastAsia="zh-CN"/>
        </w:rPr>
        <w:sectPr>
          <w:footerReference r:id="rId3" w:type="default"/>
          <w:pgSz w:w="11906" w:h="16838"/>
          <w:pgMar w:top="2098" w:right="1587" w:bottom="1701" w:left="1587" w:header="992" w:footer="1276" w:gutter="0"/>
          <w:pgNumType w:fmt="decimal"/>
          <w:cols w:space="0" w:num="1"/>
          <w:rtlGutter w:val="0"/>
          <w:docGrid w:type="lines" w:linePitch="315" w:charSpace="0"/>
        </w:sectPr>
      </w:pPr>
      <w:r>
        <w:rPr>
          <w:rFonts w:hint="eastAsia" w:ascii="Times New Roman" w:hAnsi="Times New Roman" w:eastAsia="仿宋_GB2312" w:cs="Times New Roman"/>
          <w:color w:val="auto"/>
          <w:sz w:val="32"/>
          <w:szCs w:val="40"/>
          <w:lang w:val="en-US" w:eastAsia="zh-CN"/>
        </w:rPr>
        <w:t>附件：《关于实施湖南省大学生创业实战型校外导师激励的若干措施（试行）》责任落实清单</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textAlignment w:val="auto"/>
        <w:outlineLvl w:val="9"/>
        <w:rPr>
          <w:rFonts w:hint="eastAsia" w:ascii="Times New Roman" w:hAnsi="Times New Roman" w:eastAsia="国标黑体" w:cs="国标黑体"/>
          <w:color w:val="auto"/>
          <w:sz w:val="32"/>
          <w:szCs w:val="32"/>
          <w:lang w:val="en-US" w:eastAsia="zh-CN"/>
        </w:rPr>
      </w:pPr>
      <w:r>
        <w:rPr>
          <w:rFonts w:hint="eastAsia" w:ascii="Times New Roman" w:hAnsi="Times New Roman" w:eastAsia="国标黑体" w:cs="国标黑体"/>
          <w:color w:val="auto"/>
          <w:sz w:val="32"/>
          <w:szCs w:val="32"/>
          <w:lang w:val="en-US" w:eastAsia="zh-CN"/>
        </w:rPr>
        <w:t>附件</w:t>
      </w:r>
    </w:p>
    <w:p>
      <w:pPr>
        <w:pStyle w:val="52"/>
        <w:keepNext w:val="0"/>
        <w:keepLines w:val="0"/>
        <w:pageBreakBefore w:val="0"/>
        <w:widowControl w:val="0"/>
        <w:kinsoku/>
        <w:wordWrap/>
        <w:overflowPunct/>
        <w:topLinePunct w:val="0"/>
        <w:autoSpaceDE/>
        <w:autoSpaceDN/>
        <w:bidi w:val="0"/>
        <w:adjustRightInd/>
        <w:snapToGrid/>
        <w:spacing w:after="0" w:line="400" w:lineRule="exact"/>
        <w:ind w:left="0" w:leftChars="0" w:right="0" w:rightChars="0" w:firstLine="0" w:firstLineChars="0"/>
        <w:jc w:val="left"/>
        <w:textAlignment w:val="auto"/>
        <w:outlineLvl w:val="9"/>
        <w:rPr>
          <w:rFonts w:hint="eastAsia" w:ascii="Times New Roman" w:hAnsi="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《关于实施湖南省大学生创业实战型校外导师激励的若干措施（试行）》责任落实清单</w:t>
      </w:r>
    </w:p>
    <w:tbl>
      <w:tblPr>
        <w:tblStyle w:val="28"/>
        <w:tblW w:w="14284"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491"/>
        <w:gridCol w:w="7473"/>
        <w:gridCol w:w="4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blHeader/>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序号</w:t>
            </w:r>
          </w:p>
        </w:tc>
        <w:tc>
          <w:tcPr>
            <w:tcW w:w="149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措施类别</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具体内容</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w:t>
            </w:r>
          </w:p>
        </w:tc>
        <w:tc>
          <w:tcPr>
            <w:tcW w:w="149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选树推优</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设立“金牌创业导师”选树表扬项目。</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省委宣传部、省科技厅、省教育厅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2</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组织“金牌创业导师”选树表扬、宣传推荐与专项计划支持。</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省委宣传部、省科技厅、省教育厅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6"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3</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在省五一劳动奖章、省三八红旗手、省青年五四奖章等评选表彰中，同等条件下予以考虑，并积极推荐参评相应国家级荣誉；对符合条件的，推荐担任各级人大代表、政协委员，加强组织培养和政治吸纳。</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省总工会、省妇联、团省委、省委宣传部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3"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4</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支持其申报省级人才计划、科技计划项目和科技奖励评选。</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省委人才办、省科技厅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8"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5</w:t>
            </w:r>
          </w:p>
        </w:tc>
        <w:tc>
          <w:tcPr>
            <w:tcW w:w="149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职称评定</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积极拓宽校外导师职业发展路径，支持贡献突出且符合条件的导师参与全省人力资源管理专业职称考试或评审，将其在指导创业项目、推动成果转化、提升学生创新创业能力等方面取得的实绩，作为评审内容。</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省人力资源社会保障厅、省教育厅、省科技厅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9"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6</w:t>
            </w:r>
          </w:p>
        </w:tc>
        <w:tc>
          <w:tcPr>
            <w:tcW w:w="149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服务报酬</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对开展创业辅导、一对一培育、公开授课等工作的校外导师，由服务对象所在单位参照相关标准支付课酬或专家咨询费。</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省科技厅、相关市州、高校、园区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9"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7</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未设立大学生创业指导工作室的高校，应明确经费来源和管理部门，参照校内同类或本地区相关标准，为校外导师支付服务报酬。</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省教育厅、省财政厅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1"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8</w:t>
            </w:r>
          </w:p>
        </w:tc>
        <w:tc>
          <w:tcPr>
            <w:tcW w:w="149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实效奖励</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以校外导师履职实绩为核心，从日常服务工作量（创业团队辅导、一对一培育频次及质量）、教学授课贡献（创业类课程、讲座、培训的课时量、质量及学员反馈）、成果产出成效（项目进展、赛事获奖、技术突破、成果转化及融资落地）等方面，对实效成绩突出的校外导师，由服务对象所在单位按相关规定，给予奖励。</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省科技厅、省教育厅、省财政厅、相关市州、高校、园区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1"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9</w:t>
            </w:r>
          </w:p>
        </w:tc>
        <w:tc>
          <w:tcPr>
            <w:tcW w:w="149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项目跟投</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 w:eastAsia="zh-CN" w:bidi="ar"/>
              </w:rPr>
              <w:t>支持在省级及以上科技型企业孵化器、大学生创业孵化基地和大学生创业指导工作室中，探索开展“创业导师跟投项目激励试点工作”，在不违反国家法律法规和强制性规定前提下，允许校外导师通过技术入股、服务作价、资金投入等方式依法持有其所辅导创业企业的股权。</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10</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 w:eastAsia="zh-CN" w:bidi="ar"/>
              </w:rPr>
              <w:t>建立校外导师投资项目信息库，对校外导师以自有资金投资的大学生创业项目，省级大学生创业投资基金可按程序给予配套跟投支持，形成风险共担、收益共享的合作机制。</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省财政厅、湖南财信金控集团、省人力资源社会保障厅、省科技厅、省教育厅、湘江新区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15"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11</w:t>
            </w:r>
          </w:p>
        </w:tc>
        <w:tc>
          <w:tcPr>
            <w:tcW w:w="149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培训提升</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4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建立校外导师常态化培训提升机制。定期组织能力提升专题活动，不定期选派校外导师赴国内外创新创业发达地区、知名高校和龙头企业开展考察交流和专项培训，搭建跨区域导师与企业家资源对接平台。</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省科技厅、省教育厅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40"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12</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4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 w:eastAsia="zh-CN" w:bidi="ar"/>
              </w:rPr>
              <w:t>择优推荐</w:t>
            </w:r>
            <w:r>
              <w:rPr>
                <w:rFonts w:hint="eastAsia" w:ascii="Times New Roman" w:hAnsi="Times New Roman" w:eastAsia="仿宋_GB2312" w:cs="仿宋_GB2312"/>
                <w:i w:val="0"/>
                <w:iCs w:val="0"/>
                <w:color w:val="000000"/>
                <w:kern w:val="0"/>
                <w:sz w:val="28"/>
                <w:szCs w:val="28"/>
                <w:u w:val="none"/>
                <w:lang w:val="en-US" w:eastAsia="zh-CN" w:bidi="ar"/>
              </w:rPr>
              <w:t>校外导师</w:t>
            </w:r>
            <w:r>
              <w:rPr>
                <w:rFonts w:hint="eastAsia" w:ascii="Times New Roman" w:hAnsi="Times New Roman" w:eastAsia="仿宋_GB2312" w:cs="仿宋_GB2312"/>
                <w:i w:val="0"/>
                <w:iCs w:val="0"/>
                <w:color w:val="000000"/>
                <w:kern w:val="0"/>
                <w:sz w:val="28"/>
                <w:szCs w:val="28"/>
                <w:u w:val="none"/>
                <w:lang w:val="en" w:eastAsia="zh-CN" w:bidi="ar"/>
              </w:rPr>
              <w:t>参加国际创新创业峰会、行业高端论坛等交流活动，支持导师拓宽国际视野、把握行业前沿趋势，不断提升校外导师专业指导能力和服务水平。</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省科技厅、省教育厅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0"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13</w:t>
            </w:r>
          </w:p>
        </w:tc>
        <w:tc>
          <w:tcPr>
            <w:tcW w:w="149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媒体宣传</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4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 w:eastAsia="zh-CN" w:bidi="ar"/>
              </w:rPr>
              <w:t>统筹省级主流媒体、重点网络平台等宣传资源，定期对校外导师先进事迹、典型服务案例开展宣传报道，提升校外导师群体的行业影响力与社会美誉度。</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省委宣传部、省科技厅、省教育厅、团省委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5"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14</w:t>
            </w:r>
          </w:p>
        </w:tc>
        <w:tc>
          <w:tcPr>
            <w:tcW w:w="1491"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4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 w:eastAsia="zh-CN" w:bidi="ar"/>
              </w:rPr>
              <w:t>构建上下联动、全域覆盖的宣传工作格局，着力营造全社会尊重创业导师、支持创业服务的良好氛围。</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省科技厅、省教育厅、省人力资源社会保障厅、团省委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23" w:hRule="atLeast"/>
        </w:trPr>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黑体" w:cs="黑体"/>
                <w:b w:val="0"/>
                <w:bCs w:val="0"/>
                <w:i w:val="0"/>
                <w:iCs w:val="0"/>
                <w:color w:val="000000"/>
                <w:kern w:val="0"/>
                <w:sz w:val="28"/>
                <w:szCs w:val="28"/>
                <w:u w:val="none"/>
                <w:lang w:val="en-US" w:eastAsia="zh-CN" w:bidi="ar"/>
              </w:rPr>
            </w:pPr>
            <w:r>
              <w:rPr>
                <w:rFonts w:hint="eastAsia" w:ascii="Times New Roman" w:hAnsi="Times New Roman" w:eastAsia="黑体" w:cs="黑体"/>
                <w:b w:val="0"/>
                <w:bCs w:val="0"/>
                <w:i w:val="0"/>
                <w:iCs w:val="0"/>
                <w:color w:val="000000"/>
                <w:kern w:val="0"/>
                <w:sz w:val="28"/>
                <w:szCs w:val="28"/>
                <w:u w:val="none"/>
                <w:lang w:val="en-US" w:eastAsia="zh-CN" w:bidi="ar"/>
              </w:rPr>
              <w:t>15</w:t>
            </w:r>
          </w:p>
        </w:tc>
        <w:tc>
          <w:tcPr>
            <w:tcW w:w="149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default"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跟踪问效</w:t>
            </w:r>
          </w:p>
        </w:tc>
        <w:tc>
          <w:tcPr>
            <w:tcW w:w="747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40" w:lineRule="exact"/>
              <w:ind w:left="0" w:leftChars="0" w:right="0" w:rightChars="0" w:firstLine="0" w:firstLineChars="0"/>
              <w:jc w:val="left"/>
              <w:textAlignment w:val="center"/>
              <w:outlineLvl w:val="9"/>
              <w:rPr>
                <w:rFonts w:hint="eastAsia" w:ascii="Times New Roman" w:hAnsi="Times New Roman" w:eastAsia="仿宋_GB2312" w:cs="仿宋_GB2312"/>
                <w:i w:val="0"/>
                <w:iCs w:val="0"/>
                <w:color w:val="000000"/>
                <w:kern w:val="0"/>
                <w:sz w:val="28"/>
                <w:szCs w:val="28"/>
                <w:u w:val="none"/>
                <w:lang w:val="en" w:eastAsia="zh-CN" w:bidi="ar"/>
              </w:rPr>
            </w:pPr>
            <w:r>
              <w:rPr>
                <w:rFonts w:hint="eastAsia" w:ascii="Times New Roman" w:hAnsi="Times New Roman" w:eastAsia="仿宋_GB2312" w:cs="仿宋_GB2312"/>
                <w:i w:val="0"/>
                <w:iCs w:val="0"/>
                <w:color w:val="000000"/>
                <w:kern w:val="0"/>
                <w:sz w:val="28"/>
                <w:szCs w:val="28"/>
                <w:u w:val="none"/>
                <w:lang w:val="en" w:eastAsia="zh-CN" w:bidi="ar"/>
              </w:rPr>
              <w:t>依托湖南省大学生创业导师与指导工作室综合服务平台等信息化载体，建立健全校外导师创业服务跟踪评价体系，对导师履职实施负面清单管理，加强导师资源信息共享与动态调整。</w:t>
            </w:r>
          </w:p>
        </w:tc>
        <w:tc>
          <w:tcPr>
            <w:tcW w:w="4443"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420" w:lineRule="exact"/>
              <w:ind w:left="0" w:leftChars="0" w:right="0" w:rightChars="0" w:firstLine="0" w:firstLineChars="0"/>
              <w:jc w:val="center"/>
              <w:textAlignment w:val="center"/>
              <w:outlineLvl w:val="9"/>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省科技厅、省教育厅</w:t>
            </w:r>
          </w:p>
        </w:tc>
      </w:tr>
    </w:tbl>
    <w:p>
      <w:pPr>
        <w:pStyle w:val="14"/>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lang w:val="en-US" w:eastAsia="zh-CN"/>
        </w:rPr>
      </w:pPr>
    </w:p>
    <w:p>
      <w:pPr>
        <w:pStyle w:val="19"/>
        <w:rPr>
          <w:rFonts w:hint="default" w:ascii="Times New Roman" w:hAnsi="Times New Roman"/>
          <w:lang w:val="en" w:eastAsia="zh-CN"/>
        </w:rPr>
        <w:sectPr>
          <w:footerReference r:id="rId4" w:type="default"/>
          <w:pgSz w:w="16838" w:h="11906" w:orient="landscape"/>
          <w:pgMar w:top="1701" w:right="1440" w:bottom="1474" w:left="1440" w:header="851" w:footer="992" w:gutter="0"/>
          <w:pgNumType w:fmt="decimal"/>
          <w:cols w:space="0" w:num="1"/>
          <w:rtlGutter w:val="0"/>
          <w:docGrid w:type="lines" w:linePitch="315" w:charSpace="0"/>
        </w:sectPr>
      </w:pPr>
    </w:p>
    <w:p>
      <w:pPr>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p>
      <w:pPr>
        <w:pStyle w:val="2"/>
        <w:keepNext w:val="0"/>
        <w:keepLines w:val="0"/>
        <w:pageBreakBefore w:val="0"/>
        <w:widowControl w:val="0"/>
        <w:kinsoku/>
        <w:wordWrap/>
        <w:overflowPunct/>
        <w:topLinePunct w:val="0"/>
        <w:autoSpaceDE/>
        <w:autoSpaceDN/>
        <w:bidi w:val="0"/>
        <w:adjustRightInd/>
        <w:snapToGrid/>
        <w:spacing w:after="280" w:line="279" w:lineRule="auto"/>
        <w:ind w:left="0" w:leftChars="0" w:right="0" w:rightChars="0" w:firstLine="0" w:firstLineChars="0"/>
        <w:jc w:val="both"/>
        <w:textAlignment w:val="auto"/>
        <w:outlineLvl w:val="9"/>
        <w:rPr>
          <w:rFonts w:hint="default" w:ascii="Times New Roman" w:hAnsi="Times New Roman"/>
          <w:lang w:val="en" w:eastAsia="zh-CN"/>
        </w:rPr>
      </w:pPr>
    </w:p>
    <w:p>
      <w:pPr>
        <w:pStyle w:val="2"/>
        <w:rPr>
          <w:rFonts w:hint="default" w:ascii="Times New Roman" w:hAnsi="Times New Roman"/>
          <w:lang w:val="en" w:eastAsia="zh-CN"/>
        </w:rPr>
      </w:pPr>
    </w:p>
    <w:p>
      <w:pPr>
        <w:pStyle w:val="2"/>
        <w:rPr>
          <w:rFonts w:hint="default" w:ascii="Times New Roman" w:hAnsi="Times New Roman"/>
          <w:lang w:val="en" w:eastAsia="zh-CN"/>
        </w:rPr>
      </w:pPr>
    </w:p>
    <w:tbl>
      <w:tblPr>
        <w:tblStyle w:val="28"/>
        <w:tblW w:w="8522"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10" w:hRule="exact"/>
          <w:jc w:val="center"/>
        </w:trPr>
        <w:tc>
          <w:tcPr>
            <w:tcW w:w="8522" w:type="dxa"/>
            <w:vAlign w:val="top"/>
          </w:tcPr>
          <w:p>
            <w:pPr>
              <w:spacing w:line="460" w:lineRule="exact"/>
              <w:ind w:left="-142" w:firstLine="280" w:firstLineChars="100"/>
              <w:rPr>
                <w:rFonts w:ascii="Times New Roman" w:hAnsi="Times New Roman"/>
                <w:highlight w:val="none"/>
              </w:rPr>
            </w:pPr>
            <w:r>
              <w:rPr>
                <w:rFonts w:hint="default" w:ascii="Times New Roman" w:hAnsi="Times New Roman" w:eastAsia="方正仿宋_GBK" w:cs="Times New Roman"/>
                <w:sz w:val="28"/>
                <w:szCs w:val="28"/>
                <w:highlight w:val="none"/>
              </w:rPr>
              <w:t>湖南省科学技术厅办公室</w:t>
            </w:r>
            <w:r>
              <w:rPr>
                <w:rFonts w:hint="default" w:ascii="Times New Roman" w:hAnsi="Times New Roman" w:eastAsia="仿宋_GB2312" w:cs="Times New Roman"/>
                <w:sz w:val="28"/>
                <w:szCs w:val="28"/>
                <w:highlight w:val="none"/>
              </w:rPr>
              <w:t xml:space="preserve">           </w:t>
            </w:r>
            <w:r>
              <w:rPr>
                <w:rFonts w:hint="eastAsia"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 xml:space="preserve"> </w:t>
            </w:r>
            <w:r>
              <w:rPr>
                <w:rFonts w:hint="eastAsia"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 xml:space="preserve"> </w:t>
            </w:r>
            <w:r>
              <w:rPr>
                <w:rFonts w:hint="eastAsia" w:ascii="Times New Roman" w:hAnsi="Times New Roman" w:eastAsia="仿宋_GB2312" w:cs="Times New Roman"/>
                <w:sz w:val="28"/>
                <w:szCs w:val="28"/>
                <w:highlight w:val="none"/>
                <w:lang w:eastAsia="zh-CN"/>
              </w:rPr>
              <w:t>202</w:t>
            </w:r>
            <w:r>
              <w:rPr>
                <w:rFonts w:hint="eastAsia" w:ascii="Times New Roman" w:hAnsi="Times New Roman" w:eastAsia="仿宋_GB2312" w:cs="Times New Roman"/>
                <w:sz w:val="28"/>
                <w:szCs w:val="28"/>
                <w:highlight w:val="none"/>
                <w:lang w:val="en-US" w:eastAsia="zh-CN"/>
              </w:rPr>
              <w:t>6</w:t>
            </w:r>
            <w:r>
              <w:rPr>
                <w:rFonts w:hint="eastAsia" w:ascii="Times New Roman" w:hAnsi="Times New Roman" w:eastAsia="仿宋_GB2312" w:cs="Times New Roman"/>
                <w:sz w:val="28"/>
                <w:szCs w:val="28"/>
                <w:highlight w:val="none"/>
                <w:lang w:eastAsia="zh-CN"/>
              </w:rPr>
              <w:t>年</w:t>
            </w:r>
            <w:r>
              <w:rPr>
                <w:rFonts w:hint="eastAsia" w:ascii="Times New Roman" w:hAnsi="Times New Roman" w:eastAsia="方正仿宋_GBK" w:cs="Times New Roman"/>
                <w:sz w:val="28"/>
                <w:szCs w:val="28"/>
                <w:highlight w:val="none"/>
                <w:lang w:val="en-US" w:eastAsia="zh-CN"/>
              </w:rPr>
              <w:t>7</w:t>
            </w:r>
            <w:r>
              <w:rPr>
                <w:rFonts w:hint="default" w:ascii="Times New Roman" w:hAnsi="Times New Roman" w:eastAsia="方正仿宋_GBK" w:cs="Times New Roman"/>
                <w:sz w:val="28"/>
                <w:szCs w:val="28"/>
                <w:highlight w:val="none"/>
              </w:rPr>
              <w:t>月</w:t>
            </w:r>
            <w:r>
              <w:rPr>
                <w:rFonts w:hint="eastAsia" w:ascii="Times New Roman" w:hAnsi="Times New Roman" w:eastAsia="方正仿宋_GBK" w:cs="Times New Roman"/>
                <w:sz w:val="28"/>
                <w:szCs w:val="28"/>
                <w:highlight w:val="none"/>
                <w:lang w:val="en-US" w:eastAsia="zh-CN"/>
              </w:rPr>
              <w:t>31</w:t>
            </w:r>
            <w:r>
              <w:rPr>
                <w:rFonts w:hint="default" w:ascii="Times New Roman" w:hAnsi="Times New Roman" w:eastAsia="方正仿宋_GBK" w:cs="Times New Roman"/>
                <w:sz w:val="28"/>
                <w:szCs w:val="28"/>
                <w:highlight w:val="none"/>
              </w:rPr>
              <w:t>日印</w:t>
            </w:r>
            <w:r>
              <w:rPr>
                <w:rFonts w:hint="eastAsia" w:ascii="Times New Roman" w:hAnsi="Times New Roman" w:eastAsia="方正仿宋_GBK" w:cs="Times New Roman"/>
                <w:sz w:val="28"/>
                <w:szCs w:val="28"/>
                <w:highlight w:val="none"/>
                <w:lang w:eastAsia="zh-CN"/>
              </w:rPr>
              <w:t>发</w:t>
            </w:r>
          </w:p>
        </w:tc>
      </w:tr>
    </w:tbl>
    <w:p>
      <w:pPr>
        <w:pStyle w:val="2"/>
        <w:keepNext w:val="0"/>
        <w:keepLines w:val="0"/>
        <w:pageBreakBefore w:val="0"/>
        <w:widowControl w:val="0"/>
        <w:kinsoku/>
        <w:wordWrap/>
        <w:overflowPunct/>
        <w:topLinePunct w:val="0"/>
        <w:autoSpaceDE/>
        <w:autoSpaceDN/>
        <w:bidi w:val="0"/>
        <w:adjustRightInd/>
        <w:snapToGrid/>
        <w:spacing w:after="0" w:line="20" w:lineRule="exact"/>
        <w:ind w:left="0" w:leftChars="0" w:right="0" w:rightChars="0" w:firstLine="0" w:firstLineChars="0"/>
        <w:jc w:val="both"/>
        <w:textAlignment w:val="auto"/>
        <w:outlineLvl w:val="9"/>
        <w:rPr>
          <w:rFonts w:hint="default" w:ascii="Times New Roman" w:hAnsi="Times New Roman"/>
          <w:lang w:val="en" w:eastAsia="zh-CN"/>
        </w:rPr>
      </w:pPr>
    </w:p>
    <w:sectPr>
      <w:footerReference r:id="rId5" w:type="default"/>
      <w:pgSz w:w="11906" w:h="16838"/>
      <w:pgMar w:top="1440" w:right="1701" w:bottom="1440" w:left="170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B0300000000000000"/>
    <w:charset w:val="86"/>
    <w:family w:val="script"/>
    <w:pitch w:val="default"/>
    <w:sig w:usb0="00000001" w:usb1="080F1810" w:usb2="00000016" w:usb3="00000000" w:csb0="00060007" w:csb1="00000000"/>
  </w:font>
  <w:font w:name="仿宋">
    <w:panose1 w:val="02010609060101010101"/>
    <w:charset w:val="86"/>
    <w:family w:val="auto"/>
    <w:pitch w:val="default"/>
    <w:sig w:usb0="800002BF" w:usb1="38CF7CFA" w:usb2="00000016" w:usb3="00000000" w:csb0="00040001" w:csb1="00000000"/>
  </w:font>
  <w:font w:name="国标黑体">
    <w:altName w:val="方正黑体_GBK"/>
    <w:panose1 w:val="020005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CESI仿宋-GB2312">
    <w:altName w:val="仿宋"/>
    <w:panose1 w:val="02000500000000000000"/>
    <w:charset w:val="86"/>
    <w:family w:val="auto"/>
    <w:pitch w:val="default"/>
    <w:sig w:usb0="00000000" w:usb1="00000000" w:usb2="00000010" w:usb3="00000000" w:csb0="0004000F" w:csb1="00000000"/>
  </w:font>
  <w:font w:name="方正书宋_GBK">
    <w:altName w:val="Arial Unicode MS"/>
    <w:panose1 w:val="02000000000000000000"/>
    <w:charset w:val="86"/>
    <w:family w:val="auto"/>
    <w:pitch w:val="default"/>
    <w:sig w:usb0="00000000" w:usb1="00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汉仪中宋简">
    <w:altName w:val="宋体"/>
    <w:panose1 w:val="02010600000101010101"/>
    <w:charset w:val="86"/>
    <w:family w:val="auto"/>
    <w:pitch w:val="default"/>
    <w:sig w:usb0="00000000" w:usb1="00000000" w:usb2="00000002"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大标宋简体">
    <w:panose1 w:val="02010601030101010101"/>
    <w:charset w:val="86"/>
    <w:family w:val="auto"/>
    <w:pitch w:val="default"/>
    <w:sig w:usb0="00000001" w:usb1="080E0000" w:usb2="00000000" w:usb3="00000000" w:csb0="00040000" w:csb1="00000000"/>
  </w:font>
  <w:font w:name="长城长宋体">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keepNext w:val="0"/>
                            <w:keepLines w:val="0"/>
                            <w:pageBreakBefore w:val="0"/>
                            <w:kinsoku/>
                            <w:wordWrap/>
                            <w:overflowPunct/>
                            <w:topLinePunct w:val="0"/>
                            <w:autoSpaceDE/>
                            <w:autoSpaceDN/>
                            <w:bidi w:val="0"/>
                            <w:spacing w:line="600" w:lineRule="exact"/>
                            <w:textAlignment w:val="auto"/>
                            <w:rPr>
                              <w:rFonts w:hint="eastAsia" w:ascii="Times New Roman" w:hAnsi="Times New Roman" w:eastAsia="仿宋_GB2312" w:cs="Times New Roman"/>
                              <w:bCs/>
                              <w:kern w:val="2"/>
                              <w:sz w:val="28"/>
                              <w:szCs w:val="28"/>
                              <w:lang w:val="en-US" w:eastAsia="zh-CN" w:bidi="ar-SA"/>
                            </w:rPr>
                          </w:pPr>
                          <w:r>
                            <w:rPr>
                              <w:rFonts w:hint="eastAsia" w:ascii="宋体" w:hAnsi="宋体" w:eastAsia="宋体" w:cs="宋体"/>
                              <w:bCs/>
                              <w:kern w:val="2"/>
                              <w:sz w:val="28"/>
                              <w:szCs w:val="28"/>
                              <w:lang w:val="en-US" w:eastAsia="zh-CN" w:bidi="ar-SA"/>
                            </w:rPr>
                            <w:t>－</w:t>
                          </w:r>
                          <w:r>
                            <w:rPr>
                              <w:rFonts w:hint="eastAsia" w:ascii="Times New Roman" w:hAnsi="Times New Roman" w:eastAsia="仿宋_GB2312" w:cs="Times New Roman"/>
                              <w:bCs/>
                              <w:kern w:val="2"/>
                              <w:sz w:val="28"/>
                              <w:szCs w:val="28"/>
                              <w:lang w:val="en-US" w:eastAsia="zh-CN" w:bidi="ar-SA"/>
                            </w:rPr>
                            <w:t xml:space="preserve"> </w:t>
                          </w:r>
                          <w:r>
                            <w:rPr>
                              <w:rFonts w:hint="eastAsia" w:ascii="Times New Roman" w:hAnsi="Times New Roman" w:eastAsia="仿宋_GB2312" w:cs="Times New Roman"/>
                              <w:bCs/>
                              <w:kern w:val="2"/>
                              <w:sz w:val="28"/>
                              <w:szCs w:val="28"/>
                              <w:lang w:val="en-US" w:eastAsia="zh-CN" w:bidi="ar-SA"/>
                            </w:rPr>
                            <w:fldChar w:fldCharType="begin"/>
                          </w:r>
                          <w:r>
                            <w:rPr>
                              <w:rFonts w:hint="eastAsia" w:ascii="Times New Roman" w:hAnsi="Times New Roman" w:eastAsia="仿宋_GB2312" w:cs="Times New Roman"/>
                              <w:bCs/>
                              <w:kern w:val="2"/>
                              <w:sz w:val="28"/>
                              <w:szCs w:val="28"/>
                              <w:lang w:val="en-US" w:eastAsia="zh-CN" w:bidi="ar-SA"/>
                            </w:rPr>
                            <w:instrText xml:space="preserve"> PAGE  \* MERGEFORMAT </w:instrText>
                          </w:r>
                          <w:r>
                            <w:rPr>
                              <w:rFonts w:hint="eastAsia" w:ascii="Times New Roman" w:hAnsi="Times New Roman" w:eastAsia="仿宋_GB2312" w:cs="Times New Roman"/>
                              <w:bCs/>
                              <w:kern w:val="2"/>
                              <w:sz w:val="28"/>
                              <w:szCs w:val="28"/>
                              <w:lang w:val="en-US" w:eastAsia="zh-CN" w:bidi="ar-SA"/>
                            </w:rPr>
                            <w:fldChar w:fldCharType="separate"/>
                          </w:r>
                          <w:r>
                            <w:rPr>
                              <w:rFonts w:hint="eastAsia" w:ascii="Times New Roman" w:hAnsi="Times New Roman" w:eastAsia="仿宋_GB2312" w:cs="Times New Roman"/>
                              <w:bCs/>
                              <w:kern w:val="2"/>
                              <w:sz w:val="28"/>
                              <w:szCs w:val="28"/>
                              <w:lang w:val="en-US" w:eastAsia="zh-CN" w:bidi="ar-SA"/>
                            </w:rPr>
                            <w:t>3</w:t>
                          </w:r>
                          <w:r>
                            <w:rPr>
                              <w:rFonts w:hint="eastAsia" w:ascii="Times New Roman" w:hAnsi="Times New Roman" w:eastAsia="仿宋_GB2312" w:cs="Times New Roman"/>
                              <w:bCs/>
                              <w:kern w:val="2"/>
                              <w:sz w:val="28"/>
                              <w:szCs w:val="28"/>
                              <w:lang w:val="en-US" w:eastAsia="zh-CN" w:bidi="ar-SA"/>
                            </w:rPr>
                            <w:fldChar w:fldCharType="end"/>
                          </w:r>
                          <w:r>
                            <w:rPr>
                              <w:rFonts w:hint="eastAsia" w:ascii="Times New Roman" w:hAnsi="Times New Roman" w:eastAsia="仿宋_GB2312" w:cs="Times New Roman"/>
                              <w:bCs/>
                              <w:kern w:val="2"/>
                              <w:sz w:val="28"/>
                              <w:szCs w:val="28"/>
                              <w:lang w:val="en-US" w:eastAsia="zh-CN" w:bidi="ar-SA"/>
                            </w:rPr>
                            <w:t xml:space="preserve"> </w:t>
                          </w:r>
                          <w:r>
                            <w:rPr>
                              <w:rFonts w:hint="eastAsia" w:ascii="宋体" w:hAnsi="宋体" w:eastAsia="宋体" w:cs="宋体"/>
                              <w:bCs/>
                              <w:kern w:val="2"/>
                              <w:sz w:val="28"/>
                              <w:szCs w:val="28"/>
                              <w:lang w:val="en-US" w:eastAsia="zh-CN" w:bidi="ar-SA"/>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14"/>
                      <w:keepNext w:val="0"/>
                      <w:keepLines w:val="0"/>
                      <w:pageBreakBefore w:val="0"/>
                      <w:kinsoku/>
                      <w:wordWrap/>
                      <w:overflowPunct/>
                      <w:topLinePunct w:val="0"/>
                      <w:autoSpaceDE/>
                      <w:autoSpaceDN/>
                      <w:bidi w:val="0"/>
                      <w:spacing w:line="600" w:lineRule="exact"/>
                      <w:textAlignment w:val="auto"/>
                      <w:rPr>
                        <w:rFonts w:hint="eastAsia" w:ascii="Times New Roman" w:hAnsi="Times New Roman" w:eastAsia="仿宋_GB2312" w:cs="Times New Roman"/>
                        <w:bCs/>
                        <w:kern w:val="2"/>
                        <w:sz w:val="28"/>
                        <w:szCs w:val="28"/>
                        <w:lang w:val="en-US" w:eastAsia="zh-CN" w:bidi="ar-SA"/>
                      </w:rPr>
                    </w:pPr>
                    <w:r>
                      <w:rPr>
                        <w:rFonts w:hint="eastAsia" w:ascii="宋体" w:hAnsi="宋体" w:eastAsia="宋体" w:cs="宋体"/>
                        <w:bCs/>
                        <w:kern w:val="2"/>
                        <w:sz w:val="28"/>
                        <w:szCs w:val="28"/>
                        <w:lang w:val="en-US" w:eastAsia="zh-CN" w:bidi="ar-SA"/>
                      </w:rPr>
                      <w:t>－</w:t>
                    </w:r>
                    <w:r>
                      <w:rPr>
                        <w:rFonts w:hint="eastAsia" w:ascii="Times New Roman" w:hAnsi="Times New Roman" w:eastAsia="仿宋_GB2312" w:cs="Times New Roman"/>
                        <w:bCs/>
                        <w:kern w:val="2"/>
                        <w:sz w:val="28"/>
                        <w:szCs w:val="28"/>
                        <w:lang w:val="en-US" w:eastAsia="zh-CN" w:bidi="ar-SA"/>
                      </w:rPr>
                      <w:t xml:space="preserve"> </w:t>
                    </w:r>
                    <w:r>
                      <w:rPr>
                        <w:rFonts w:hint="eastAsia" w:ascii="Times New Roman" w:hAnsi="Times New Roman" w:eastAsia="仿宋_GB2312" w:cs="Times New Roman"/>
                        <w:bCs/>
                        <w:kern w:val="2"/>
                        <w:sz w:val="28"/>
                        <w:szCs w:val="28"/>
                        <w:lang w:val="en-US" w:eastAsia="zh-CN" w:bidi="ar-SA"/>
                      </w:rPr>
                      <w:fldChar w:fldCharType="begin"/>
                    </w:r>
                    <w:r>
                      <w:rPr>
                        <w:rFonts w:hint="eastAsia" w:ascii="Times New Roman" w:hAnsi="Times New Roman" w:eastAsia="仿宋_GB2312" w:cs="Times New Roman"/>
                        <w:bCs/>
                        <w:kern w:val="2"/>
                        <w:sz w:val="28"/>
                        <w:szCs w:val="28"/>
                        <w:lang w:val="en-US" w:eastAsia="zh-CN" w:bidi="ar-SA"/>
                      </w:rPr>
                      <w:instrText xml:space="preserve"> PAGE  \* MERGEFORMAT </w:instrText>
                    </w:r>
                    <w:r>
                      <w:rPr>
                        <w:rFonts w:hint="eastAsia" w:ascii="Times New Roman" w:hAnsi="Times New Roman" w:eastAsia="仿宋_GB2312" w:cs="Times New Roman"/>
                        <w:bCs/>
                        <w:kern w:val="2"/>
                        <w:sz w:val="28"/>
                        <w:szCs w:val="28"/>
                        <w:lang w:val="en-US" w:eastAsia="zh-CN" w:bidi="ar-SA"/>
                      </w:rPr>
                      <w:fldChar w:fldCharType="separate"/>
                    </w:r>
                    <w:r>
                      <w:rPr>
                        <w:rFonts w:hint="eastAsia" w:ascii="Times New Roman" w:hAnsi="Times New Roman" w:eastAsia="仿宋_GB2312" w:cs="Times New Roman"/>
                        <w:bCs/>
                        <w:kern w:val="2"/>
                        <w:sz w:val="28"/>
                        <w:szCs w:val="28"/>
                        <w:lang w:val="en-US" w:eastAsia="zh-CN" w:bidi="ar-SA"/>
                      </w:rPr>
                      <w:t>3</w:t>
                    </w:r>
                    <w:r>
                      <w:rPr>
                        <w:rFonts w:hint="eastAsia" w:ascii="Times New Roman" w:hAnsi="Times New Roman" w:eastAsia="仿宋_GB2312" w:cs="Times New Roman"/>
                        <w:bCs/>
                        <w:kern w:val="2"/>
                        <w:sz w:val="28"/>
                        <w:szCs w:val="28"/>
                        <w:lang w:val="en-US" w:eastAsia="zh-CN" w:bidi="ar-SA"/>
                      </w:rPr>
                      <w:fldChar w:fldCharType="end"/>
                    </w:r>
                    <w:r>
                      <w:rPr>
                        <w:rFonts w:hint="eastAsia" w:ascii="Times New Roman" w:hAnsi="Times New Roman" w:eastAsia="仿宋_GB2312" w:cs="Times New Roman"/>
                        <w:bCs/>
                        <w:kern w:val="2"/>
                        <w:sz w:val="28"/>
                        <w:szCs w:val="28"/>
                        <w:lang w:val="en-US" w:eastAsia="zh-CN" w:bidi="ar-SA"/>
                      </w:rPr>
                      <w:t xml:space="preserve"> </w:t>
                    </w:r>
                    <w:r>
                      <w:rPr>
                        <w:rFonts w:hint="eastAsia" w:ascii="宋体" w:hAnsi="宋体" w:eastAsia="宋体" w:cs="宋体"/>
                        <w:bCs/>
                        <w:kern w:val="2"/>
                        <w:sz w:val="28"/>
                        <w:szCs w:val="28"/>
                        <w:lang w:val="en-US" w:eastAsia="zh-CN" w:bidi="ar-S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ascii="Times New Roman" w:hAnsi="Times New Roman" w:eastAsia="宋体"/>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right="0" w:rightChars="0"/>
                            <w:textAlignment w:val="auto"/>
                            <w:outlineLvl w:val="9"/>
                            <w:rPr>
                              <w:rFonts w:hint="eastAsia" w:ascii="Times New Roman" w:hAnsi="Times New Roman" w:eastAsia="仿宋_GB2312" w:cs="Times New Roman"/>
                              <w:sz w:val="32"/>
                              <w:szCs w:val="40"/>
                              <w:highlight w:val="none"/>
                              <w:lang w:val="en-US" w:eastAsia="zh-CN"/>
                            </w:rPr>
                          </w:pPr>
                          <w:r>
                            <w:rPr>
                              <w:rFonts w:hint="eastAsia" w:ascii="Times New Roman" w:hAnsi="Times New Roman" w:eastAsia="仿宋_GB2312" w:cs="Times New Roman"/>
                              <w:sz w:val="28"/>
                              <w:szCs w:val="28"/>
                              <w:highlight w:val="none"/>
                              <w:lang w:val="en-US" w:eastAsia="zh-CN"/>
                            </w:rPr>
                            <w:t xml:space="preserve">— </w:t>
                          </w:r>
                          <w:r>
                            <w:rPr>
                              <w:rFonts w:hint="eastAsia" w:ascii="Times New Roman" w:hAnsi="Times New Roman" w:eastAsia="仿宋_GB2312" w:cs="Times New Roman"/>
                              <w:sz w:val="28"/>
                              <w:szCs w:val="28"/>
                              <w:highlight w:val="none"/>
                              <w:lang w:val="en-US" w:eastAsia="zh-CN"/>
                            </w:rPr>
                            <w:fldChar w:fldCharType="begin"/>
                          </w:r>
                          <w:r>
                            <w:rPr>
                              <w:rFonts w:hint="eastAsia" w:ascii="Times New Roman" w:hAnsi="Times New Roman" w:eastAsia="仿宋_GB2312" w:cs="Times New Roman"/>
                              <w:sz w:val="28"/>
                              <w:szCs w:val="28"/>
                              <w:highlight w:val="none"/>
                              <w:lang w:val="en-US" w:eastAsia="zh-CN"/>
                            </w:rPr>
                            <w:instrText xml:space="preserve"> PAGE  \* MERGEFORMAT </w:instrText>
                          </w:r>
                          <w:r>
                            <w:rPr>
                              <w:rFonts w:hint="eastAsia" w:ascii="Times New Roman" w:hAnsi="Times New Roman" w:eastAsia="仿宋_GB2312" w:cs="Times New Roman"/>
                              <w:sz w:val="28"/>
                              <w:szCs w:val="28"/>
                              <w:highlight w:val="none"/>
                              <w:lang w:val="en-US" w:eastAsia="zh-CN"/>
                            </w:rPr>
                            <w:fldChar w:fldCharType="separate"/>
                          </w:r>
                          <w:r>
                            <w:rPr>
                              <w:rFonts w:hint="eastAsia" w:ascii="Times New Roman" w:hAnsi="Times New Roman" w:eastAsia="仿宋_GB2312" w:cs="Times New Roman"/>
                              <w:sz w:val="28"/>
                              <w:szCs w:val="28"/>
                              <w:highlight w:val="none"/>
                              <w:lang w:val="en-US" w:eastAsia="zh-CN"/>
                            </w:rPr>
                            <w:t>23</w:t>
                          </w:r>
                          <w:r>
                            <w:rPr>
                              <w:rFonts w:hint="eastAsia" w:ascii="Times New Roman" w:hAnsi="Times New Roman" w:eastAsia="仿宋_GB2312" w:cs="Times New Roman"/>
                              <w:sz w:val="28"/>
                              <w:szCs w:val="28"/>
                              <w:highlight w:val="none"/>
                              <w:lang w:val="en-US" w:eastAsia="zh-CN"/>
                            </w:rPr>
                            <w:fldChar w:fldCharType="end"/>
                          </w:r>
                          <w:r>
                            <w:rPr>
                              <w:rFonts w:hint="eastAsia" w:ascii="Times New Roman" w:hAnsi="Times New Roman" w:eastAsia="仿宋_GB2312" w:cs="Times New Roman"/>
                              <w:sz w:val="28"/>
                              <w:szCs w:val="28"/>
                              <w:highlight w:val="none"/>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right="0" w:rightChars="0"/>
                      <w:textAlignment w:val="auto"/>
                      <w:outlineLvl w:val="9"/>
                      <w:rPr>
                        <w:rFonts w:hint="eastAsia" w:ascii="Times New Roman" w:hAnsi="Times New Roman" w:eastAsia="仿宋_GB2312" w:cs="Times New Roman"/>
                        <w:sz w:val="32"/>
                        <w:szCs w:val="40"/>
                        <w:highlight w:val="none"/>
                        <w:lang w:val="en-US" w:eastAsia="zh-CN"/>
                      </w:rPr>
                    </w:pPr>
                    <w:r>
                      <w:rPr>
                        <w:rFonts w:hint="eastAsia" w:ascii="Times New Roman" w:hAnsi="Times New Roman" w:eastAsia="仿宋_GB2312" w:cs="Times New Roman"/>
                        <w:sz w:val="28"/>
                        <w:szCs w:val="28"/>
                        <w:highlight w:val="none"/>
                        <w:lang w:val="en-US" w:eastAsia="zh-CN"/>
                      </w:rPr>
                      <w:t xml:space="preserve">— </w:t>
                    </w:r>
                    <w:r>
                      <w:rPr>
                        <w:rFonts w:hint="eastAsia" w:ascii="Times New Roman" w:hAnsi="Times New Roman" w:eastAsia="仿宋_GB2312" w:cs="Times New Roman"/>
                        <w:sz w:val="28"/>
                        <w:szCs w:val="28"/>
                        <w:highlight w:val="none"/>
                        <w:lang w:val="en-US" w:eastAsia="zh-CN"/>
                      </w:rPr>
                      <w:fldChar w:fldCharType="begin"/>
                    </w:r>
                    <w:r>
                      <w:rPr>
                        <w:rFonts w:hint="eastAsia" w:ascii="Times New Roman" w:hAnsi="Times New Roman" w:eastAsia="仿宋_GB2312" w:cs="Times New Roman"/>
                        <w:sz w:val="28"/>
                        <w:szCs w:val="28"/>
                        <w:highlight w:val="none"/>
                        <w:lang w:val="en-US" w:eastAsia="zh-CN"/>
                      </w:rPr>
                      <w:instrText xml:space="preserve"> PAGE  \* MERGEFORMAT </w:instrText>
                    </w:r>
                    <w:r>
                      <w:rPr>
                        <w:rFonts w:hint="eastAsia" w:ascii="Times New Roman" w:hAnsi="Times New Roman" w:eastAsia="仿宋_GB2312" w:cs="Times New Roman"/>
                        <w:sz w:val="28"/>
                        <w:szCs w:val="28"/>
                        <w:highlight w:val="none"/>
                        <w:lang w:val="en-US" w:eastAsia="zh-CN"/>
                      </w:rPr>
                      <w:fldChar w:fldCharType="separate"/>
                    </w:r>
                    <w:r>
                      <w:rPr>
                        <w:rFonts w:hint="eastAsia" w:ascii="Times New Roman" w:hAnsi="Times New Roman" w:eastAsia="仿宋_GB2312" w:cs="Times New Roman"/>
                        <w:sz w:val="28"/>
                        <w:szCs w:val="28"/>
                        <w:highlight w:val="none"/>
                        <w:lang w:val="en-US" w:eastAsia="zh-CN"/>
                      </w:rPr>
                      <w:t>23</w:t>
                    </w:r>
                    <w:r>
                      <w:rPr>
                        <w:rFonts w:hint="eastAsia" w:ascii="Times New Roman" w:hAnsi="Times New Roman" w:eastAsia="仿宋_GB2312" w:cs="Times New Roman"/>
                        <w:sz w:val="28"/>
                        <w:szCs w:val="28"/>
                        <w:highlight w:val="none"/>
                        <w:lang w:val="en-US" w:eastAsia="zh-CN"/>
                      </w:rPr>
                      <w:fldChar w:fldCharType="end"/>
                    </w:r>
                    <w:r>
                      <w:rPr>
                        <w:rFonts w:hint="eastAsia" w:ascii="Times New Roman" w:hAnsi="Times New Roman" w:eastAsia="仿宋_GB2312" w:cs="Times New Roman"/>
                        <w:sz w:val="28"/>
                        <w:szCs w:val="28"/>
                        <w:highlight w:val="none"/>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ascii="Times New Roman" w:hAnsi="Times New Roman" w:eastAsia="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HorizontalSpacing w:val="158"/>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B9"/>
    <w:rsid w:val="000B1F6D"/>
    <w:rsid w:val="000B4B0E"/>
    <w:rsid w:val="000B6E2F"/>
    <w:rsid w:val="000C19EE"/>
    <w:rsid w:val="000E39B6"/>
    <w:rsid w:val="00144C7C"/>
    <w:rsid w:val="00172FBF"/>
    <w:rsid w:val="001A22D2"/>
    <w:rsid w:val="001C6F92"/>
    <w:rsid w:val="001F3009"/>
    <w:rsid w:val="001F39D8"/>
    <w:rsid w:val="00237E69"/>
    <w:rsid w:val="00252F55"/>
    <w:rsid w:val="002601CE"/>
    <w:rsid w:val="00273410"/>
    <w:rsid w:val="002B73B9"/>
    <w:rsid w:val="003640FD"/>
    <w:rsid w:val="003B784D"/>
    <w:rsid w:val="003C1002"/>
    <w:rsid w:val="003F57F4"/>
    <w:rsid w:val="0042375D"/>
    <w:rsid w:val="004237D0"/>
    <w:rsid w:val="00441DCF"/>
    <w:rsid w:val="00461ED3"/>
    <w:rsid w:val="0047063E"/>
    <w:rsid w:val="00487EF5"/>
    <w:rsid w:val="00497857"/>
    <w:rsid w:val="004A14F8"/>
    <w:rsid w:val="004E39E0"/>
    <w:rsid w:val="004F6A11"/>
    <w:rsid w:val="00541E9E"/>
    <w:rsid w:val="005615B6"/>
    <w:rsid w:val="00564C87"/>
    <w:rsid w:val="0059544F"/>
    <w:rsid w:val="005E2E8D"/>
    <w:rsid w:val="00603DCB"/>
    <w:rsid w:val="006659E5"/>
    <w:rsid w:val="00674188"/>
    <w:rsid w:val="006A7A60"/>
    <w:rsid w:val="006B4191"/>
    <w:rsid w:val="006D0B3C"/>
    <w:rsid w:val="006F0396"/>
    <w:rsid w:val="0072644E"/>
    <w:rsid w:val="00746989"/>
    <w:rsid w:val="00751183"/>
    <w:rsid w:val="007A3297"/>
    <w:rsid w:val="007B31C4"/>
    <w:rsid w:val="007B618D"/>
    <w:rsid w:val="007D0E88"/>
    <w:rsid w:val="007E4C0B"/>
    <w:rsid w:val="007E56B3"/>
    <w:rsid w:val="00835612"/>
    <w:rsid w:val="008C705E"/>
    <w:rsid w:val="00911565"/>
    <w:rsid w:val="00975CB3"/>
    <w:rsid w:val="009828D3"/>
    <w:rsid w:val="009A7915"/>
    <w:rsid w:val="009B1244"/>
    <w:rsid w:val="009D0291"/>
    <w:rsid w:val="009D2143"/>
    <w:rsid w:val="00A3471B"/>
    <w:rsid w:val="00A42A63"/>
    <w:rsid w:val="00A72881"/>
    <w:rsid w:val="00A75882"/>
    <w:rsid w:val="00A84B7F"/>
    <w:rsid w:val="00A87841"/>
    <w:rsid w:val="00A87D06"/>
    <w:rsid w:val="00AB3697"/>
    <w:rsid w:val="00AD179E"/>
    <w:rsid w:val="00AD21EC"/>
    <w:rsid w:val="00AF52F7"/>
    <w:rsid w:val="00BA28FE"/>
    <w:rsid w:val="00BA34B9"/>
    <w:rsid w:val="00BD0273"/>
    <w:rsid w:val="00BF4E25"/>
    <w:rsid w:val="00C16C58"/>
    <w:rsid w:val="00CD25B1"/>
    <w:rsid w:val="00D243D5"/>
    <w:rsid w:val="00D42E5C"/>
    <w:rsid w:val="00D84DF2"/>
    <w:rsid w:val="00DA09D5"/>
    <w:rsid w:val="00DD0A05"/>
    <w:rsid w:val="00E0055D"/>
    <w:rsid w:val="00E6281E"/>
    <w:rsid w:val="00E7104D"/>
    <w:rsid w:val="00EA252A"/>
    <w:rsid w:val="00EB0086"/>
    <w:rsid w:val="00EB4CF5"/>
    <w:rsid w:val="00F11B8F"/>
    <w:rsid w:val="00F14A8F"/>
    <w:rsid w:val="00F33CC7"/>
    <w:rsid w:val="00F51F38"/>
    <w:rsid w:val="00F671AF"/>
    <w:rsid w:val="00F83244"/>
    <w:rsid w:val="00FC149A"/>
    <w:rsid w:val="06914C81"/>
    <w:rsid w:val="076B0BD1"/>
    <w:rsid w:val="0908692F"/>
    <w:rsid w:val="0AEE916E"/>
    <w:rsid w:val="0C7FB531"/>
    <w:rsid w:val="0E1E54CE"/>
    <w:rsid w:val="0EA170D4"/>
    <w:rsid w:val="0FFC4A7C"/>
    <w:rsid w:val="10FE6FA1"/>
    <w:rsid w:val="11F58DAC"/>
    <w:rsid w:val="12E90BB9"/>
    <w:rsid w:val="15C451F7"/>
    <w:rsid w:val="1BCD4CB6"/>
    <w:rsid w:val="1BF3D565"/>
    <w:rsid w:val="1C376D2C"/>
    <w:rsid w:val="1C742C3C"/>
    <w:rsid w:val="1D233F26"/>
    <w:rsid w:val="1DEFB407"/>
    <w:rsid w:val="1DF718D9"/>
    <w:rsid w:val="22DC186C"/>
    <w:rsid w:val="22E7F7CE"/>
    <w:rsid w:val="23FE2569"/>
    <w:rsid w:val="25FE4ABB"/>
    <w:rsid w:val="26410004"/>
    <w:rsid w:val="276C25DD"/>
    <w:rsid w:val="28C42693"/>
    <w:rsid w:val="2A7E6A08"/>
    <w:rsid w:val="2ABF3BFD"/>
    <w:rsid w:val="2B779DB7"/>
    <w:rsid w:val="2B7FCD00"/>
    <w:rsid w:val="2C6231EC"/>
    <w:rsid w:val="2DEF5B9E"/>
    <w:rsid w:val="2F6E09B0"/>
    <w:rsid w:val="2F6F3C72"/>
    <w:rsid w:val="2F7DCBD3"/>
    <w:rsid w:val="2FFB61D5"/>
    <w:rsid w:val="33D826D5"/>
    <w:rsid w:val="33EF2766"/>
    <w:rsid w:val="3729574D"/>
    <w:rsid w:val="39BB637D"/>
    <w:rsid w:val="3AFF8602"/>
    <w:rsid w:val="3D1FE4D6"/>
    <w:rsid w:val="3D7B6FAA"/>
    <w:rsid w:val="3D8F6E66"/>
    <w:rsid w:val="3E5D1029"/>
    <w:rsid w:val="3EFB9218"/>
    <w:rsid w:val="3F5D4ECF"/>
    <w:rsid w:val="3F5F7597"/>
    <w:rsid w:val="3F71DDB7"/>
    <w:rsid w:val="3F7E3125"/>
    <w:rsid w:val="3FC793BD"/>
    <w:rsid w:val="3FCFBEE1"/>
    <w:rsid w:val="3FF310DB"/>
    <w:rsid w:val="422D440D"/>
    <w:rsid w:val="436810FB"/>
    <w:rsid w:val="43C12146"/>
    <w:rsid w:val="4656333C"/>
    <w:rsid w:val="46A90519"/>
    <w:rsid w:val="47ED53A7"/>
    <w:rsid w:val="484A13C6"/>
    <w:rsid w:val="4A9649AD"/>
    <w:rsid w:val="4C6B42CD"/>
    <w:rsid w:val="4C8FF1D2"/>
    <w:rsid w:val="4CE92AE1"/>
    <w:rsid w:val="4FFEBD68"/>
    <w:rsid w:val="505945FC"/>
    <w:rsid w:val="506915C1"/>
    <w:rsid w:val="52E44217"/>
    <w:rsid w:val="53331A54"/>
    <w:rsid w:val="53B931B0"/>
    <w:rsid w:val="54C85770"/>
    <w:rsid w:val="55303B14"/>
    <w:rsid w:val="55B367A8"/>
    <w:rsid w:val="56283225"/>
    <w:rsid w:val="5660418A"/>
    <w:rsid w:val="572B7A2C"/>
    <w:rsid w:val="577FBF50"/>
    <w:rsid w:val="57BE7B41"/>
    <w:rsid w:val="57CB8138"/>
    <w:rsid w:val="57FFA1F8"/>
    <w:rsid w:val="58105A84"/>
    <w:rsid w:val="5AF55AD8"/>
    <w:rsid w:val="5B7BA26C"/>
    <w:rsid w:val="5BDF248C"/>
    <w:rsid w:val="5BE6E573"/>
    <w:rsid w:val="5BFF7284"/>
    <w:rsid w:val="5C573653"/>
    <w:rsid w:val="5CE72E36"/>
    <w:rsid w:val="5CFF7E0A"/>
    <w:rsid w:val="5DCC6BEB"/>
    <w:rsid w:val="5DE81264"/>
    <w:rsid w:val="5E0599B0"/>
    <w:rsid w:val="5E7B58CB"/>
    <w:rsid w:val="5F3FDE16"/>
    <w:rsid w:val="5F9C3B25"/>
    <w:rsid w:val="5FE916C8"/>
    <w:rsid w:val="5FE9D28A"/>
    <w:rsid w:val="5FFB9258"/>
    <w:rsid w:val="5FFD40D5"/>
    <w:rsid w:val="627D4912"/>
    <w:rsid w:val="65283922"/>
    <w:rsid w:val="66D3E8E6"/>
    <w:rsid w:val="67C9788D"/>
    <w:rsid w:val="67FF199C"/>
    <w:rsid w:val="67FF6ADD"/>
    <w:rsid w:val="687D89CC"/>
    <w:rsid w:val="688207C4"/>
    <w:rsid w:val="68BE0E7F"/>
    <w:rsid w:val="6C705C28"/>
    <w:rsid w:val="6DBF1E29"/>
    <w:rsid w:val="6F355F44"/>
    <w:rsid w:val="6F6BDE49"/>
    <w:rsid w:val="6FAAB799"/>
    <w:rsid w:val="6FAD1E38"/>
    <w:rsid w:val="6FD7A5C2"/>
    <w:rsid w:val="6FDDD3D7"/>
    <w:rsid w:val="6FFDFA77"/>
    <w:rsid w:val="6FFF91B4"/>
    <w:rsid w:val="6FFFE5B4"/>
    <w:rsid w:val="6FFFF6B7"/>
    <w:rsid w:val="707BDAE2"/>
    <w:rsid w:val="70AD092B"/>
    <w:rsid w:val="719F1DD5"/>
    <w:rsid w:val="71FB43C5"/>
    <w:rsid w:val="71FBD0C9"/>
    <w:rsid w:val="72EF503A"/>
    <w:rsid w:val="737D7B1F"/>
    <w:rsid w:val="73EEA947"/>
    <w:rsid w:val="73FD4338"/>
    <w:rsid w:val="74BE72DB"/>
    <w:rsid w:val="74F73AF9"/>
    <w:rsid w:val="769B3CCA"/>
    <w:rsid w:val="76E6E55F"/>
    <w:rsid w:val="775A7B4C"/>
    <w:rsid w:val="77BF64B0"/>
    <w:rsid w:val="77CFB237"/>
    <w:rsid w:val="77E7FE6A"/>
    <w:rsid w:val="78FBC1DC"/>
    <w:rsid w:val="794DE22E"/>
    <w:rsid w:val="797761F7"/>
    <w:rsid w:val="79CE4A59"/>
    <w:rsid w:val="79E96E15"/>
    <w:rsid w:val="7A074FD4"/>
    <w:rsid w:val="7A5FA1D5"/>
    <w:rsid w:val="7A6DA58E"/>
    <w:rsid w:val="7ADDA241"/>
    <w:rsid w:val="7AE75B35"/>
    <w:rsid w:val="7AFF0D6D"/>
    <w:rsid w:val="7B5783AF"/>
    <w:rsid w:val="7B9D069B"/>
    <w:rsid w:val="7BBFBBEF"/>
    <w:rsid w:val="7BE29F58"/>
    <w:rsid w:val="7BFF01F3"/>
    <w:rsid w:val="7BFFCA9A"/>
    <w:rsid w:val="7C9FD999"/>
    <w:rsid w:val="7CCD5D4D"/>
    <w:rsid w:val="7CD78014"/>
    <w:rsid w:val="7D9F437C"/>
    <w:rsid w:val="7DBBBBA8"/>
    <w:rsid w:val="7DFC5181"/>
    <w:rsid w:val="7E3E1473"/>
    <w:rsid w:val="7E4C1A77"/>
    <w:rsid w:val="7E7FF7AB"/>
    <w:rsid w:val="7EF3C138"/>
    <w:rsid w:val="7EF7435E"/>
    <w:rsid w:val="7EFCC1B4"/>
    <w:rsid w:val="7F288C4D"/>
    <w:rsid w:val="7F3F28A8"/>
    <w:rsid w:val="7F67F60A"/>
    <w:rsid w:val="7F8F1559"/>
    <w:rsid w:val="7FBBA766"/>
    <w:rsid w:val="7FBDDC16"/>
    <w:rsid w:val="7FBF5EDC"/>
    <w:rsid w:val="7FBF675D"/>
    <w:rsid w:val="7FC6CF41"/>
    <w:rsid w:val="7FCD4831"/>
    <w:rsid w:val="7FCECCBB"/>
    <w:rsid w:val="7FD02885"/>
    <w:rsid w:val="7FDE4FCF"/>
    <w:rsid w:val="7FE71CAA"/>
    <w:rsid w:val="7FEA9F0C"/>
    <w:rsid w:val="7FEB7DED"/>
    <w:rsid w:val="7FEE022E"/>
    <w:rsid w:val="7FEE9D20"/>
    <w:rsid w:val="7FEF612F"/>
    <w:rsid w:val="7FF5E939"/>
    <w:rsid w:val="7FF7C9C2"/>
    <w:rsid w:val="7FFF05AC"/>
    <w:rsid w:val="82680813"/>
    <w:rsid w:val="8DFE95A7"/>
    <w:rsid w:val="8FB69AF5"/>
    <w:rsid w:val="93FF1A1B"/>
    <w:rsid w:val="96CD622A"/>
    <w:rsid w:val="976E908D"/>
    <w:rsid w:val="97BBBB87"/>
    <w:rsid w:val="9ABE2007"/>
    <w:rsid w:val="9BFF75C3"/>
    <w:rsid w:val="9DD6A3BD"/>
    <w:rsid w:val="9DDE7263"/>
    <w:rsid w:val="9FAF0612"/>
    <w:rsid w:val="9FDFEBC7"/>
    <w:rsid w:val="9FF67FCB"/>
    <w:rsid w:val="A1EBC8E0"/>
    <w:rsid w:val="A6E7E569"/>
    <w:rsid w:val="A76D53E4"/>
    <w:rsid w:val="AA9F6CD7"/>
    <w:rsid w:val="AB9AAE1D"/>
    <w:rsid w:val="ABD7AB1A"/>
    <w:rsid w:val="ABDF06BB"/>
    <w:rsid w:val="ADEE49C5"/>
    <w:rsid w:val="AF778B05"/>
    <w:rsid w:val="AFF73AE6"/>
    <w:rsid w:val="B77FFB35"/>
    <w:rsid w:val="B7B765B4"/>
    <w:rsid w:val="B952C6ED"/>
    <w:rsid w:val="B956C819"/>
    <w:rsid w:val="B9D74AE6"/>
    <w:rsid w:val="BEB67009"/>
    <w:rsid w:val="BEF7A4ED"/>
    <w:rsid w:val="BF4ED18F"/>
    <w:rsid w:val="BF64640A"/>
    <w:rsid w:val="BF772156"/>
    <w:rsid w:val="BFD9E641"/>
    <w:rsid w:val="BFDE3F65"/>
    <w:rsid w:val="BFDEB8B8"/>
    <w:rsid w:val="BFEFA126"/>
    <w:rsid w:val="C39FC73B"/>
    <w:rsid w:val="C6EEBEA5"/>
    <w:rsid w:val="CFF006CB"/>
    <w:rsid w:val="D29A84A6"/>
    <w:rsid w:val="D7FDEE5A"/>
    <w:rsid w:val="D7FF1AE1"/>
    <w:rsid w:val="D95F13B9"/>
    <w:rsid w:val="D9FECF66"/>
    <w:rsid w:val="DFBFFBE7"/>
    <w:rsid w:val="DFFBE0EF"/>
    <w:rsid w:val="DFFE61DB"/>
    <w:rsid w:val="DFFE9F8D"/>
    <w:rsid w:val="DFFFF614"/>
    <w:rsid w:val="E6FB9070"/>
    <w:rsid w:val="EBD70CE1"/>
    <w:rsid w:val="EBFF761B"/>
    <w:rsid w:val="ED79C42E"/>
    <w:rsid w:val="EDBBBA62"/>
    <w:rsid w:val="EE3A30E0"/>
    <w:rsid w:val="EF6FE7E4"/>
    <w:rsid w:val="EF738DBD"/>
    <w:rsid w:val="EFBFFE22"/>
    <w:rsid w:val="EFDB6C81"/>
    <w:rsid w:val="EFFDB843"/>
    <w:rsid w:val="F0F14B53"/>
    <w:rsid w:val="F17F8FBD"/>
    <w:rsid w:val="F2FFEC2C"/>
    <w:rsid w:val="F5125842"/>
    <w:rsid w:val="F57F91B2"/>
    <w:rsid w:val="F5FD8612"/>
    <w:rsid w:val="F63B52ED"/>
    <w:rsid w:val="F672B325"/>
    <w:rsid w:val="F6FFF780"/>
    <w:rsid w:val="F71FB920"/>
    <w:rsid w:val="F75CC4C3"/>
    <w:rsid w:val="F7BFBA6B"/>
    <w:rsid w:val="F7BFF203"/>
    <w:rsid w:val="F7DF2B03"/>
    <w:rsid w:val="F7FD4C1F"/>
    <w:rsid w:val="F84A7034"/>
    <w:rsid w:val="F871A534"/>
    <w:rsid w:val="F91FE651"/>
    <w:rsid w:val="F93FD9FF"/>
    <w:rsid w:val="F9BFE84A"/>
    <w:rsid w:val="F9DED17C"/>
    <w:rsid w:val="FA7B9EB3"/>
    <w:rsid w:val="FBF5A33D"/>
    <w:rsid w:val="FBF9347E"/>
    <w:rsid w:val="FCEFA6F7"/>
    <w:rsid w:val="FCFB0ADE"/>
    <w:rsid w:val="FD7E9D98"/>
    <w:rsid w:val="FD7FD87C"/>
    <w:rsid w:val="FDB8F1D0"/>
    <w:rsid w:val="FDDF9986"/>
    <w:rsid w:val="FDE681FF"/>
    <w:rsid w:val="FDED33F2"/>
    <w:rsid w:val="FDFD6967"/>
    <w:rsid w:val="FDFE9768"/>
    <w:rsid w:val="FDFF2096"/>
    <w:rsid w:val="FEDC416B"/>
    <w:rsid w:val="FEEF6172"/>
    <w:rsid w:val="FF2F4A06"/>
    <w:rsid w:val="FF35F5D5"/>
    <w:rsid w:val="FF5FDC95"/>
    <w:rsid w:val="FF7E153D"/>
    <w:rsid w:val="FF7E67F5"/>
    <w:rsid w:val="FF7F5CB6"/>
    <w:rsid w:val="FF7F651E"/>
    <w:rsid w:val="FF96FC5E"/>
    <w:rsid w:val="FF99A4F6"/>
    <w:rsid w:val="FFAB75D5"/>
    <w:rsid w:val="FFAC5EC8"/>
    <w:rsid w:val="FFCE5C22"/>
    <w:rsid w:val="FFDBCC2D"/>
    <w:rsid w:val="FFEF4770"/>
    <w:rsid w:val="FFF67BDF"/>
    <w:rsid w:val="FFFB40B6"/>
    <w:rsid w:val="FFFD34F4"/>
    <w:rsid w:val="FFFD6F1C"/>
    <w:rsid w:val="FFFF386C"/>
    <w:rsid w:val="FFFFC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31"/>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32"/>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33"/>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34"/>
    <w:unhideWhenUsed/>
    <w:qFormat/>
    <w:uiPriority w:val="9"/>
    <w:pPr>
      <w:keepNext/>
      <w:keepLines/>
      <w:spacing w:before="80" w:after="40"/>
      <w:outlineLvl w:val="4"/>
    </w:pPr>
    <w:rPr>
      <w:rFonts w:cstheme="majorBidi"/>
      <w:color w:val="2F5597" w:themeColor="accent1" w:themeShade="BF"/>
      <w:sz w:val="24"/>
      <w:szCs w:val="24"/>
    </w:rPr>
  </w:style>
  <w:style w:type="paragraph" w:styleId="8">
    <w:name w:val="heading 6"/>
    <w:basedOn w:val="1"/>
    <w:next w:val="1"/>
    <w:link w:val="35"/>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36"/>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7"/>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8"/>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7">
    <w:name w:val="Default Paragraph Font"/>
    <w:unhideWhenUsed/>
    <w:qFormat/>
    <w:uiPriority w:val="1"/>
  </w:style>
  <w:style w:type="table" w:default="1" w:styleId="28">
    <w:name w:val="Normal Table"/>
    <w:unhideWhenUsed/>
    <w:qFormat/>
    <w:uiPriority w:val="99"/>
    <w:tblPr>
      <w:tblLayout w:type="fixed"/>
      <w:tblCellMar>
        <w:top w:w="0" w:type="dxa"/>
        <w:left w:w="108" w:type="dxa"/>
        <w:bottom w:w="0" w:type="dxa"/>
        <w:right w:w="108" w:type="dxa"/>
      </w:tblCellMar>
    </w:tblPr>
  </w:style>
  <w:style w:type="paragraph" w:customStyle="1" w:styleId="2">
    <w:name w:val="EndnoteText"/>
    <w:basedOn w:val="1"/>
    <w:qFormat/>
    <w:uiPriority w:val="0"/>
    <w:rPr>
      <w:rFonts w:ascii="Times New Roman" w:hAnsi="Times New Roman"/>
    </w:rPr>
  </w:style>
  <w:style w:type="paragraph" w:styleId="12">
    <w:name w:val="Body Text First Indent"/>
    <w:basedOn w:val="13"/>
    <w:next w:val="14"/>
    <w:qFormat/>
    <w:uiPriority w:val="0"/>
    <w:pPr>
      <w:spacing w:after="0"/>
      <w:ind w:firstLine="420" w:firstLineChars="100"/>
    </w:pPr>
  </w:style>
  <w:style w:type="paragraph" w:styleId="13">
    <w:name w:val="Body Text"/>
    <w:basedOn w:val="1"/>
    <w:next w:val="12"/>
    <w:link w:val="50"/>
    <w:qFormat/>
    <w:uiPriority w:val="0"/>
    <w:pPr>
      <w:spacing w:after="120"/>
    </w:pPr>
    <w:rPr>
      <w:rFonts w:ascii="Calibri" w:hAnsi="Calibri" w:eastAsia="宋体" w:cs="Times New Roman"/>
    </w:rPr>
  </w:style>
  <w:style w:type="paragraph" w:styleId="14">
    <w:name w:val="Plain Text"/>
    <w:basedOn w:val="1"/>
    <w:qFormat/>
    <w:uiPriority w:val="0"/>
    <w:rPr>
      <w:rFonts w:ascii="宋体" w:hAnsi="Courier New"/>
    </w:rPr>
  </w:style>
  <w:style w:type="paragraph" w:styleId="15">
    <w:name w:val="index 5"/>
    <w:basedOn w:val="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16">
    <w:name w:val="annotation text"/>
    <w:basedOn w:val="1"/>
    <w:qFormat/>
    <w:uiPriority w:val="0"/>
    <w:pPr>
      <w:jc w:val="left"/>
    </w:pPr>
  </w:style>
  <w:style w:type="paragraph" w:styleId="17">
    <w:name w:val="Body Text Indent"/>
    <w:basedOn w:val="1"/>
    <w:next w:val="18"/>
    <w:qFormat/>
    <w:uiPriority w:val="0"/>
    <w:pPr>
      <w:spacing w:after="120"/>
      <w:ind w:left="420" w:leftChars="200"/>
    </w:pPr>
  </w:style>
  <w:style w:type="paragraph" w:styleId="18">
    <w:name w:val="Body Text Indent 2"/>
    <w:next w:val="1"/>
    <w:qFormat/>
    <w:uiPriority w:val="0"/>
    <w:pPr>
      <w:widowControl w:val="0"/>
      <w:spacing w:line="560" w:lineRule="exact"/>
      <w:ind w:firstLine="538" w:firstLineChars="192"/>
      <w:jc w:val="both"/>
    </w:pPr>
    <w:rPr>
      <w:rFonts w:ascii="宋体" w:hAnsi="宋体" w:eastAsia="仿宋_GB2312" w:cs="宋体"/>
      <w:kern w:val="2"/>
      <w:sz w:val="28"/>
      <w:szCs w:val="28"/>
      <w:lang w:val="en-US" w:eastAsia="zh-CN" w:bidi="ar-SA"/>
    </w:rPr>
  </w:style>
  <w:style w:type="paragraph" w:styleId="19">
    <w:name w:val="toc 5"/>
    <w:basedOn w:val="1"/>
    <w:next w:val="1"/>
    <w:qFormat/>
    <w:uiPriority w:val="0"/>
    <w:pPr>
      <w:ind w:left="1680" w:leftChars="800"/>
    </w:pPr>
    <w:rPr>
      <w:rFonts w:ascii="等线" w:hAnsi="等线" w:eastAsia="等线" w:cs="Times New Roman"/>
      <w:szCs w:val="22"/>
    </w:rPr>
  </w:style>
  <w:style w:type="paragraph" w:styleId="20">
    <w:name w:val="endnote text"/>
    <w:basedOn w:val="1"/>
    <w:next w:val="13"/>
    <w:qFormat/>
    <w:uiPriority w:val="0"/>
  </w:style>
  <w:style w:type="paragraph" w:styleId="21">
    <w:name w:val="footer"/>
    <w:basedOn w:val="1"/>
    <w:next w:val="15"/>
    <w:link w:val="49"/>
    <w:unhideWhenUsed/>
    <w:qFormat/>
    <w:uiPriority w:val="99"/>
    <w:pPr>
      <w:tabs>
        <w:tab w:val="center" w:pos="4153"/>
        <w:tab w:val="right" w:pos="8306"/>
      </w:tabs>
      <w:snapToGrid w:val="0"/>
      <w:spacing w:line="240" w:lineRule="auto"/>
      <w:jc w:val="left"/>
    </w:pPr>
    <w:rPr>
      <w:sz w:val="18"/>
      <w:szCs w:val="18"/>
    </w:rPr>
  </w:style>
  <w:style w:type="paragraph" w:styleId="22">
    <w:name w:val="Body Text First Indent 2"/>
    <w:basedOn w:val="17"/>
    <w:next w:val="1"/>
    <w:qFormat/>
    <w:uiPriority w:val="0"/>
    <w:pPr>
      <w:ind w:firstLine="420" w:firstLineChars="200"/>
    </w:pPr>
    <w:rPr>
      <w:rFonts w:ascii="等线" w:hAnsi="等线" w:eastAsia="等线" w:cs="Times New Roman"/>
    </w:rPr>
  </w:style>
  <w:style w:type="paragraph" w:styleId="23">
    <w:name w:val="header"/>
    <w:basedOn w:val="1"/>
    <w:link w:val="48"/>
    <w:unhideWhenUsed/>
    <w:qFormat/>
    <w:uiPriority w:val="99"/>
    <w:pPr>
      <w:tabs>
        <w:tab w:val="center" w:pos="4153"/>
        <w:tab w:val="right" w:pos="8306"/>
      </w:tabs>
      <w:snapToGrid w:val="0"/>
      <w:spacing w:line="240" w:lineRule="auto"/>
      <w:jc w:val="center"/>
    </w:pPr>
    <w:rPr>
      <w:sz w:val="18"/>
      <w:szCs w:val="18"/>
    </w:rPr>
  </w:style>
  <w:style w:type="paragraph" w:styleId="24">
    <w:name w:val="Subtitle"/>
    <w:basedOn w:val="1"/>
    <w:next w:val="1"/>
    <w:link w:val="4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Normal (Web)"/>
    <w:basedOn w:val="1"/>
    <w:unhideWhenUsed/>
    <w:qFormat/>
    <w:uiPriority w:val="99"/>
    <w:pPr>
      <w:spacing w:beforeAutospacing="1" w:after="0" w:afterAutospacing="1"/>
      <w:jc w:val="left"/>
    </w:pPr>
    <w:rPr>
      <w:rFonts w:cs="Times New Roman"/>
      <w:kern w:val="0"/>
      <w:sz w:val="24"/>
    </w:rPr>
  </w:style>
  <w:style w:type="paragraph" w:styleId="26">
    <w:name w:val="Title"/>
    <w:basedOn w:val="1"/>
    <w:next w:val="1"/>
    <w:link w:val="3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0">
    <w:name w:val="标题 1 字符"/>
    <w:basedOn w:val="27"/>
    <w:link w:val="3"/>
    <w:qFormat/>
    <w:uiPriority w:val="9"/>
    <w:rPr>
      <w:rFonts w:asciiTheme="majorHAnsi" w:hAnsiTheme="majorHAnsi" w:eastAsiaTheme="majorEastAsia" w:cstheme="majorBidi"/>
      <w:color w:val="2F5597" w:themeColor="accent1" w:themeShade="BF"/>
      <w:sz w:val="48"/>
      <w:szCs w:val="48"/>
    </w:rPr>
  </w:style>
  <w:style w:type="character" w:customStyle="1" w:styleId="31">
    <w:name w:val="标题 2 字符"/>
    <w:basedOn w:val="27"/>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32">
    <w:name w:val="标题 3 字符"/>
    <w:basedOn w:val="27"/>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33">
    <w:name w:val="标题 4 字符"/>
    <w:basedOn w:val="27"/>
    <w:link w:val="6"/>
    <w:semiHidden/>
    <w:qFormat/>
    <w:uiPriority w:val="9"/>
    <w:rPr>
      <w:rFonts w:cstheme="majorBidi"/>
      <w:color w:val="2F5597" w:themeColor="accent1" w:themeShade="BF"/>
      <w:sz w:val="28"/>
      <w:szCs w:val="28"/>
    </w:rPr>
  </w:style>
  <w:style w:type="character" w:customStyle="1" w:styleId="34">
    <w:name w:val="标题 5 字符"/>
    <w:basedOn w:val="27"/>
    <w:link w:val="7"/>
    <w:semiHidden/>
    <w:qFormat/>
    <w:uiPriority w:val="9"/>
    <w:rPr>
      <w:rFonts w:cstheme="majorBidi"/>
      <w:color w:val="2F5597" w:themeColor="accent1" w:themeShade="BF"/>
      <w:sz w:val="24"/>
      <w:szCs w:val="24"/>
    </w:rPr>
  </w:style>
  <w:style w:type="character" w:customStyle="1" w:styleId="35">
    <w:name w:val="标题 6 字符"/>
    <w:basedOn w:val="27"/>
    <w:link w:val="8"/>
    <w:semiHidden/>
    <w:qFormat/>
    <w:uiPriority w:val="9"/>
    <w:rPr>
      <w:rFonts w:cstheme="majorBidi"/>
      <w:b/>
      <w:bCs/>
      <w:color w:val="2F5597" w:themeColor="accent1" w:themeShade="BF"/>
    </w:rPr>
  </w:style>
  <w:style w:type="character" w:customStyle="1" w:styleId="36">
    <w:name w:val="标题 7 字符"/>
    <w:basedOn w:val="2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7"/>
    <w:link w:val="26"/>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7"/>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引用 字符"/>
    <w:basedOn w:val="27"/>
    <w:link w:val="41"/>
    <w:qFormat/>
    <w:uiPriority w:val="29"/>
    <w:rPr>
      <w:i/>
      <w:iCs/>
      <w:color w:val="404040" w:themeColor="text1" w:themeTint="BF"/>
      <w14:textFill>
        <w14:solidFill>
          <w14:schemeClr w14:val="tx1">
            <w14:lumMod w14:val="75000"/>
            <w14:lumOff w14:val="25000"/>
          </w14:schemeClr>
        </w14:solidFill>
      </w14:textFill>
    </w:rPr>
  </w:style>
  <w:style w:type="paragraph" w:customStyle="1" w:styleId="43">
    <w:name w:val="List Paragraph"/>
    <w:basedOn w:val="1"/>
    <w:qFormat/>
    <w:uiPriority w:val="34"/>
    <w:pPr>
      <w:ind w:left="720"/>
      <w:contextualSpacing/>
    </w:pPr>
  </w:style>
  <w:style w:type="character" w:customStyle="1" w:styleId="44">
    <w:name w:val="明显强调1"/>
    <w:basedOn w:val="27"/>
    <w:qFormat/>
    <w:uiPriority w:val="21"/>
    <w:rPr>
      <w:i/>
      <w:iCs/>
      <w:color w:val="2F5597" w:themeColor="accent1" w:themeShade="BF"/>
    </w:rPr>
  </w:style>
  <w:style w:type="paragraph" w:customStyle="1" w:styleId="45">
    <w:name w:val="Intense Quote"/>
    <w:basedOn w:val="1"/>
    <w:next w:val="1"/>
    <w:link w:val="4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6">
    <w:name w:val="明显引用 字符"/>
    <w:basedOn w:val="27"/>
    <w:link w:val="45"/>
    <w:qFormat/>
    <w:uiPriority w:val="30"/>
    <w:rPr>
      <w:i/>
      <w:iCs/>
      <w:color w:val="2F5597" w:themeColor="accent1" w:themeShade="BF"/>
    </w:rPr>
  </w:style>
  <w:style w:type="character" w:customStyle="1" w:styleId="47">
    <w:name w:val="明显参考1"/>
    <w:basedOn w:val="27"/>
    <w:qFormat/>
    <w:uiPriority w:val="32"/>
    <w:rPr>
      <w:b/>
      <w:bCs/>
      <w:smallCaps/>
      <w:color w:val="2F5597" w:themeColor="accent1" w:themeShade="BF"/>
      <w:spacing w:val="5"/>
    </w:rPr>
  </w:style>
  <w:style w:type="character" w:customStyle="1" w:styleId="48">
    <w:name w:val="页眉 字符"/>
    <w:basedOn w:val="27"/>
    <w:link w:val="23"/>
    <w:qFormat/>
    <w:uiPriority w:val="99"/>
    <w:rPr>
      <w:rFonts w:asciiTheme="minorHAnsi" w:hAnsiTheme="minorHAnsi" w:eastAsiaTheme="minorEastAsia" w:cstheme="minorBidi"/>
      <w:kern w:val="2"/>
      <w:sz w:val="18"/>
      <w:szCs w:val="18"/>
    </w:rPr>
  </w:style>
  <w:style w:type="character" w:customStyle="1" w:styleId="49">
    <w:name w:val="页脚 字符"/>
    <w:basedOn w:val="27"/>
    <w:link w:val="21"/>
    <w:qFormat/>
    <w:uiPriority w:val="99"/>
    <w:rPr>
      <w:rFonts w:asciiTheme="minorHAnsi" w:hAnsiTheme="minorHAnsi" w:eastAsiaTheme="minorEastAsia" w:cstheme="minorBidi"/>
      <w:kern w:val="2"/>
      <w:sz w:val="18"/>
      <w:szCs w:val="18"/>
    </w:rPr>
  </w:style>
  <w:style w:type="character" w:customStyle="1" w:styleId="50">
    <w:name w:val="正文文本 字符"/>
    <w:basedOn w:val="27"/>
    <w:link w:val="13"/>
    <w:qFormat/>
    <w:uiPriority w:val="0"/>
    <w:rPr>
      <w:rFonts w:ascii="Calibri" w:hAnsi="Calibri"/>
      <w:kern w:val="2"/>
      <w:sz w:val="21"/>
      <w:szCs w:val="22"/>
    </w:rPr>
  </w:style>
  <w:style w:type="paragraph" w:customStyle="1" w:styleId="51">
    <w:name w:val="报告正文"/>
    <w:basedOn w:val="1"/>
    <w:qFormat/>
    <w:uiPriority w:val="0"/>
    <w:pPr>
      <w:spacing w:line="560" w:lineRule="exact"/>
      <w:ind w:firstLine="1000" w:firstLineChars="200"/>
    </w:pPr>
    <w:rPr>
      <w:rFonts w:eastAsia="仿宋_GB2312"/>
      <w:sz w:val="32"/>
    </w:rPr>
  </w:style>
  <w:style w:type="paragraph" w:customStyle="1" w:styleId="52">
    <w:name w:val="样式 文字 + 首行缩进:  2 字符3"/>
    <w:basedOn w:val="1"/>
    <w:qFormat/>
    <w:uiPriority w:val="0"/>
    <w:pPr>
      <w:spacing w:line="360" w:lineRule="auto"/>
      <w:jc w:val="left"/>
    </w:pPr>
    <w:rPr>
      <w:rFonts w:ascii="Times New Roman" w:hAnsi="Times New Roman" w:eastAsia="宋体" w:cs="Times New Roman"/>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741</Words>
  <Characters>4228</Characters>
  <Lines>35</Lines>
  <Paragraphs>9</Paragraphs>
  <ScaleCrop>false</ScaleCrop>
  <LinksUpToDate>false</LinksUpToDate>
  <CharactersWithSpaces>4960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2025-05-01T11:11:00Z</dcterms:created>
  <dc:creator>LIABheng</dc:creator>
  <cp:lastModifiedBy>Administrator</cp:lastModifiedBy>
  <cp:lastPrinted>2026-08-03T01:42:00Z</cp:lastPrinted>
  <dcterms:modified xsi:type="dcterms:W3CDTF">2026-08-03T02:25:33Z</dcterms:modified>
  <dc:title>办文说明</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CCAFC45EFDF62317662D5F6A9C3E0B79_42</vt:lpwstr>
  </property>
</Properties>
</file>